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BB84E2">
      <w:pPr>
        <w:pageBreakBefore w:val="0"/>
        <w:kinsoku/>
        <w:wordWrap/>
        <w:overflowPunct/>
        <w:bidi w:val="0"/>
        <w:rPr>
          <w:rFonts w:hint="default" w:ascii="仿宋_GB2312" w:hAnsi="仿宋_GB2312" w:eastAsia="仿宋_GB2312" w:cs="仿宋_GB2312"/>
          <w:color w:val="auto"/>
          <w:sz w:val="36"/>
          <w:szCs w:val="36"/>
          <w:lang w:val="en-US" w:eastAsia="zh-CN"/>
        </w:rPr>
      </w:pPr>
      <w:bookmarkStart w:id="0" w:name="_Hlk57883707"/>
      <w:r>
        <w:rPr>
          <w:rFonts w:hint="eastAsia" w:ascii="仿宋_GB2312" w:hAnsi="仿宋_GB2312" w:eastAsia="仿宋_GB2312" w:cs="仿宋_GB2312"/>
          <w:color w:val="auto"/>
          <w:sz w:val="36"/>
          <w:szCs w:val="36"/>
          <w:lang w:val="en-US" w:eastAsia="zh-CN"/>
        </w:rPr>
        <w:t xml:space="preserve">                                        </w:t>
      </w:r>
    </w:p>
    <w:p w14:paraId="1B10F026">
      <w:pPr>
        <w:pageBreakBefore w:val="0"/>
        <w:kinsoku/>
        <w:wordWrap/>
        <w:overflowPunct/>
        <w:bidi w:val="0"/>
        <w:rPr>
          <w:rFonts w:ascii="仿宋_GB2312" w:hAnsi="仿宋_GB2312" w:eastAsia="仿宋_GB2312" w:cs="仿宋_GB2312"/>
          <w:color w:val="auto"/>
          <w:sz w:val="36"/>
          <w:szCs w:val="36"/>
        </w:rPr>
      </w:pPr>
    </w:p>
    <w:p w14:paraId="11C7CB7D">
      <w:pPr>
        <w:pageBreakBefore w:val="0"/>
        <w:kinsoku/>
        <w:wordWrap/>
        <w:overflowPunct/>
        <w:bidi w:val="0"/>
        <w:rPr>
          <w:rFonts w:ascii="仿宋_GB2312" w:hAnsi="仿宋_GB2312" w:eastAsia="仿宋_GB2312" w:cs="仿宋_GB2312"/>
          <w:color w:val="auto"/>
          <w:sz w:val="36"/>
          <w:szCs w:val="36"/>
        </w:rPr>
      </w:pPr>
    </w:p>
    <w:p w14:paraId="217CBBC3">
      <w:pPr>
        <w:pageBreakBefore w:val="0"/>
        <w:kinsoku/>
        <w:wordWrap/>
        <w:overflowPunct/>
        <w:bidi w:val="0"/>
        <w:rPr>
          <w:rFonts w:ascii="仿宋_GB2312" w:hAnsi="仿宋_GB2312" w:eastAsia="仿宋_GB2312" w:cs="仿宋_GB2312"/>
          <w:color w:val="auto"/>
          <w:sz w:val="36"/>
          <w:szCs w:val="36"/>
        </w:rPr>
      </w:pPr>
      <w:bookmarkStart w:id="145" w:name="_GoBack"/>
      <w:bookmarkEnd w:id="145"/>
    </w:p>
    <w:bookmarkEnd w:id="0"/>
    <w:p w14:paraId="456C71EE">
      <w:pPr>
        <w:pageBreakBefore w:val="0"/>
        <w:kinsoku/>
        <w:wordWrap/>
        <w:overflowPunct/>
        <w:bidi w:val="0"/>
        <w:adjustRightInd w:val="0"/>
        <w:snapToGrid w:val="0"/>
        <w:ind w:left="0" w:leftChars="0" w:firstLine="0" w:firstLineChars="0"/>
        <w:jc w:val="center"/>
        <w:outlineLvl w:val="0"/>
        <w:rPr>
          <w:rFonts w:ascii="方正小标宋_GBK" w:eastAsia="方正小标宋_GBK"/>
          <w:bCs/>
          <w:color w:val="auto"/>
          <w:sz w:val="72"/>
          <w:szCs w:val="72"/>
        </w:rPr>
      </w:pPr>
      <w:bookmarkStart w:id="1" w:name="_Toc80363680"/>
      <w:bookmarkStart w:id="2" w:name="_Toc87457557"/>
      <w:bookmarkStart w:id="3" w:name="_Toc80363577"/>
      <w:bookmarkStart w:id="4" w:name="_Toc87972510"/>
      <w:bookmarkStart w:id="5" w:name="_Toc80288924"/>
      <w:bookmarkStart w:id="6" w:name="_Toc30340"/>
      <w:r>
        <w:rPr>
          <w:rFonts w:hint="eastAsia" w:ascii="宋体" w:hAnsi="宋体" w:eastAsia="宋体" w:cs="宋体"/>
          <w:bCs/>
          <w:color w:val="auto"/>
          <w:sz w:val="72"/>
          <w:szCs w:val="72"/>
        </w:rPr>
        <w:t>建设项目环境影响报告表</w:t>
      </w:r>
      <w:bookmarkEnd w:id="1"/>
      <w:bookmarkEnd w:id="2"/>
      <w:bookmarkEnd w:id="3"/>
      <w:bookmarkEnd w:id="4"/>
      <w:bookmarkEnd w:id="5"/>
      <w:bookmarkEnd w:id="6"/>
    </w:p>
    <w:p w14:paraId="4ED2316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楷体_GB2312" w:eastAsia="楷体_GB2312"/>
          <w:bCs/>
          <w:color w:val="auto"/>
          <w:sz w:val="48"/>
          <w:szCs w:val="48"/>
        </w:rPr>
      </w:pPr>
      <w:r>
        <w:rPr>
          <w:rFonts w:hint="eastAsia" w:ascii="楷体_GB2312" w:eastAsia="楷体_GB2312"/>
          <w:bCs/>
          <w:color w:val="auto"/>
          <w:sz w:val="48"/>
          <w:szCs w:val="48"/>
        </w:rPr>
        <w:t>（生态影响类）</w:t>
      </w:r>
    </w:p>
    <w:p w14:paraId="1E9A29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宋体"/>
          <w:color w:val="auto"/>
          <w:kern w:val="44"/>
          <w:sz w:val="32"/>
          <w:szCs w:val="32"/>
        </w:rPr>
      </w:pPr>
      <w:bookmarkStart w:id="7" w:name="_Hlk57883728"/>
      <w:r>
        <w:rPr>
          <w:rFonts w:hint="eastAsia" w:eastAsia="宋体"/>
          <w:color w:val="auto"/>
          <w:kern w:val="44"/>
          <w:sz w:val="32"/>
          <w:szCs w:val="32"/>
        </w:rPr>
        <w:t>（</w:t>
      </w:r>
      <w:r>
        <w:rPr>
          <w:rFonts w:hint="eastAsia"/>
          <w:color w:val="auto"/>
          <w:kern w:val="44"/>
          <w:sz w:val="32"/>
          <w:szCs w:val="32"/>
          <w:lang w:val="en-US" w:eastAsia="zh-CN"/>
        </w:rPr>
        <w:t>报批稿</w:t>
      </w:r>
      <w:r>
        <w:rPr>
          <w:rFonts w:hint="eastAsia" w:eastAsia="宋体"/>
          <w:color w:val="auto"/>
          <w:kern w:val="44"/>
          <w:sz w:val="32"/>
          <w:szCs w:val="32"/>
        </w:rPr>
        <w:t>）</w:t>
      </w:r>
    </w:p>
    <w:p w14:paraId="4748DF10">
      <w:pPr>
        <w:pageBreakBefore w:val="0"/>
        <w:kinsoku/>
        <w:wordWrap/>
        <w:overflowPunct/>
        <w:bidi w:val="0"/>
        <w:adjustRightInd w:val="0"/>
        <w:snapToGrid w:val="0"/>
        <w:spacing w:line="288" w:lineRule="auto"/>
        <w:jc w:val="center"/>
        <w:rPr>
          <w:rFonts w:ascii="华文仿宋" w:hAnsi="华文仿宋" w:eastAsia="华文仿宋" w:cs="华文仿宋"/>
          <w:color w:val="auto"/>
          <w:kern w:val="44"/>
          <w:sz w:val="44"/>
          <w:szCs w:val="44"/>
        </w:rPr>
      </w:pPr>
    </w:p>
    <w:p w14:paraId="25A7B856">
      <w:pPr>
        <w:pageBreakBefore w:val="0"/>
        <w:kinsoku/>
        <w:wordWrap/>
        <w:overflowPunct/>
        <w:bidi w:val="0"/>
        <w:adjustRightInd w:val="0"/>
        <w:snapToGrid w:val="0"/>
        <w:jc w:val="center"/>
        <w:rPr>
          <w:rFonts w:eastAsia="仿宋"/>
          <w:color w:val="auto"/>
          <w:sz w:val="52"/>
          <w:szCs w:val="52"/>
        </w:rPr>
      </w:pPr>
    </w:p>
    <w:p w14:paraId="06CFEC31">
      <w:pPr>
        <w:pageBreakBefore w:val="0"/>
        <w:kinsoku/>
        <w:wordWrap/>
        <w:overflowPunct/>
        <w:bidi w:val="0"/>
        <w:adjustRightInd w:val="0"/>
        <w:snapToGrid w:val="0"/>
        <w:ind w:firstLine="1040"/>
        <w:rPr>
          <w:rFonts w:eastAsia="仿宋"/>
          <w:color w:val="auto"/>
          <w:sz w:val="44"/>
          <w:szCs w:val="44"/>
        </w:rPr>
      </w:pPr>
    </w:p>
    <w:bookmarkEnd w:id="7"/>
    <w:p w14:paraId="7413E363">
      <w:pPr>
        <w:pageBreakBefore w:val="0"/>
        <w:kinsoku/>
        <w:wordWrap/>
        <w:overflowPunct/>
        <w:bidi w:val="0"/>
        <w:adjustRightInd w:val="0"/>
        <w:snapToGrid w:val="0"/>
        <w:spacing w:line="360" w:lineRule="auto"/>
        <w:rPr>
          <w:rFonts w:ascii="仿宋_GB2312" w:eastAsia="仿宋_GB2312"/>
          <w:color w:val="auto"/>
          <w:sz w:val="32"/>
          <w:szCs w:val="32"/>
          <w:u w:val="single"/>
        </w:rPr>
      </w:pPr>
      <w:r>
        <w:rPr>
          <w:rFonts w:hint="eastAsia" w:ascii="仿宋_GB2312" w:eastAsia="仿宋_GB2312"/>
          <w:color w:val="auto"/>
          <w:sz w:val="32"/>
          <w:szCs w:val="32"/>
        </w:rPr>
        <w:t>项目名称：</w:t>
      </w:r>
      <w:r>
        <w:rPr>
          <w:rFonts w:hint="eastAsia" w:ascii="仿宋_GB2312" w:eastAsia="仿宋_GB2312"/>
          <w:color w:val="auto"/>
          <w:sz w:val="32"/>
          <w:szCs w:val="32"/>
          <w:u w:val="single"/>
          <w:lang w:eastAsia="zh-CN"/>
        </w:rPr>
        <w:t xml:space="preserve"> </w:t>
      </w:r>
      <w:r>
        <w:rPr>
          <w:rFonts w:hint="eastAsia" w:ascii="仿宋_GB2312" w:eastAsia="仿宋_GB2312"/>
          <w:color w:val="auto"/>
          <w:sz w:val="32"/>
          <w:szCs w:val="32"/>
          <w:u w:val="single"/>
          <w:lang w:val="en-US" w:eastAsia="zh-CN"/>
        </w:rPr>
        <w:t xml:space="preserve">          </w:t>
      </w:r>
      <w:r>
        <w:rPr>
          <w:rFonts w:hint="eastAsia" w:ascii="仿宋_GB2312" w:eastAsia="仿宋_GB2312"/>
          <w:color w:val="auto"/>
          <w:sz w:val="32"/>
          <w:szCs w:val="32"/>
          <w:u w:val="single"/>
          <w:lang w:eastAsia="zh-CN"/>
        </w:rPr>
        <w:t>西泽风电场（二期）</w:t>
      </w:r>
      <w:r>
        <w:rPr>
          <w:rFonts w:hint="eastAsia" w:ascii="仿宋_GB2312" w:eastAsia="仿宋_GB2312"/>
          <w:color w:val="auto"/>
          <w:sz w:val="32"/>
          <w:szCs w:val="32"/>
          <w:u w:val="single"/>
          <w:lang w:val="en-US" w:eastAsia="zh-CN"/>
        </w:rPr>
        <w:t xml:space="preserve">            </w:t>
      </w:r>
    </w:p>
    <w:p w14:paraId="63F267A9">
      <w:pPr>
        <w:pageBreakBefore w:val="0"/>
        <w:kinsoku/>
        <w:wordWrap/>
        <w:overflowPunct/>
        <w:bidi w:val="0"/>
        <w:adjustRightInd w:val="0"/>
        <w:snapToGrid w:val="0"/>
        <w:spacing w:line="360" w:lineRule="auto"/>
        <w:ind w:firstLine="640" w:firstLineChars="200"/>
        <w:rPr>
          <w:rFonts w:hint="eastAsia" w:ascii="仿宋_GB2312" w:eastAsia="仿宋_GB2312"/>
          <w:color w:val="auto"/>
          <w:sz w:val="32"/>
          <w:szCs w:val="32"/>
          <w:highlight w:val="none"/>
          <w:lang w:eastAsia="zh-CN"/>
        </w:rPr>
      </w:pPr>
      <w:r>
        <w:rPr>
          <w:rFonts w:hint="eastAsia" w:ascii="仿宋_GB2312" w:eastAsia="仿宋_GB2312"/>
          <w:color w:val="auto"/>
          <w:sz w:val="32"/>
          <w:szCs w:val="32"/>
        </w:rPr>
        <w:t>建设单位（盖章）：</w:t>
      </w:r>
      <w:r>
        <w:rPr>
          <w:rFonts w:hint="eastAsia" w:ascii="仿宋_GB2312" w:eastAsia="仿宋_GB2312"/>
          <w:color w:val="auto"/>
          <w:sz w:val="32"/>
          <w:szCs w:val="32"/>
          <w:highlight w:val="none"/>
          <w:u w:val="single"/>
          <w:lang w:val="en-US" w:eastAsia="zh-CN"/>
        </w:rPr>
        <w:t xml:space="preserve"> </w:t>
      </w:r>
      <w:r>
        <w:rPr>
          <w:rFonts w:hint="eastAsia" w:ascii="仿宋_GB2312" w:eastAsia="仿宋_GB2312"/>
          <w:color w:val="auto"/>
          <w:sz w:val="32"/>
          <w:szCs w:val="32"/>
          <w:highlight w:val="none"/>
          <w:u w:val="single"/>
          <w:lang w:eastAsia="zh-CN"/>
        </w:rPr>
        <w:t>国电电力云南新能源开发有限公司</w:t>
      </w:r>
      <w:r>
        <w:rPr>
          <w:rFonts w:hint="eastAsia" w:ascii="仿宋_GB2312" w:eastAsia="仿宋_GB2312"/>
          <w:color w:val="auto"/>
          <w:sz w:val="32"/>
          <w:szCs w:val="32"/>
          <w:highlight w:val="none"/>
          <w:u w:val="single"/>
          <w:lang w:val="en-US" w:eastAsia="zh-CN"/>
        </w:rPr>
        <w:t xml:space="preserve">  </w:t>
      </w:r>
    </w:p>
    <w:p w14:paraId="7FB1DA5A">
      <w:pPr>
        <w:pageBreakBefore w:val="0"/>
        <w:kinsoku/>
        <w:wordWrap/>
        <w:overflowPunct/>
        <w:bidi w:val="0"/>
        <w:adjustRightInd w:val="0"/>
        <w:snapToGrid w:val="0"/>
        <w:spacing w:line="360" w:lineRule="auto"/>
        <w:ind w:firstLine="640" w:firstLineChars="200"/>
        <w:rPr>
          <w:rFonts w:hint="eastAsia" w:ascii="仿宋_GB2312" w:eastAsia="仿宋_GB2312"/>
          <w:color w:val="auto"/>
          <w:sz w:val="32"/>
          <w:szCs w:val="32"/>
          <w:lang w:eastAsia="zh-CN"/>
        </w:rPr>
      </w:pPr>
      <w:r>
        <w:rPr>
          <w:rFonts w:hint="eastAsia" w:ascii="仿宋_GB2312" w:eastAsia="仿宋_GB2312"/>
          <w:color w:val="auto"/>
          <w:sz w:val="32"/>
          <w:szCs w:val="32"/>
        </w:rPr>
        <w:t>编制日期：</w:t>
      </w:r>
      <w:r>
        <w:rPr>
          <w:rFonts w:hint="eastAsia" w:ascii="仿宋_GB2312" w:eastAsia="仿宋_GB2312"/>
          <w:color w:val="auto"/>
          <w:sz w:val="32"/>
          <w:szCs w:val="32"/>
          <w:u w:val="single"/>
          <w:lang w:val="en-US" w:eastAsia="zh-CN"/>
        </w:rPr>
        <w:t xml:space="preserve">                </w:t>
      </w:r>
      <w:r>
        <w:rPr>
          <w:rFonts w:hint="default" w:ascii="Times New Roman" w:hAnsi="Times New Roman" w:eastAsia="仿宋_GB2312" w:cs="Times New Roman"/>
          <w:color w:val="auto"/>
          <w:sz w:val="32"/>
          <w:szCs w:val="32"/>
          <w:u w:val="single"/>
          <w:lang w:val="en-US" w:eastAsia="zh-CN"/>
        </w:rPr>
        <w:t>2026</w:t>
      </w:r>
      <w:r>
        <w:rPr>
          <w:rFonts w:hint="default" w:ascii="Times New Roman" w:hAnsi="Times New Roman" w:eastAsia="仿宋_GB2312" w:cs="Times New Roman"/>
          <w:color w:val="auto"/>
          <w:sz w:val="32"/>
          <w:szCs w:val="32"/>
          <w:u w:val="single"/>
        </w:rPr>
        <w:t>年</w:t>
      </w:r>
      <w:r>
        <w:rPr>
          <w:rFonts w:hint="eastAsia" w:eastAsia="仿宋_GB2312" w:cs="Times New Roman"/>
          <w:color w:val="auto"/>
          <w:sz w:val="32"/>
          <w:szCs w:val="32"/>
          <w:u w:val="single"/>
          <w:lang w:val="en-US" w:eastAsia="zh-CN"/>
        </w:rPr>
        <w:t>7</w:t>
      </w:r>
      <w:r>
        <w:rPr>
          <w:rFonts w:hint="default" w:ascii="Times New Roman" w:hAnsi="Times New Roman" w:eastAsia="仿宋_GB2312" w:cs="Times New Roman"/>
          <w:color w:val="auto"/>
          <w:sz w:val="32"/>
          <w:szCs w:val="32"/>
          <w:u w:val="single"/>
        </w:rPr>
        <w:t>月</w:t>
      </w:r>
      <w:r>
        <w:rPr>
          <w:rFonts w:hint="default" w:ascii="Times New Roman" w:hAnsi="Times New Roman" w:eastAsia="仿宋_GB2312" w:cs="Times New Roman"/>
          <w:color w:val="auto"/>
          <w:sz w:val="32"/>
          <w:szCs w:val="32"/>
          <w:u w:val="single"/>
          <w:lang w:val="en-US" w:eastAsia="zh-CN"/>
        </w:rPr>
        <w:t xml:space="preserve">     </w:t>
      </w:r>
      <w:r>
        <w:rPr>
          <w:rFonts w:hint="eastAsia" w:ascii="仿宋_GB2312" w:eastAsia="仿宋_GB2312"/>
          <w:color w:val="auto"/>
          <w:sz w:val="32"/>
          <w:szCs w:val="32"/>
          <w:u w:val="single"/>
          <w:lang w:val="en-US" w:eastAsia="zh-CN"/>
        </w:rPr>
        <w:t xml:space="preserve">           </w:t>
      </w:r>
    </w:p>
    <w:p w14:paraId="7DE713E9">
      <w:pPr>
        <w:pageBreakBefore w:val="0"/>
        <w:kinsoku/>
        <w:wordWrap/>
        <w:overflowPunct/>
        <w:bidi w:val="0"/>
        <w:adjustRightInd w:val="0"/>
        <w:snapToGrid w:val="0"/>
        <w:spacing w:line="288" w:lineRule="auto"/>
        <w:ind w:firstLine="1040"/>
        <w:rPr>
          <w:rFonts w:ascii="仿宋_GB2312" w:eastAsia="仿宋_GB2312"/>
          <w:color w:val="auto"/>
          <w:sz w:val="44"/>
          <w:szCs w:val="44"/>
          <w:u w:val="single"/>
        </w:rPr>
      </w:pPr>
    </w:p>
    <w:p w14:paraId="00DE73D2">
      <w:pPr>
        <w:pageBreakBefore w:val="0"/>
        <w:kinsoku/>
        <w:wordWrap/>
        <w:overflowPunct/>
        <w:bidi w:val="0"/>
        <w:adjustRightInd w:val="0"/>
        <w:snapToGrid w:val="0"/>
        <w:spacing w:line="288" w:lineRule="auto"/>
        <w:ind w:firstLine="1040"/>
        <w:rPr>
          <w:rFonts w:ascii="仿宋_GB2312" w:eastAsia="仿宋_GB2312"/>
          <w:color w:val="auto"/>
          <w:sz w:val="44"/>
          <w:szCs w:val="44"/>
        </w:rPr>
      </w:pPr>
    </w:p>
    <w:p w14:paraId="28CFB957">
      <w:pPr>
        <w:pageBreakBefore w:val="0"/>
        <w:kinsoku/>
        <w:wordWrap/>
        <w:overflowPunct/>
        <w:bidi w:val="0"/>
        <w:adjustRightInd w:val="0"/>
        <w:snapToGrid w:val="0"/>
        <w:spacing w:line="288" w:lineRule="auto"/>
        <w:ind w:firstLine="1040"/>
        <w:rPr>
          <w:rFonts w:ascii="仿宋_GB2312" w:eastAsia="仿宋_GB2312"/>
          <w:color w:val="auto"/>
          <w:sz w:val="44"/>
          <w:szCs w:val="44"/>
        </w:rPr>
      </w:pPr>
    </w:p>
    <w:p w14:paraId="0267FAE5">
      <w:pPr>
        <w:pageBreakBefore w:val="0"/>
        <w:kinsoku/>
        <w:wordWrap/>
        <w:overflowPunct/>
        <w:bidi w:val="0"/>
        <w:adjustRightInd w:val="0"/>
        <w:snapToGrid w:val="0"/>
        <w:spacing w:line="288" w:lineRule="auto"/>
        <w:ind w:firstLine="1040"/>
        <w:rPr>
          <w:rFonts w:ascii="仿宋_GB2312" w:eastAsia="仿宋_GB2312"/>
          <w:color w:val="auto"/>
          <w:sz w:val="44"/>
          <w:szCs w:val="44"/>
        </w:rPr>
      </w:pPr>
    </w:p>
    <w:p w14:paraId="7B4D8D94">
      <w:pPr>
        <w:pageBreakBefore w:val="0"/>
        <w:kinsoku/>
        <w:wordWrap/>
        <w:overflowPunct/>
        <w:bidi w:val="0"/>
        <w:adjustRightInd w:val="0"/>
        <w:snapToGrid w:val="0"/>
        <w:spacing w:line="288" w:lineRule="auto"/>
        <w:ind w:left="0" w:leftChars="0" w:firstLine="0" w:firstLineChars="0"/>
        <w:jc w:val="center"/>
        <w:outlineLvl w:val="0"/>
        <w:rPr>
          <w:rFonts w:ascii="楷体_GB2312" w:eastAsia="楷体_GB2312"/>
          <w:color w:val="auto"/>
          <w:sz w:val="36"/>
          <w:szCs w:val="36"/>
        </w:rPr>
      </w:pPr>
      <w:bookmarkStart w:id="8" w:name="_Toc10904"/>
      <w:r>
        <w:rPr>
          <w:rFonts w:hint="eastAsia" w:ascii="楷体_GB2312" w:eastAsia="楷体_GB2312"/>
          <w:color w:val="auto"/>
          <w:sz w:val="36"/>
          <w:szCs w:val="36"/>
        </w:rPr>
        <w:t>中华人民共和国生态环境部制</w:t>
      </w:r>
      <w:bookmarkEnd w:id="8"/>
    </w:p>
    <w:p w14:paraId="54B9008A">
      <w:pPr>
        <w:pageBreakBefore w:val="0"/>
        <w:kinsoku/>
        <w:wordWrap/>
        <w:overflowPunct/>
        <w:bidi w:val="0"/>
        <w:adjustRightInd w:val="0"/>
        <w:snapToGrid w:val="0"/>
        <w:spacing w:line="288" w:lineRule="auto"/>
        <w:ind w:firstLine="1040"/>
        <w:rPr>
          <w:rFonts w:ascii="仿宋_GB2312" w:eastAsia="仿宋_GB2312"/>
          <w:color w:val="auto"/>
          <w:sz w:val="36"/>
          <w:szCs w:val="36"/>
        </w:rPr>
        <w:sectPr>
          <w:footerReference r:id="rId5" w:type="default"/>
          <w:footerReference r:id="rId6" w:type="even"/>
          <w:pgSz w:w="11906" w:h="16838"/>
          <w:pgMar w:top="1701" w:right="1531" w:bottom="1701" w:left="1531" w:header="851" w:footer="1077" w:gutter="0"/>
          <w:pgBorders>
            <w:top w:val="none" w:sz="0" w:space="0"/>
            <w:left w:val="none" w:sz="0" w:space="0"/>
            <w:bottom w:val="none" w:sz="0" w:space="0"/>
            <w:right w:val="none" w:sz="0" w:space="0"/>
          </w:pgBorders>
          <w:pgNumType w:start="21"/>
          <w:cols w:space="720" w:num="1"/>
          <w:docGrid w:linePitch="312" w:charSpace="0"/>
        </w:sectPr>
      </w:pP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85"/>
        <w:gridCol w:w="4475"/>
      </w:tblGrid>
      <w:tr w14:paraId="1B894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2" w:hRule="atLeast"/>
        </w:trPr>
        <w:tc>
          <w:tcPr>
            <w:tcW w:w="4585" w:type="dxa"/>
            <w:vAlign w:val="center"/>
          </w:tcPr>
          <w:p w14:paraId="6D0B0620">
            <w:pPr>
              <w:pStyle w:val="37"/>
              <w:bidi w:val="0"/>
              <w:rPr>
                <w:rStyle w:val="24"/>
                <w:rFonts w:hint="eastAsia" w:ascii="Times New Roman" w:hAnsi="Times New Roman" w:eastAsia="宋体"/>
                <w:caps w:val="0"/>
                <w:color w:val="auto"/>
                <w:szCs w:val="24"/>
                <w:u w:val="none"/>
                <w:vertAlign w:val="baseline"/>
              </w:rPr>
            </w:pPr>
            <w:r>
              <w:rPr>
                <w:color w:val="auto"/>
              </w:rPr>
              <mc:AlternateContent>
                <mc:Choice Requires="wps">
                  <w:drawing>
                    <wp:anchor distT="0" distB="0" distL="114300" distR="114300" simplePos="0" relativeHeight="251664384" behindDoc="0" locked="0" layoutInCell="1" allowOverlap="1">
                      <wp:simplePos x="0" y="0"/>
                      <wp:positionH relativeFrom="column">
                        <wp:posOffset>2002790</wp:posOffset>
                      </wp:positionH>
                      <wp:positionV relativeFrom="paragraph">
                        <wp:posOffset>1534160</wp:posOffset>
                      </wp:positionV>
                      <wp:extent cx="739140" cy="259715"/>
                      <wp:effectExtent l="0" t="0" r="3810" b="6985"/>
                      <wp:wrapNone/>
                      <wp:docPr id="1" name="文本框 1"/>
                      <wp:cNvGraphicFramePr/>
                      <a:graphic xmlns:a="http://schemas.openxmlformats.org/drawingml/2006/main">
                        <a:graphicData uri="http://schemas.microsoft.com/office/word/2010/wordprocessingShape">
                          <wps:wsp>
                            <wps:cNvSpPr txBox="1"/>
                            <wps:spPr>
                              <a:xfrm>
                                <a:off x="2715260" y="2658110"/>
                                <a:ext cx="739140" cy="259715"/>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1BCFD38A">
                                  <w:pPr>
                                    <w:ind w:left="0" w:leftChars="0" w:firstLine="0" w:firstLineChars="0"/>
                                    <w:rPr>
                                      <w:rFonts w:hint="default" w:eastAsia="宋体"/>
                                      <w:b/>
                                      <w:bCs/>
                                      <w:color w:val="FF0000"/>
                                      <w:sz w:val="21"/>
                                      <w:szCs w:val="21"/>
                                      <w:lang w:val="en-US" w:eastAsia="zh-CN"/>
                                    </w:rPr>
                                  </w:pPr>
                                  <w:r>
                                    <w:rPr>
                                      <w:rFonts w:hint="eastAsia"/>
                                      <w:b/>
                                      <w:bCs/>
                                      <w:color w:val="FF0000"/>
                                      <w:sz w:val="21"/>
                                      <w:szCs w:val="21"/>
                                      <w:lang w:val="en-US" w:eastAsia="zh-CN"/>
                                    </w:rPr>
                                    <w:t>2025.2.28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7pt;margin-top:120.8pt;height:20.45pt;width:58.2pt;z-index:251664384;mso-width-relative:page;mso-height-relative:page;" fillcolor="#D9D9D9 [2732]" filled="t" stroked="f" coordsize="21600,21600" o:gfxdata="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7AYZX2QAAAAsBAAAPAAAAAAAAAAEAIAAAACIAAABkcnMvZG93bnJldi54bWxQ&#10;SwECFAAUAAAACACHTuJA/Hngd2gCAAC8BAAADgAAAAAAAAABACAAAAAoAQAAZHJzL2Uyb0RvYy54&#10;bWxQSwUGAAAAAAYABgBZAQAAAgYAAAAA&#10;">
                      <v:fill on="t" focussize="0,0"/>
                      <v:stroke on="f" weight="0.5pt"/>
                      <v:imagedata o:title=""/>
                      <o:lock v:ext="edit" aspectratio="f"/>
                      <v:textbox>
                        <w:txbxContent>
                          <w:p w14:paraId="1BCFD38A">
                            <w:pPr>
                              <w:ind w:left="0" w:leftChars="0" w:firstLine="0" w:firstLineChars="0"/>
                              <w:rPr>
                                <w:rFonts w:hint="default" w:eastAsia="宋体"/>
                                <w:b/>
                                <w:bCs/>
                                <w:color w:val="FF0000"/>
                                <w:sz w:val="21"/>
                                <w:szCs w:val="21"/>
                                <w:lang w:val="en-US" w:eastAsia="zh-CN"/>
                              </w:rPr>
                            </w:pPr>
                            <w:r>
                              <w:rPr>
                                <w:rFonts w:hint="eastAsia"/>
                                <w:b/>
                                <w:bCs/>
                                <w:color w:val="FF0000"/>
                                <w:sz w:val="21"/>
                                <w:szCs w:val="21"/>
                                <w:lang w:val="en-US" w:eastAsia="zh-CN"/>
                              </w:rPr>
                              <w:t>2025.2.28</w:t>
                            </w:r>
                          </w:p>
                        </w:txbxContent>
                      </v:textbox>
                    </v:shape>
                  </w:pict>
                </mc:Fallback>
              </mc:AlternateContent>
            </w:r>
            <w:r>
              <w:rPr>
                <w:color w:val="auto"/>
              </w:rPr>
              <mc:AlternateContent>
                <mc:Choice Requires="wps">
                  <w:drawing>
                    <wp:anchor distT="0" distB="0" distL="114300" distR="114300" simplePos="0" relativeHeight="251661312" behindDoc="0" locked="0" layoutInCell="1" allowOverlap="1">
                      <wp:simplePos x="0" y="0"/>
                      <wp:positionH relativeFrom="column">
                        <wp:posOffset>845820</wp:posOffset>
                      </wp:positionH>
                      <wp:positionV relativeFrom="paragraph">
                        <wp:posOffset>883285</wp:posOffset>
                      </wp:positionV>
                      <wp:extent cx="357505" cy="381635"/>
                      <wp:effectExtent l="9525" t="9525" r="13970" b="27940"/>
                      <wp:wrapNone/>
                      <wp:docPr id="21" name="椭圆 21"/>
                      <wp:cNvGraphicFramePr/>
                      <a:graphic xmlns:a="http://schemas.openxmlformats.org/drawingml/2006/main">
                        <a:graphicData uri="http://schemas.microsoft.com/office/word/2010/wordprocessingShape">
                          <wps:wsp>
                            <wps:cNvSpPr/>
                            <wps:spPr>
                              <a:xfrm>
                                <a:off x="0" y="0"/>
                                <a:ext cx="357505" cy="381635"/>
                              </a:xfrm>
                              <a:prstGeom prst="ellipse">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7C09EE50">
                                  <w:pPr>
                                    <w:jc w:val="center"/>
                                    <w:rPr>
                                      <w:rFonts w:hint="eastAsia" w:eastAsia="宋体"/>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6.6pt;margin-top:69.55pt;height:30.05pt;width:28.15pt;z-index:251661312;v-text-anchor:middle;mso-width-relative:page;mso-height-relative:page;" filled="f" stroked="t" coordsize="21600,21600" o:gfxdata="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PdDI01wAAAAsBAAAPAAAAAAAAAAEAIAAAACIAAABkcnMvZG93&#10;bnJldi54bWxQSwECFAAUAAAACACHTuJA4YWSSHMCAADaBAAADgAAAAAAAAABACAAAAAmAQAAZHJz&#10;L2Uyb0RvYy54bWxQSwUGAAAAAAYABgBZAQAACwYAAAAA&#10;">
                      <v:fill on="f" focussize="0,0"/>
                      <v:stroke weight="1.5pt" color="#FF0000 [2404]" miterlimit="8" joinstyle="miter"/>
                      <v:imagedata o:title=""/>
                      <o:lock v:ext="edit" aspectratio="f"/>
                      <v:textbox>
                        <w:txbxContent>
                          <w:p w14:paraId="7C09EE50">
                            <w:pPr>
                              <w:jc w:val="center"/>
                              <w:rPr>
                                <w:rFonts w:hint="eastAsia" w:eastAsia="宋体"/>
                                <w:lang w:val="en-US" w:eastAsia="zh-CN"/>
                              </w:rPr>
                            </w:pPr>
                          </w:p>
                        </w:txbxContent>
                      </v:textbox>
                    </v:shape>
                  </w:pict>
                </mc:Fallback>
              </mc:AlternateContent>
            </w:r>
            <w:r>
              <w:rPr>
                <w:color w:val="auto"/>
              </w:rPr>
              <w:drawing>
                <wp:inline distT="0" distB="0" distL="114300" distR="114300">
                  <wp:extent cx="2710180" cy="1806575"/>
                  <wp:effectExtent l="0" t="0" r="13970" b="3175"/>
                  <wp:docPr id="20" name="图片 20" descr="DJI_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DJI_0191"/>
                          <pic:cNvPicPr>
                            <a:picLocks noChangeAspect="1"/>
                          </pic:cNvPicPr>
                        </pic:nvPicPr>
                        <pic:blipFill>
                          <a:blip r:embed="rId21"/>
                          <a:stretch>
                            <a:fillRect/>
                          </a:stretch>
                        </pic:blipFill>
                        <pic:spPr>
                          <a:xfrm>
                            <a:off x="0" y="0"/>
                            <a:ext cx="2710180" cy="1806575"/>
                          </a:xfrm>
                          <a:prstGeom prst="rect">
                            <a:avLst/>
                          </a:prstGeom>
                        </pic:spPr>
                      </pic:pic>
                    </a:graphicData>
                  </a:graphic>
                </wp:inline>
              </w:drawing>
            </w:r>
          </w:p>
        </w:tc>
        <w:tc>
          <w:tcPr>
            <w:tcW w:w="4475" w:type="dxa"/>
            <w:vAlign w:val="center"/>
          </w:tcPr>
          <w:p w14:paraId="76F7C2D6">
            <w:pPr>
              <w:pStyle w:val="37"/>
              <w:bidi w:val="0"/>
              <w:rPr>
                <w:rStyle w:val="24"/>
                <w:rFonts w:hint="eastAsia" w:ascii="Times New Roman" w:hAnsi="Times New Roman" w:eastAsia="宋体"/>
                <w:caps w:val="0"/>
                <w:color w:val="auto"/>
                <w:szCs w:val="24"/>
                <w:u w:val="none"/>
                <w:vertAlign w:val="baseline"/>
              </w:rPr>
            </w:pPr>
            <w:r>
              <w:rPr>
                <w:color w:val="auto"/>
              </w:rPr>
              <mc:AlternateContent>
                <mc:Choice Requires="wps">
                  <w:drawing>
                    <wp:anchor distT="0" distB="0" distL="114300" distR="114300" simplePos="0" relativeHeight="251665408" behindDoc="0" locked="0" layoutInCell="1" allowOverlap="1">
                      <wp:simplePos x="0" y="0"/>
                      <wp:positionH relativeFrom="column">
                        <wp:posOffset>1994535</wp:posOffset>
                      </wp:positionH>
                      <wp:positionV relativeFrom="paragraph">
                        <wp:posOffset>1515745</wp:posOffset>
                      </wp:positionV>
                      <wp:extent cx="739140" cy="259715"/>
                      <wp:effectExtent l="0" t="0" r="3810" b="6985"/>
                      <wp:wrapNone/>
                      <wp:docPr id="6" name="文本框 6"/>
                      <wp:cNvGraphicFramePr/>
                      <a:graphic xmlns:a="http://schemas.openxmlformats.org/drawingml/2006/main">
                        <a:graphicData uri="http://schemas.microsoft.com/office/word/2010/wordprocessingShape">
                          <wps:wsp>
                            <wps:cNvSpPr txBox="1"/>
                            <wps:spPr>
                              <a:xfrm>
                                <a:off x="0" y="0"/>
                                <a:ext cx="739140" cy="259715"/>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5C7184C7">
                                  <w:pPr>
                                    <w:ind w:left="0" w:leftChars="0" w:firstLine="0" w:firstLineChars="0"/>
                                    <w:rPr>
                                      <w:rFonts w:hint="default" w:eastAsia="宋体"/>
                                      <w:b/>
                                      <w:bCs/>
                                      <w:color w:val="FF0000"/>
                                      <w:sz w:val="21"/>
                                      <w:szCs w:val="21"/>
                                      <w:lang w:val="en-US" w:eastAsia="zh-CN"/>
                                    </w:rPr>
                                  </w:pPr>
                                  <w:r>
                                    <w:rPr>
                                      <w:rFonts w:hint="eastAsia"/>
                                      <w:b/>
                                      <w:bCs/>
                                      <w:color w:val="FF0000"/>
                                      <w:sz w:val="21"/>
                                      <w:szCs w:val="21"/>
                                      <w:lang w:val="en-US" w:eastAsia="zh-CN"/>
                                    </w:rPr>
                                    <w:t>2025.2.28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7.05pt;margin-top:119.35pt;height:20.45pt;width:58.2pt;z-index:251665408;mso-width-relative:page;mso-height-relative:page;" fillcolor="#D9D9D9 [2732]" filled="t" stroked="f" coordsize="21600,21600" o:gfxdata="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L3dNWdoAAAALAQAADwAAAAAAAAABACAAAAAiAAAAZHJzL2Rvd25yZXYueG1sUEsBAhQAFAAA&#10;AAgAh07iQLNlQf9fAgAAsAQAAA4AAAAAAAAAAQAgAAAAKQEAAGRycy9lMm9Eb2MueG1sUEsFBgAA&#10;AAAGAAYAWQEAAPoFAAAAAA==&#10;">
                      <v:fill on="t" focussize="0,0"/>
                      <v:stroke on="f" weight="0.5pt"/>
                      <v:imagedata o:title=""/>
                      <o:lock v:ext="edit" aspectratio="f"/>
                      <v:textbox>
                        <w:txbxContent>
                          <w:p w14:paraId="5C7184C7">
                            <w:pPr>
                              <w:ind w:left="0" w:leftChars="0" w:firstLine="0" w:firstLineChars="0"/>
                              <w:rPr>
                                <w:rFonts w:hint="default" w:eastAsia="宋体"/>
                                <w:b/>
                                <w:bCs/>
                                <w:color w:val="FF0000"/>
                                <w:sz w:val="21"/>
                                <w:szCs w:val="21"/>
                                <w:lang w:val="en-US" w:eastAsia="zh-CN"/>
                              </w:rPr>
                            </w:pPr>
                            <w:r>
                              <w:rPr>
                                <w:rFonts w:hint="eastAsia"/>
                                <w:b/>
                                <w:bCs/>
                                <w:color w:val="FF0000"/>
                                <w:sz w:val="21"/>
                                <w:szCs w:val="21"/>
                                <w:lang w:val="en-US" w:eastAsia="zh-CN"/>
                              </w:rPr>
                              <w:t>2025.2.28</w:t>
                            </w:r>
                          </w:p>
                        </w:txbxContent>
                      </v:textbox>
                    </v:shape>
                  </w:pict>
                </mc:Fallback>
              </mc:AlternateContent>
            </w:r>
            <w:r>
              <w:rPr>
                <w:color w:val="auto"/>
              </w:rPr>
              <mc:AlternateContent>
                <mc:Choice Requires="wps">
                  <w:drawing>
                    <wp:anchor distT="0" distB="0" distL="114300" distR="114300" simplePos="0" relativeHeight="251660288" behindDoc="0" locked="0" layoutInCell="1" allowOverlap="1">
                      <wp:simplePos x="0" y="0"/>
                      <wp:positionH relativeFrom="column">
                        <wp:posOffset>885190</wp:posOffset>
                      </wp:positionH>
                      <wp:positionV relativeFrom="paragraph">
                        <wp:posOffset>456565</wp:posOffset>
                      </wp:positionV>
                      <wp:extent cx="357505" cy="381635"/>
                      <wp:effectExtent l="9525" t="9525" r="13970" b="27940"/>
                      <wp:wrapNone/>
                      <wp:docPr id="7" name="椭圆 7"/>
                      <wp:cNvGraphicFramePr/>
                      <a:graphic xmlns:a="http://schemas.openxmlformats.org/drawingml/2006/main">
                        <a:graphicData uri="http://schemas.microsoft.com/office/word/2010/wordprocessingShape">
                          <wps:wsp>
                            <wps:cNvSpPr/>
                            <wps:spPr>
                              <a:xfrm>
                                <a:off x="0" y="0"/>
                                <a:ext cx="357505" cy="381635"/>
                              </a:xfrm>
                              <a:prstGeom prst="ellipse">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246A42BB">
                                  <w:pPr>
                                    <w:jc w:val="center"/>
                                    <w:rPr>
                                      <w:rFonts w:hint="eastAsia" w:eastAsia="宋体"/>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9.7pt;margin-top:35.95pt;height:30.05pt;width:28.15pt;z-index:251660288;v-text-anchor:middle;mso-width-relative:page;mso-height-relative:page;" filled="f" stroked="t" coordsize="21600,21600" o:gfxdata="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nLtkNdUAAAAKAQAADwAAAAAAAAABACAAAAAiAAAAZHJzL2Rvd25y&#10;ZXYueG1sUEsBAhQAFAAAAAgAh07iQAkKPZlzAgAA2AQAAA4AAAAAAAAAAQAgAAAAJAEAAGRycy9l&#10;Mm9Eb2MueG1sUEsFBgAAAAAGAAYAWQEAAAkGAAAAAA==&#10;">
                      <v:fill on="f" focussize="0,0"/>
                      <v:stroke weight="1.5pt" color="#FF0000 [2404]" miterlimit="8" joinstyle="miter"/>
                      <v:imagedata o:title=""/>
                      <o:lock v:ext="edit" aspectratio="f"/>
                      <v:textbox>
                        <w:txbxContent>
                          <w:p w14:paraId="246A42BB">
                            <w:pPr>
                              <w:jc w:val="center"/>
                              <w:rPr>
                                <w:rFonts w:hint="eastAsia" w:eastAsia="宋体"/>
                                <w:lang w:val="en-US" w:eastAsia="zh-CN"/>
                              </w:rPr>
                            </w:pPr>
                          </w:p>
                        </w:txbxContent>
                      </v:textbox>
                    </v:shape>
                  </w:pict>
                </mc:Fallback>
              </mc:AlternateContent>
            </w:r>
            <w:r>
              <w:rPr>
                <w:color w:val="auto"/>
              </w:rPr>
              <w:drawing>
                <wp:inline distT="0" distB="0" distL="114300" distR="114300">
                  <wp:extent cx="2748280" cy="1800225"/>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22"/>
                          <a:srcRect b="6188"/>
                          <a:stretch>
                            <a:fillRect/>
                          </a:stretch>
                        </pic:blipFill>
                        <pic:spPr>
                          <a:xfrm>
                            <a:off x="0" y="0"/>
                            <a:ext cx="2748280" cy="1800225"/>
                          </a:xfrm>
                          <a:prstGeom prst="rect">
                            <a:avLst/>
                          </a:prstGeom>
                          <a:noFill/>
                          <a:ln>
                            <a:noFill/>
                          </a:ln>
                        </pic:spPr>
                      </pic:pic>
                    </a:graphicData>
                  </a:graphic>
                </wp:inline>
              </w:drawing>
            </w:r>
          </w:p>
        </w:tc>
      </w:tr>
      <w:tr w14:paraId="4F0A1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vAlign w:val="center"/>
          </w:tcPr>
          <w:p w14:paraId="536262F4">
            <w:pPr>
              <w:pStyle w:val="37"/>
              <w:bidi w:val="0"/>
              <w:rPr>
                <w:rStyle w:val="24"/>
                <w:rFonts w:hint="default" w:ascii="Times New Roman" w:hAnsi="Times New Roman" w:eastAsia="宋体"/>
                <w:caps w:val="0"/>
                <w:color w:val="auto"/>
                <w:szCs w:val="24"/>
                <w:u w:val="none"/>
                <w:vertAlign w:val="baseline"/>
                <w:lang w:val="en-US" w:eastAsia="zh-CN"/>
              </w:rPr>
            </w:pPr>
            <w:r>
              <w:rPr>
                <w:rStyle w:val="24"/>
                <w:rFonts w:hint="eastAsia" w:ascii="Times New Roman" w:hAnsi="Times New Roman" w:eastAsia="宋体"/>
                <w:caps w:val="0"/>
                <w:color w:val="auto"/>
                <w:szCs w:val="24"/>
                <w:u w:val="none"/>
                <w:vertAlign w:val="baseline"/>
              </w:rPr>
              <w:t>XZB01</w:t>
            </w:r>
            <w:r>
              <w:rPr>
                <w:rStyle w:val="24"/>
                <w:rFonts w:hint="eastAsia" w:ascii="Times New Roman" w:hAnsi="Times New Roman"/>
                <w:caps w:val="0"/>
                <w:color w:val="auto"/>
                <w:szCs w:val="24"/>
                <w:u w:val="none"/>
                <w:vertAlign w:val="baseline"/>
                <w:lang w:val="en-US" w:eastAsia="zh-CN"/>
              </w:rPr>
              <w:t>风机选址现状</w:t>
            </w:r>
          </w:p>
        </w:tc>
        <w:tc>
          <w:tcPr>
            <w:tcW w:w="4475" w:type="dxa"/>
            <w:vAlign w:val="center"/>
          </w:tcPr>
          <w:p w14:paraId="70220A35">
            <w:pPr>
              <w:pStyle w:val="37"/>
              <w:bidi w:val="0"/>
              <w:rPr>
                <w:rStyle w:val="24"/>
                <w:rFonts w:hint="eastAsia" w:ascii="Times New Roman" w:hAnsi="Times New Roman" w:eastAsia="宋体"/>
                <w:caps w:val="0"/>
                <w:color w:val="auto"/>
                <w:szCs w:val="24"/>
                <w:u w:val="none"/>
                <w:vertAlign w:val="baseline"/>
                <w:lang w:val="en-US" w:eastAsia="zh-CN"/>
              </w:rPr>
            </w:pPr>
            <w:r>
              <w:rPr>
                <w:rStyle w:val="24"/>
                <w:rFonts w:hint="eastAsia" w:ascii="Times New Roman" w:hAnsi="Times New Roman" w:eastAsia="宋体"/>
                <w:caps w:val="0"/>
                <w:color w:val="auto"/>
                <w:szCs w:val="24"/>
                <w:u w:val="none"/>
                <w:vertAlign w:val="baseline"/>
              </w:rPr>
              <w:t>XZB0</w:t>
            </w:r>
            <w:r>
              <w:rPr>
                <w:rStyle w:val="24"/>
                <w:rFonts w:hint="eastAsia" w:ascii="Times New Roman" w:hAnsi="Times New Roman"/>
                <w:caps w:val="0"/>
                <w:color w:val="auto"/>
                <w:szCs w:val="24"/>
                <w:u w:val="none"/>
                <w:vertAlign w:val="baseline"/>
                <w:lang w:val="en-US" w:eastAsia="zh-CN"/>
              </w:rPr>
              <w:t>2风机选址现状</w:t>
            </w:r>
          </w:p>
        </w:tc>
      </w:tr>
      <w:tr w14:paraId="3618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2" w:hRule="atLeast"/>
        </w:trPr>
        <w:tc>
          <w:tcPr>
            <w:tcW w:w="4585" w:type="dxa"/>
            <w:vAlign w:val="center"/>
          </w:tcPr>
          <w:p w14:paraId="142DB7AC">
            <w:pPr>
              <w:pStyle w:val="37"/>
              <w:bidi w:val="0"/>
              <w:rPr>
                <w:rStyle w:val="24"/>
                <w:rFonts w:hint="eastAsia" w:ascii="Times New Roman" w:hAnsi="Times New Roman" w:eastAsia="宋体"/>
                <w:caps w:val="0"/>
                <w:color w:val="auto"/>
                <w:szCs w:val="24"/>
                <w:u w:val="none"/>
                <w:vertAlign w:val="baseline"/>
              </w:rPr>
            </w:pPr>
            <w:r>
              <w:rPr>
                <w:color w:val="auto"/>
              </w:rPr>
              <mc:AlternateContent>
                <mc:Choice Requires="wps">
                  <w:drawing>
                    <wp:anchor distT="0" distB="0" distL="114300" distR="114300" simplePos="0" relativeHeight="251666432" behindDoc="0" locked="0" layoutInCell="1" allowOverlap="1">
                      <wp:simplePos x="0" y="0"/>
                      <wp:positionH relativeFrom="column">
                        <wp:posOffset>2068830</wp:posOffset>
                      </wp:positionH>
                      <wp:positionV relativeFrom="paragraph">
                        <wp:posOffset>1508760</wp:posOffset>
                      </wp:positionV>
                      <wp:extent cx="739140" cy="259715"/>
                      <wp:effectExtent l="0" t="0" r="3810" b="6985"/>
                      <wp:wrapNone/>
                      <wp:docPr id="17" name="文本框 17"/>
                      <wp:cNvGraphicFramePr/>
                      <a:graphic xmlns:a="http://schemas.openxmlformats.org/drawingml/2006/main">
                        <a:graphicData uri="http://schemas.microsoft.com/office/word/2010/wordprocessingShape">
                          <wps:wsp>
                            <wps:cNvSpPr txBox="1"/>
                            <wps:spPr>
                              <a:xfrm>
                                <a:off x="0" y="0"/>
                                <a:ext cx="739140" cy="259715"/>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2C04AD01">
                                  <w:pPr>
                                    <w:ind w:left="0" w:leftChars="0" w:firstLine="0" w:firstLineChars="0"/>
                                    <w:rPr>
                                      <w:rFonts w:hint="default" w:eastAsia="宋体"/>
                                      <w:b/>
                                      <w:bCs/>
                                      <w:color w:val="FF0000"/>
                                      <w:sz w:val="21"/>
                                      <w:szCs w:val="21"/>
                                      <w:lang w:val="en-US" w:eastAsia="zh-CN"/>
                                    </w:rPr>
                                  </w:pPr>
                                  <w:r>
                                    <w:rPr>
                                      <w:rFonts w:hint="eastAsia"/>
                                      <w:b/>
                                      <w:bCs/>
                                      <w:color w:val="FF0000"/>
                                      <w:sz w:val="21"/>
                                      <w:szCs w:val="21"/>
                                      <w:lang w:val="en-US" w:eastAsia="zh-CN"/>
                                    </w:rPr>
                                    <w:t>2025.2.28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9pt;margin-top:118.8pt;height:20.45pt;width:58.2pt;z-index:251666432;mso-width-relative:page;mso-height-relative:page;" fillcolor="#D9D9D9 [2732]" filled="t" stroked="f" coordsize="21600,21600" o:gfxdata="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M5HXdHaAAAACwEAAA8AAAAAAAAAAQAgAAAAIgAAAGRycy9kb3ducmV2LnhtbFBLAQIUABQA&#10;AAAIAIdO4kCdI3jlYAIAALIEAAAOAAAAAAAAAAEAIAAAACkBAABkcnMvZTJvRG9jLnhtbFBLBQYA&#10;AAAABgAGAFkBAAD7BQAAAAA=&#10;">
                      <v:fill on="t" focussize="0,0"/>
                      <v:stroke on="f" weight="0.5pt"/>
                      <v:imagedata o:title=""/>
                      <o:lock v:ext="edit" aspectratio="f"/>
                      <v:textbox>
                        <w:txbxContent>
                          <w:p w14:paraId="2C04AD01">
                            <w:pPr>
                              <w:ind w:left="0" w:leftChars="0" w:firstLine="0" w:firstLineChars="0"/>
                              <w:rPr>
                                <w:rFonts w:hint="default" w:eastAsia="宋体"/>
                                <w:b/>
                                <w:bCs/>
                                <w:color w:val="FF0000"/>
                                <w:sz w:val="21"/>
                                <w:szCs w:val="21"/>
                                <w:lang w:val="en-US" w:eastAsia="zh-CN"/>
                              </w:rPr>
                            </w:pPr>
                            <w:r>
                              <w:rPr>
                                <w:rFonts w:hint="eastAsia"/>
                                <w:b/>
                                <w:bCs/>
                                <w:color w:val="FF0000"/>
                                <w:sz w:val="21"/>
                                <w:szCs w:val="21"/>
                                <w:lang w:val="en-US" w:eastAsia="zh-CN"/>
                              </w:rPr>
                              <w:t>2025.2.28</w:t>
                            </w:r>
                          </w:p>
                        </w:txbxContent>
                      </v:textbox>
                    </v:shape>
                  </w:pict>
                </mc:Fallback>
              </mc:AlternateContent>
            </w:r>
            <w:r>
              <w:rPr>
                <w:color w:val="auto"/>
              </w:rPr>
              <mc:AlternateContent>
                <mc:Choice Requires="wps">
                  <w:drawing>
                    <wp:anchor distT="0" distB="0" distL="114300" distR="114300" simplePos="0" relativeHeight="251662336" behindDoc="0" locked="0" layoutInCell="1" allowOverlap="1">
                      <wp:simplePos x="0" y="0"/>
                      <wp:positionH relativeFrom="column">
                        <wp:posOffset>1306195</wp:posOffset>
                      </wp:positionH>
                      <wp:positionV relativeFrom="paragraph">
                        <wp:posOffset>595630</wp:posOffset>
                      </wp:positionV>
                      <wp:extent cx="357505" cy="381635"/>
                      <wp:effectExtent l="9525" t="9525" r="13970" b="27940"/>
                      <wp:wrapNone/>
                      <wp:docPr id="22" name="椭圆 22"/>
                      <wp:cNvGraphicFramePr/>
                      <a:graphic xmlns:a="http://schemas.openxmlformats.org/drawingml/2006/main">
                        <a:graphicData uri="http://schemas.microsoft.com/office/word/2010/wordprocessingShape">
                          <wps:wsp>
                            <wps:cNvSpPr/>
                            <wps:spPr>
                              <a:xfrm>
                                <a:off x="0" y="0"/>
                                <a:ext cx="357505" cy="381635"/>
                              </a:xfrm>
                              <a:prstGeom prst="ellipse">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29F03F6">
                                  <w:pPr>
                                    <w:jc w:val="center"/>
                                    <w:rPr>
                                      <w:rFonts w:hint="eastAsia" w:eastAsia="宋体"/>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02.85pt;margin-top:46.9pt;height:30.05pt;width:28.15pt;z-index:251662336;v-text-anchor:middle;mso-width-relative:page;mso-height-relative:page;" filled="f" stroked="t" coordsize="21600,21600" o:gfxdata="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igAJm9cAAAAKAQAADwAAAAAAAAABACAAAAAiAAAAZHJzL2Rv&#10;d25yZXYueG1sUEsBAhQAFAAAAAgAh07iQCTYcC90AgAA2gQAAA4AAAAAAAAAAQAgAAAAJgEAAGRy&#10;cy9lMm9Eb2MueG1sUEsFBgAAAAAGAAYAWQEAAAwGAAAAAA==&#10;">
                      <v:fill on="f" focussize="0,0"/>
                      <v:stroke weight="1.5pt" color="#FF0000 [2404]" miterlimit="8" joinstyle="miter"/>
                      <v:imagedata o:title=""/>
                      <o:lock v:ext="edit" aspectratio="f"/>
                      <v:textbox>
                        <w:txbxContent>
                          <w:p w14:paraId="129F03F6">
                            <w:pPr>
                              <w:jc w:val="center"/>
                              <w:rPr>
                                <w:rFonts w:hint="eastAsia" w:eastAsia="宋体"/>
                                <w:lang w:val="en-US" w:eastAsia="zh-CN"/>
                              </w:rPr>
                            </w:pPr>
                          </w:p>
                        </w:txbxContent>
                      </v:textbox>
                    </v:shape>
                  </w:pict>
                </mc:Fallback>
              </mc:AlternateContent>
            </w:r>
            <w:r>
              <w:rPr>
                <w:color w:val="auto"/>
              </w:rPr>
              <w:drawing>
                <wp:inline distT="0" distB="0" distL="114300" distR="114300">
                  <wp:extent cx="2811145" cy="1753870"/>
                  <wp:effectExtent l="0" t="0" r="8255" b="17780"/>
                  <wp:docPr id="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pic:cNvPicPr>
                            <a:picLocks noChangeAspect="1"/>
                          </pic:cNvPicPr>
                        </pic:nvPicPr>
                        <pic:blipFill>
                          <a:blip r:embed="rId23"/>
                          <a:stretch>
                            <a:fillRect/>
                          </a:stretch>
                        </pic:blipFill>
                        <pic:spPr>
                          <a:xfrm>
                            <a:off x="0" y="0"/>
                            <a:ext cx="2811145" cy="1753870"/>
                          </a:xfrm>
                          <a:prstGeom prst="rect">
                            <a:avLst/>
                          </a:prstGeom>
                          <a:noFill/>
                          <a:ln>
                            <a:noFill/>
                          </a:ln>
                        </pic:spPr>
                      </pic:pic>
                    </a:graphicData>
                  </a:graphic>
                </wp:inline>
              </w:drawing>
            </w:r>
          </w:p>
        </w:tc>
        <w:tc>
          <w:tcPr>
            <w:tcW w:w="4475" w:type="dxa"/>
            <w:vAlign w:val="center"/>
          </w:tcPr>
          <w:p w14:paraId="433358AD">
            <w:pPr>
              <w:pStyle w:val="37"/>
              <w:bidi w:val="0"/>
              <w:rPr>
                <w:rStyle w:val="24"/>
                <w:rFonts w:hint="eastAsia" w:ascii="Times New Roman" w:hAnsi="Times New Roman" w:eastAsia="宋体"/>
                <w:caps w:val="0"/>
                <w:color w:val="auto"/>
                <w:szCs w:val="24"/>
                <w:u w:val="none"/>
                <w:vertAlign w:val="baseline"/>
                <w:lang w:eastAsia="zh-CN"/>
              </w:rPr>
            </w:pPr>
            <w:r>
              <w:rPr>
                <w:color w:val="auto"/>
              </w:rPr>
              <mc:AlternateContent>
                <mc:Choice Requires="wps">
                  <w:drawing>
                    <wp:anchor distT="0" distB="0" distL="114300" distR="114300" simplePos="0" relativeHeight="251667456" behindDoc="0" locked="0" layoutInCell="1" allowOverlap="1">
                      <wp:simplePos x="0" y="0"/>
                      <wp:positionH relativeFrom="column">
                        <wp:posOffset>1921510</wp:posOffset>
                      </wp:positionH>
                      <wp:positionV relativeFrom="paragraph">
                        <wp:posOffset>1475105</wp:posOffset>
                      </wp:positionV>
                      <wp:extent cx="739140" cy="259715"/>
                      <wp:effectExtent l="0" t="0" r="3810" b="6985"/>
                      <wp:wrapNone/>
                      <wp:docPr id="19" name="文本框 19"/>
                      <wp:cNvGraphicFramePr/>
                      <a:graphic xmlns:a="http://schemas.openxmlformats.org/drawingml/2006/main">
                        <a:graphicData uri="http://schemas.microsoft.com/office/word/2010/wordprocessingShape">
                          <wps:wsp>
                            <wps:cNvSpPr txBox="1"/>
                            <wps:spPr>
                              <a:xfrm>
                                <a:off x="0" y="0"/>
                                <a:ext cx="739140" cy="259715"/>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0BD7D57A">
                                  <w:pPr>
                                    <w:ind w:left="0" w:leftChars="0" w:firstLine="0" w:firstLineChars="0"/>
                                    <w:rPr>
                                      <w:rFonts w:hint="default" w:eastAsia="宋体"/>
                                      <w:b/>
                                      <w:bCs/>
                                      <w:color w:val="FF0000"/>
                                      <w:sz w:val="21"/>
                                      <w:szCs w:val="21"/>
                                      <w:lang w:val="en-US" w:eastAsia="zh-CN"/>
                                    </w:rPr>
                                  </w:pPr>
                                  <w:r>
                                    <w:rPr>
                                      <w:rFonts w:hint="eastAsia"/>
                                      <w:b/>
                                      <w:bCs/>
                                      <w:color w:val="FF0000"/>
                                      <w:sz w:val="21"/>
                                      <w:szCs w:val="21"/>
                                      <w:lang w:val="en-US" w:eastAsia="zh-CN"/>
                                    </w:rPr>
                                    <w:t>2025.2.28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1.3pt;margin-top:116.15pt;height:20.45pt;width:58.2pt;z-index:251667456;mso-width-relative:page;mso-height-relative:page;" fillcolor="#D9D9D9 [2732]" filled="t" stroked="f" coordsize="21600,21600" o:gfxdata="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bTcF52AAAAAsBAAAPAAAAAAAAAAEAIAAAACIAAABkcnMvZG93bnJldi54bWxQSwECFAAUAAAA&#10;CACHTuJAhKeGHWACAACyBAAADgAAAAAAAAABACAAAAAnAQAAZHJzL2Uyb0RvYy54bWxQSwUGAAAA&#10;AAYABgBZAQAA+QUAAAAA&#10;">
                      <v:fill on="t" focussize="0,0"/>
                      <v:stroke on="f" weight="0.5pt"/>
                      <v:imagedata o:title=""/>
                      <o:lock v:ext="edit" aspectratio="f"/>
                      <v:textbox>
                        <w:txbxContent>
                          <w:p w14:paraId="0BD7D57A">
                            <w:pPr>
                              <w:ind w:left="0" w:leftChars="0" w:firstLine="0" w:firstLineChars="0"/>
                              <w:rPr>
                                <w:rFonts w:hint="default" w:eastAsia="宋体"/>
                                <w:b/>
                                <w:bCs/>
                                <w:color w:val="FF0000"/>
                                <w:sz w:val="21"/>
                                <w:szCs w:val="21"/>
                                <w:lang w:val="en-US" w:eastAsia="zh-CN"/>
                              </w:rPr>
                            </w:pPr>
                            <w:r>
                              <w:rPr>
                                <w:rFonts w:hint="eastAsia"/>
                                <w:b/>
                                <w:bCs/>
                                <w:color w:val="FF0000"/>
                                <w:sz w:val="21"/>
                                <w:szCs w:val="21"/>
                                <w:lang w:val="en-US" w:eastAsia="zh-CN"/>
                              </w:rPr>
                              <w:t>2025.2.28</w:t>
                            </w:r>
                          </w:p>
                        </w:txbxContent>
                      </v:textbox>
                    </v:shape>
                  </w:pict>
                </mc:Fallback>
              </mc:AlternateContent>
            </w:r>
            <w:r>
              <w:rPr>
                <w:color w:val="auto"/>
              </w:rPr>
              <mc:AlternateContent>
                <mc:Choice Requires="wps">
                  <w:drawing>
                    <wp:anchor distT="0" distB="0" distL="114300" distR="114300" simplePos="0" relativeHeight="251663360" behindDoc="0" locked="0" layoutInCell="1" allowOverlap="1">
                      <wp:simplePos x="0" y="0"/>
                      <wp:positionH relativeFrom="column">
                        <wp:posOffset>1642745</wp:posOffset>
                      </wp:positionH>
                      <wp:positionV relativeFrom="paragraph">
                        <wp:posOffset>382905</wp:posOffset>
                      </wp:positionV>
                      <wp:extent cx="357505" cy="381635"/>
                      <wp:effectExtent l="9525" t="9525" r="13970" b="27940"/>
                      <wp:wrapNone/>
                      <wp:docPr id="23" name="椭圆 23"/>
                      <wp:cNvGraphicFramePr/>
                      <a:graphic xmlns:a="http://schemas.openxmlformats.org/drawingml/2006/main">
                        <a:graphicData uri="http://schemas.microsoft.com/office/word/2010/wordprocessingShape">
                          <wps:wsp>
                            <wps:cNvSpPr/>
                            <wps:spPr>
                              <a:xfrm>
                                <a:off x="0" y="0"/>
                                <a:ext cx="357505" cy="381635"/>
                              </a:xfrm>
                              <a:prstGeom prst="ellipse">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1A7C41AD">
                                  <w:pPr>
                                    <w:jc w:val="center"/>
                                    <w:rPr>
                                      <w:rFonts w:hint="eastAsia" w:eastAsia="宋体"/>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29.35pt;margin-top:30.15pt;height:30.05pt;width:28.15pt;z-index:251663360;v-text-anchor:middle;mso-width-relative:page;mso-height-relative:page;" filled="f" stroked="t" coordsize="21600,21600" o:gfxdata="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Cr4SnH1gAAAAoBAAAPAAAAAAAAAAEAIAAAACIAAABkcnMvZG93&#10;bnJldi54bWxQSwECFAAUAAAACACHTuJAZxPRDXQCAADaBAAADgAAAAAAAAABACAAAAAlAQAAZHJz&#10;L2Uyb0RvYy54bWxQSwUGAAAAAAYABgBZAQAACwYAAAAA&#10;">
                      <v:fill on="f" focussize="0,0"/>
                      <v:stroke weight="1.5pt" color="#FF0000 [2404]" miterlimit="8" joinstyle="miter"/>
                      <v:imagedata o:title=""/>
                      <o:lock v:ext="edit" aspectratio="f"/>
                      <v:textbox>
                        <w:txbxContent>
                          <w:p w14:paraId="1A7C41AD">
                            <w:pPr>
                              <w:jc w:val="center"/>
                              <w:rPr>
                                <w:rFonts w:hint="eastAsia" w:eastAsia="宋体"/>
                                <w:lang w:val="en-US" w:eastAsia="zh-CN"/>
                              </w:rPr>
                            </w:pPr>
                          </w:p>
                        </w:txbxContent>
                      </v:textbox>
                    </v:shape>
                  </w:pict>
                </mc:Fallback>
              </mc:AlternateContent>
            </w:r>
            <w:r>
              <w:rPr>
                <w:rStyle w:val="24"/>
                <w:rFonts w:hint="eastAsia" w:ascii="Times New Roman" w:hAnsi="Times New Roman" w:eastAsia="宋体"/>
                <w:caps w:val="0"/>
                <w:color w:val="auto"/>
                <w:szCs w:val="24"/>
                <w:u w:val="none"/>
                <w:vertAlign w:val="baseline"/>
                <w:lang w:eastAsia="zh-CN"/>
              </w:rPr>
              <w:drawing>
                <wp:inline distT="0" distB="0" distL="114300" distR="114300">
                  <wp:extent cx="2640965" cy="1760220"/>
                  <wp:effectExtent l="0" t="0" r="6985" b="11430"/>
                  <wp:docPr id="18" name="图片 18" descr="DJI_0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DJI_0246"/>
                          <pic:cNvPicPr>
                            <a:picLocks noChangeAspect="1"/>
                          </pic:cNvPicPr>
                        </pic:nvPicPr>
                        <pic:blipFill>
                          <a:blip r:embed="rId24"/>
                          <a:stretch>
                            <a:fillRect/>
                          </a:stretch>
                        </pic:blipFill>
                        <pic:spPr>
                          <a:xfrm>
                            <a:off x="0" y="0"/>
                            <a:ext cx="2640965" cy="1760220"/>
                          </a:xfrm>
                          <a:prstGeom prst="rect">
                            <a:avLst/>
                          </a:prstGeom>
                        </pic:spPr>
                      </pic:pic>
                    </a:graphicData>
                  </a:graphic>
                </wp:inline>
              </w:drawing>
            </w:r>
          </w:p>
        </w:tc>
      </w:tr>
      <w:tr w14:paraId="0A819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vAlign w:val="center"/>
          </w:tcPr>
          <w:p w14:paraId="70B8878A">
            <w:pPr>
              <w:pStyle w:val="37"/>
              <w:bidi w:val="0"/>
              <w:rPr>
                <w:rStyle w:val="24"/>
                <w:rFonts w:hint="eastAsia" w:ascii="Times New Roman" w:hAnsi="Times New Roman" w:eastAsia="宋体"/>
                <w:caps w:val="0"/>
                <w:color w:val="auto"/>
                <w:szCs w:val="24"/>
                <w:u w:val="none"/>
                <w:vertAlign w:val="baseline"/>
                <w:lang w:val="en-US" w:eastAsia="zh-CN"/>
              </w:rPr>
            </w:pPr>
            <w:r>
              <w:rPr>
                <w:rStyle w:val="24"/>
                <w:rFonts w:hint="eastAsia" w:ascii="Times New Roman" w:hAnsi="Times New Roman" w:eastAsia="宋体"/>
                <w:caps w:val="0"/>
                <w:color w:val="auto"/>
                <w:szCs w:val="24"/>
                <w:u w:val="none"/>
                <w:vertAlign w:val="baseline"/>
              </w:rPr>
              <w:t>XZB0</w:t>
            </w:r>
            <w:r>
              <w:rPr>
                <w:rStyle w:val="24"/>
                <w:rFonts w:hint="eastAsia" w:ascii="Times New Roman" w:hAnsi="Times New Roman"/>
                <w:caps w:val="0"/>
                <w:color w:val="auto"/>
                <w:szCs w:val="24"/>
                <w:u w:val="none"/>
                <w:vertAlign w:val="baseline"/>
                <w:lang w:val="en-US" w:eastAsia="zh-CN"/>
              </w:rPr>
              <w:t>4风机选址现状</w:t>
            </w:r>
          </w:p>
        </w:tc>
        <w:tc>
          <w:tcPr>
            <w:tcW w:w="4475" w:type="dxa"/>
            <w:vAlign w:val="center"/>
          </w:tcPr>
          <w:p w14:paraId="7E0DC7CC">
            <w:pPr>
              <w:pStyle w:val="37"/>
              <w:bidi w:val="0"/>
              <w:rPr>
                <w:rStyle w:val="24"/>
                <w:rFonts w:hint="default" w:ascii="Times New Roman" w:hAnsi="Times New Roman" w:eastAsia="宋体"/>
                <w:caps w:val="0"/>
                <w:color w:val="auto"/>
                <w:szCs w:val="24"/>
                <w:u w:val="none"/>
                <w:vertAlign w:val="baseline"/>
                <w:lang w:val="en-US" w:eastAsia="zh-CN"/>
              </w:rPr>
            </w:pPr>
            <w:r>
              <w:rPr>
                <w:rStyle w:val="24"/>
                <w:rFonts w:hint="eastAsia" w:ascii="Times New Roman" w:hAnsi="Times New Roman" w:eastAsia="宋体"/>
                <w:caps w:val="0"/>
                <w:color w:val="auto"/>
                <w:szCs w:val="24"/>
                <w:u w:val="none"/>
                <w:vertAlign w:val="baseline"/>
              </w:rPr>
              <w:t>XZB</w:t>
            </w:r>
            <w:r>
              <w:rPr>
                <w:rStyle w:val="24"/>
                <w:rFonts w:hint="eastAsia" w:ascii="Times New Roman" w:hAnsi="Times New Roman"/>
                <w:caps w:val="0"/>
                <w:color w:val="auto"/>
                <w:szCs w:val="24"/>
                <w:u w:val="none"/>
                <w:vertAlign w:val="baseline"/>
                <w:lang w:val="en-US" w:eastAsia="zh-CN"/>
              </w:rPr>
              <w:t>16风机选址现状</w:t>
            </w:r>
          </w:p>
        </w:tc>
      </w:tr>
      <w:tr w14:paraId="123B0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6" w:hRule="atLeast"/>
        </w:trPr>
        <w:tc>
          <w:tcPr>
            <w:tcW w:w="4585" w:type="dxa"/>
            <w:vAlign w:val="center"/>
          </w:tcPr>
          <w:p w14:paraId="7D7D20E9">
            <w:pPr>
              <w:pStyle w:val="37"/>
              <w:bidi w:val="0"/>
              <w:rPr>
                <w:rStyle w:val="24"/>
                <w:rFonts w:hint="eastAsia" w:ascii="Times New Roman" w:hAnsi="Times New Roman" w:eastAsia="宋体"/>
                <w:caps w:val="0"/>
                <w:color w:val="auto"/>
                <w:szCs w:val="24"/>
                <w:u w:val="none"/>
                <w:vertAlign w:val="baseline"/>
              </w:rPr>
            </w:pPr>
            <w:r>
              <w:rPr>
                <w:color w:val="auto"/>
              </w:rPr>
              <mc:AlternateContent>
                <mc:Choice Requires="wps">
                  <w:drawing>
                    <wp:anchor distT="0" distB="0" distL="114300" distR="114300" simplePos="0" relativeHeight="251668480" behindDoc="0" locked="0" layoutInCell="1" allowOverlap="1">
                      <wp:simplePos x="0" y="0"/>
                      <wp:positionH relativeFrom="column">
                        <wp:posOffset>2035175</wp:posOffset>
                      </wp:positionH>
                      <wp:positionV relativeFrom="paragraph">
                        <wp:posOffset>1580515</wp:posOffset>
                      </wp:positionV>
                      <wp:extent cx="739140" cy="259715"/>
                      <wp:effectExtent l="0" t="0" r="3810" b="6985"/>
                      <wp:wrapNone/>
                      <wp:docPr id="24" name="文本框 24"/>
                      <wp:cNvGraphicFramePr/>
                      <a:graphic xmlns:a="http://schemas.openxmlformats.org/drawingml/2006/main">
                        <a:graphicData uri="http://schemas.microsoft.com/office/word/2010/wordprocessingShape">
                          <wps:wsp>
                            <wps:cNvSpPr txBox="1"/>
                            <wps:spPr>
                              <a:xfrm>
                                <a:off x="0" y="0"/>
                                <a:ext cx="739140" cy="259715"/>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277059A6">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0.25pt;margin-top:124.45pt;height:20.45pt;width:58.2pt;z-index:251668480;mso-width-relative:page;mso-height-relative:page;" fillcolor="#D9D9D9 [2732]" filled="t" stroked="f" coordsize="21600,21600" o:gfxdata="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6zhl3ZAAAACwEAAA8AAAAAAAAAAQAgAAAAIgAAAGRycy9kb3ducmV2LnhtbFBLAQIUABQA&#10;AAAIAIdO4kCAq1jsYQIAALIEAAAOAAAAAAAAAAEAIAAAACgBAABkcnMvZTJvRG9jLnhtbFBLBQYA&#10;AAAABgAGAFkBAAD7BQAAAAA=&#10;">
                      <v:fill on="t" focussize="0,0"/>
                      <v:stroke on="f" weight="0.5pt"/>
                      <v:imagedata o:title=""/>
                      <o:lock v:ext="edit" aspectratio="f"/>
                      <v:textbox>
                        <w:txbxContent>
                          <w:p w14:paraId="277059A6">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v:textbox>
                    </v:shape>
                  </w:pict>
                </mc:Fallback>
              </mc:AlternateContent>
            </w:r>
            <w:r>
              <w:rPr>
                <w:color w:val="auto"/>
              </w:rPr>
              <w:drawing>
                <wp:inline distT="0" distB="0" distL="114300" distR="114300">
                  <wp:extent cx="2789555" cy="1859915"/>
                  <wp:effectExtent l="0" t="0" r="10795" b="6985"/>
                  <wp:docPr id="3" name="图片 2" descr="DJI_0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DJI_0267"/>
                          <pic:cNvPicPr>
                            <a:picLocks noChangeAspect="1"/>
                          </pic:cNvPicPr>
                        </pic:nvPicPr>
                        <pic:blipFill>
                          <a:blip r:embed="rId25"/>
                          <a:stretch>
                            <a:fillRect/>
                          </a:stretch>
                        </pic:blipFill>
                        <pic:spPr>
                          <a:xfrm>
                            <a:off x="0" y="0"/>
                            <a:ext cx="2789555" cy="1859915"/>
                          </a:xfrm>
                          <a:prstGeom prst="rect">
                            <a:avLst/>
                          </a:prstGeom>
                        </pic:spPr>
                      </pic:pic>
                    </a:graphicData>
                  </a:graphic>
                </wp:inline>
              </w:drawing>
            </w:r>
          </w:p>
        </w:tc>
        <w:tc>
          <w:tcPr>
            <w:tcW w:w="4475" w:type="dxa"/>
            <w:vAlign w:val="center"/>
          </w:tcPr>
          <w:p w14:paraId="7DB9717B">
            <w:pPr>
              <w:pStyle w:val="37"/>
              <w:bidi w:val="0"/>
              <w:rPr>
                <w:rStyle w:val="24"/>
                <w:rFonts w:hint="eastAsia" w:ascii="Times New Roman" w:hAnsi="Times New Roman" w:eastAsia="宋体"/>
                <w:caps w:val="0"/>
                <w:color w:val="auto"/>
                <w:szCs w:val="24"/>
                <w:u w:val="none"/>
                <w:vertAlign w:val="baseline"/>
                <w:lang w:eastAsia="zh-CN"/>
              </w:rPr>
            </w:pPr>
            <w:r>
              <w:rPr>
                <w:color w:val="auto"/>
              </w:rPr>
              <mc:AlternateContent>
                <mc:Choice Requires="wps">
                  <w:drawing>
                    <wp:anchor distT="0" distB="0" distL="114300" distR="114300" simplePos="0" relativeHeight="251669504" behindDoc="0" locked="0" layoutInCell="1" allowOverlap="1">
                      <wp:simplePos x="0" y="0"/>
                      <wp:positionH relativeFrom="column">
                        <wp:posOffset>1953895</wp:posOffset>
                      </wp:positionH>
                      <wp:positionV relativeFrom="paragraph">
                        <wp:posOffset>1669415</wp:posOffset>
                      </wp:positionV>
                      <wp:extent cx="739140" cy="259715"/>
                      <wp:effectExtent l="0" t="0" r="3810" b="6985"/>
                      <wp:wrapNone/>
                      <wp:docPr id="25" name="文本框 25"/>
                      <wp:cNvGraphicFramePr/>
                      <a:graphic xmlns:a="http://schemas.openxmlformats.org/drawingml/2006/main">
                        <a:graphicData uri="http://schemas.microsoft.com/office/word/2010/wordprocessingShape">
                          <wps:wsp>
                            <wps:cNvSpPr txBox="1"/>
                            <wps:spPr>
                              <a:xfrm>
                                <a:off x="0" y="0"/>
                                <a:ext cx="739140" cy="259715"/>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51480721">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3.85pt;margin-top:131.45pt;height:20.45pt;width:58.2pt;z-index:251669504;mso-width-relative:page;mso-height-relative:page;" fillcolor="#D9D9D9 [2732]" filled="t" stroked="f" coordsize="21600,21600" o:gfxdata="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sPdGTZAAAACwEAAA8AAAAAAAAAAQAgAAAAIgAAAGRycy9kb3ducmV2LnhtbFBLAQIUABQA&#10;AAAIAIdO4kBUhhncYQIAALIEAAAOAAAAAAAAAAEAIAAAACgBAABkcnMvZTJvRG9jLnhtbFBLBQYA&#10;AAAABgAGAFkBAAD7BQAAAAA=&#10;">
                      <v:fill on="t" focussize="0,0"/>
                      <v:stroke on="f" weight="0.5pt"/>
                      <v:imagedata o:title=""/>
                      <o:lock v:ext="edit" aspectratio="f"/>
                      <v:textbox>
                        <w:txbxContent>
                          <w:p w14:paraId="51480721">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v:textbox>
                    </v:shape>
                  </w:pict>
                </mc:Fallback>
              </mc:AlternateContent>
            </w:r>
            <w:r>
              <w:rPr>
                <w:rStyle w:val="24"/>
                <w:rFonts w:hint="eastAsia" w:ascii="Times New Roman" w:hAnsi="Times New Roman" w:eastAsia="宋体"/>
                <w:caps w:val="0"/>
                <w:color w:val="auto"/>
                <w:szCs w:val="24"/>
                <w:u w:val="none"/>
                <w:vertAlign w:val="baseline"/>
                <w:lang w:eastAsia="zh-CN"/>
              </w:rPr>
              <w:drawing>
                <wp:inline distT="0" distB="0" distL="114300" distR="114300">
                  <wp:extent cx="2691765" cy="1915160"/>
                  <wp:effectExtent l="0" t="0" r="0" b="0"/>
                  <wp:docPr id="10" name="图片 10" descr="新建主变位置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新建主变位置 (1)"/>
                          <pic:cNvPicPr>
                            <a:picLocks noChangeAspect="1"/>
                          </pic:cNvPicPr>
                        </pic:nvPicPr>
                        <pic:blipFill>
                          <a:blip r:embed="rId26"/>
                          <a:srcRect t="5157"/>
                          <a:stretch>
                            <a:fillRect/>
                          </a:stretch>
                        </pic:blipFill>
                        <pic:spPr>
                          <a:xfrm>
                            <a:off x="0" y="0"/>
                            <a:ext cx="2691765" cy="1915160"/>
                          </a:xfrm>
                          <a:prstGeom prst="rect">
                            <a:avLst/>
                          </a:prstGeom>
                        </pic:spPr>
                      </pic:pic>
                    </a:graphicData>
                  </a:graphic>
                </wp:inline>
              </w:drawing>
            </w:r>
          </w:p>
        </w:tc>
      </w:tr>
      <w:tr w14:paraId="507A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vAlign w:val="center"/>
          </w:tcPr>
          <w:p w14:paraId="1D631CB7">
            <w:pPr>
              <w:pStyle w:val="37"/>
              <w:bidi w:val="0"/>
              <w:rPr>
                <w:rStyle w:val="24"/>
                <w:rFonts w:hint="default" w:ascii="Times New Roman" w:hAnsi="Times New Roman" w:eastAsia="宋体"/>
                <w:caps w:val="0"/>
                <w:color w:val="auto"/>
                <w:szCs w:val="24"/>
                <w:u w:val="none"/>
                <w:vertAlign w:val="baseline"/>
                <w:lang w:val="en-US" w:eastAsia="zh-CN"/>
              </w:rPr>
            </w:pPr>
            <w:r>
              <w:rPr>
                <w:rStyle w:val="24"/>
                <w:rFonts w:hint="eastAsia" w:ascii="Times New Roman" w:hAnsi="Times New Roman"/>
                <w:caps w:val="0"/>
                <w:color w:val="auto"/>
                <w:szCs w:val="24"/>
                <w:u w:val="none"/>
                <w:vertAlign w:val="baseline"/>
                <w:lang w:val="en-US" w:eastAsia="zh-CN"/>
              </w:rPr>
              <w:t>升压站现状</w:t>
            </w:r>
          </w:p>
        </w:tc>
        <w:tc>
          <w:tcPr>
            <w:tcW w:w="4475" w:type="dxa"/>
            <w:vAlign w:val="center"/>
          </w:tcPr>
          <w:p w14:paraId="576CE817">
            <w:pPr>
              <w:pStyle w:val="37"/>
              <w:bidi w:val="0"/>
              <w:rPr>
                <w:rStyle w:val="24"/>
                <w:rFonts w:hint="eastAsia" w:ascii="Times New Roman" w:hAnsi="Times New Roman" w:eastAsia="宋体"/>
                <w:caps w:val="0"/>
                <w:color w:val="auto"/>
                <w:szCs w:val="24"/>
                <w:u w:val="none"/>
                <w:vertAlign w:val="baseline"/>
                <w:lang w:val="en-US" w:eastAsia="zh-CN"/>
              </w:rPr>
            </w:pPr>
            <w:r>
              <w:rPr>
                <w:rStyle w:val="24"/>
                <w:rFonts w:hint="eastAsia" w:ascii="Times New Roman" w:hAnsi="Times New Roman"/>
                <w:caps w:val="0"/>
                <w:color w:val="auto"/>
                <w:szCs w:val="24"/>
                <w:u w:val="none"/>
                <w:vertAlign w:val="baseline"/>
                <w:lang w:val="en-US" w:eastAsia="zh-CN"/>
              </w:rPr>
              <w:t>2#主变预留地块现状</w:t>
            </w:r>
          </w:p>
        </w:tc>
      </w:tr>
      <w:tr w14:paraId="32DD3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vAlign w:val="center"/>
          </w:tcPr>
          <w:p w14:paraId="76A41EFB">
            <w:pPr>
              <w:pStyle w:val="37"/>
              <w:bidi w:val="0"/>
              <w:rPr>
                <w:rStyle w:val="24"/>
                <w:rFonts w:hint="eastAsia" w:ascii="Times New Roman" w:hAnsi="Times New Roman" w:eastAsia="宋体"/>
                <w:caps w:val="0"/>
                <w:color w:val="auto"/>
                <w:szCs w:val="24"/>
                <w:u w:val="none"/>
                <w:vertAlign w:val="baseline"/>
                <w:lang w:eastAsia="zh-CN"/>
              </w:rPr>
            </w:pPr>
            <w:r>
              <w:rPr>
                <w:color w:val="auto"/>
              </w:rPr>
              <mc:AlternateContent>
                <mc:Choice Requires="wps">
                  <w:drawing>
                    <wp:anchor distT="0" distB="0" distL="114300" distR="114300" simplePos="0" relativeHeight="251670528" behindDoc="0" locked="0" layoutInCell="1" allowOverlap="1">
                      <wp:simplePos x="0" y="0"/>
                      <wp:positionH relativeFrom="column">
                        <wp:posOffset>2014855</wp:posOffset>
                      </wp:positionH>
                      <wp:positionV relativeFrom="paragraph">
                        <wp:posOffset>1511935</wp:posOffset>
                      </wp:positionV>
                      <wp:extent cx="739140" cy="259715"/>
                      <wp:effectExtent l="0" t="0" r="3810" b="6985"/>
                      <wp:wrapNone/>
                      <wp:docPr id="26" name="文本框 26"/>
                      <wp:cNvGraphicFramePr/>
                      <a:graphic xmlns:a="http://schemas.openxmlformats.org/drawingml/2006/main">
                        <a:graphicData uri="http://schemas.microsoft.com/office/word/2010/wordprocessingShape">
                          <wps:wsp>
                            <wps:cNvSpPr txBox="1"/>
                            <wps:spPr>
                              <a:xfrm>
                                <a:off x="0" y="0"/>
                                <a:ext cx="739140" cy="259715"/>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339D880C">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8.65pt;margin-top:119.05pt;height:20.45pt;width:58.2pt;z-index:251670528;mso-width-relative:page;mso-height-relative:page;" fillcolor="#D9D9D9 [2732]" filled="t" stroked="f" coordsize="21600,21600" o:gfxdata="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CO5KJLZAAAACwEAAA8AAAAAAAAAAQAgAAAAIgAAAGRycy9kb3ducmV2LnhtbFBLAQIUABQA&#10;AAAIAIdO4kAo8NqMYQIAALIEAAAOAAAAAAAAAAEAIAAAACgBAABkcnMvZTJvRG9jLnhtbFBLBQYA&#10;AAAABgAGAFkBAAD7BQAAAAA=&#10;">
                      <v:fill on="t" focussize="0,0"/>
                      <v:stroke on="f" weight="0.5pt"/>
                      <v:imagedata o:title=""/>
                      <o:lock v:ext="edit" aspectratio="f"/>
                      <v:textbox>
                        <w:txbxContent>
                          <w:p w14:paraId="339D880C">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v:textbox>
                    </v:shape>
                  </w:pict>
                </mc:Fallback>
              </mc:AlternateContent>
            </w:r>
            <w:r>
              <w:rPr>
                <w:rStyle w:val="24"/>
                <w:rFonts w:hint="eastAsia" w:ascii="Times New Roman" w:hAnsi="Times New Roman" w:eastAsia="宋体"/>
                <w:caps w:val="0"/>
                <w:color w:val="auto"/>
                <w:szCs w:val="24"/>
                <w:u w:val="none"/>
                <w:vertAlign w:val="baseline"/>
                <w:lang w:eastAsia="zh-CN"/>
              </w:rPr>
              <w:drawing>
                <wp:inline distT="0" distB="0" distL="114300" distR="114300">
                  <wp:extent cx="2769870" cy="1788795"/>
                  <wp:effectExtent l="0" t="0" r="0" b="0"/>
                  <wp:docPr id="27" name="图片 27" descr="IMG_20250228_132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IMG_20250228_132932"/>
                          <pic:cNvPicPr>
                            <a:picLocks noChangeAspect="1"/>
                          </pic:cNvPicPr>
                        </pic:nvPicPr>
                        <pic:blipFill>
                          <a:blip r:embed="rId27"/>
                          <a:srcRect t="13906"/>
                          <a:stretch>
                            <a:fillRect/>
                          </a:stretch>
                        </pic:blipFill>
                        <pic:spPr>
                          <a:xfrm>
                            <a:off x="0" y="0"/>
                            <a:ext cx="2769870" cy="1788795"/>
                          </a:xfrm>
                          <a:prstGeom prst="rect">
                            <a:avLst/>
                          </a:prstGeom>
                        </pic:spPr>
                      </pic:pic>
                    </a:graphicData>
                  </a:graphic>
                </wp:inline>
              </w:drawing>
            </w:r>
          </w:p>
        </w:tc>
        <w:tc>
          <w:tcPr>
            <w:tcW w:w="4475" w:type="dxa"/>
            <w:vAlign w:val="center"/>
          </w:tcPr>
          <w:p w14:paraId="64C3C06B">
            <w:pPr>
              <w:pStyle w:val="37"/>
              <w:bidi w:val="0"/>
              <w:rPr>
                <w:rStyle w:val="24"/>
                <w:rFonts w:hint="eastAsia" w:ascii="Times New Roman" w:hAnsi="Times New Roman" w:eastAsia="宋体"/>
                <w:caps w:val="0"/>
                <w:color w:val="auto"/>
                <w:szCs w:val="24"/>
                <w:u w:val="none"/>
                <w:vertAlign w:val="baseline"/>
                <w:lang w:eastAsia="zh-CN"/>
              </w:rPr>
            </w:pPr>
            <w:r>
              <w:rPr>
                <w:color w:val="auto"/>
              </w:rPr>
              <mc:AlternateContent>
                <mc:Choice Requires="wps">
                  <w:drawing>
                    <wp:anchor distT="0" distB="0" distL="114300" distR="114300" simplePos="0" relativeHeight="251671552" behindDoc="0" locked="0" layoutInCell="1" allowOverlap="1">
                      <wp:simplePos x="0" y="0"/>
                      <wp:positionH relativeFrom="column">
                        <wp:posOffset>1986280</wp:posOffset>
                      </wp:positionH>
                      <wp:positionV relativeFrom="paragraph">
                        <wp:posOffset>1450340</wp:posOffset>
                      </wp:positionV>
                      <wp:extent cx="739140" cy="259715"/>
                      <wp:effectExtent l="0" t="0" r="3810" b="6985"/>
                      <wp:wrapNone/>
                      <wp:docPr id="28" name="文本框 28"/>
                      <wp:cNvGraphicFramePr/>
                      <a:graphic xmlns:a="http://schemas.openxmlformats.org/drawingml/2006/main">
                        <a:graphicData uri="http://schemas.microsoft.com/office/word/2010/wordprocessingShape">
                          <wps:wsp>
                            <wps:cNvSpPr txBox="1"/>
                            <wps:spPr>
                              <a:xfrm>
                                <a:off x="0" y="0"/>
                                <a:ext cx="739140" cy="259715"/>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537C8F45">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6.4pt;margin-top:114.2pt;height:20.45pt;width:58.2pt;z-index:251671552;mso-width-relative:page;mso-height-relative:page;" fillcolor="#D9D9D9 [2732]" filled="t" stroked="f" coordsize="21600,21600" o:gfxdata="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iTdHgtkAAAALAQAADwAAAAAAAAABACAAAAAiAAAAZHJzL2Rvd25yZXYueG1sUEsBAhQAFAAA&#10;AAgAh07iQDF0JHRgAgAAsgQAAA4AAAAAAAAAAQAgAAAAKAEAAGRycy9lMm9Eb2MueG1sUEsFBgAA&#10;AAAGAAYAWQEAAPoFAAAAAA==&#10;">
                      <v:fill on="t" focussize="0,0"/>
                      <v:stroke on="f" weight="0.5pt"/>
                      <v:imagedata o:title=""/>
                      <o:lock v:ext="edit" aspectratio="f"/>
                      <v:textbox>
                        <w:txbxContent>
                          <w:p w14:paraId="537C8F45">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v:textbox>
                    </v:shape>
                  </w:pict>
                </mc:Fallback>
              </mc:AlternateContent>
            </w:r>
            <w:r>
              <w:rPr>
                <w:rStyle w:val="24"/>
                <w:rFonts w:hint="eastAsia" w:ascii="Times New Roman" w:hAnsi="Times New Roman" w:eastAsia="宋体"/>
                <w:caps w:val="0"/>
                <w:color w:val="auto"/>
                <w:szCs w:val="24"/>
                <w:u w:val="none"/>
                <w:vertAlign w:val="baseline"/>
                <w:lang w:eastAsia="zh-CN"/>
              </w:rPr>
              <w:drawing>
                <wp:inline distT="0" distB="0" distL="114300" distR="114300">
                  <wp:extent cx="2694305" cy="1721485"/>
                  <wp:effectExtent l="0" t="0" r="0" b="0"/>
                  <wp:docPr id="12" name="图片 12" descr="IMG_20250228_132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0250228_132615"/>
                          <pic:cNvPicPr>
                            <a:picLocks noChangeAspect="1"/>
                          </pic:cNvPicPr>
                        </pic:nvPicPr>
                        <pic:blipFill>
                          <a:blip r:embed="rId28"/>
                          <a:srcRect t="3960" b="10842"/>
                          <a:stretch>
                            <a:fillRect/>
                          </a:stretch>
                        </pic:blipFill>
                        <pic:spPr>
                          <a:xfrm>
                            <a:off x="0" y="0"/>
                            <a:ext cx="2694305" cy="1721485"/>
                          </a:xfrm>
                          <a:prstGeom prst="rect">
                            <a:avLst/>
                          </a:prstGeom>
                        </pic:spPr>
                      </pic:pic>
                    </a:graphicData>
                  </a:graphic>
                </wp:inline>
              </w:drawing>
            </w:r>
          </w:p>
        </w:tc>
      </w:tr>
      <w:tr w14:paraId="0C9F9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vAlign w:val="center"/>
          </w:tcPr>
          <w:p w14:paraId="69C9FDA4">
            <w:pPr>
              <w:pStyle w:val="37"/>
              <w:bidi w:val="0"/>
              <w:rPr>
                <w:rStyle w:val="24"/>
                <w:rFonts w:hint="default" w:ascii="Times New Roman" w:hAnsi="Times New Roman" w:eastAsia="宋体"/>
                <w:caps w:val="0"/>
                <w:color w:val="auto"/>
                <w:szCs w:val="24"/>
                <w:u w:val="none"/>
                <w:vertAlign w:val="baseline"/>
                <w:lang w:val="en-US"/>
              </w:rPr>
            </w:pPr>
            <w:r>
              <w:rPr>
                <w:rStyle w:val="24"/>
                <w:rFonts w:hint="eastAsia"/>
                <w:caps w:val="0"/>
                <w:color w:val="auto"/>
                <w:szCs w:val="24"/>
                <w:u w:val="none"/>
                <w:vertAlign w:val="baseline"/>
                <w:lang w:val="en-US" w:eastAsia="zh-CN"/>
              </w:rPr>
              <w:t>现有危废贮存库内部</w:t>
            </w:r>
          </w:p>
        </w:tc>
        <w:tc>
          <w:tcPr>
            <w:tcW w:w="4475" w:type="dxa"/>
            <w:vAlign w:val="center"/>
          </w:tcPr>
          <w:p w14:paraId="32A43015">
            <w:pPr>
              <w:pStyle w:val="37"/>
              <w:bidi w:val="0"/>
              <w:rPr>
                <w:rStyle w:val="24"/>
                <w:rFonts w:hint="default" w:ascii="Times New Roman" w:hAnsi="Times New Roman" w:eastAsia="宋体"/>
                <w:caps w:val="0"/>
                <w:color w:val="auto"/>
                <w:szCs w:val="24"/>
                <w:u w:val="none"/>
                <w:vertAlign w:val="baseline"/>
                <w:lang w:val="en-US" w:eastAsia="zh-CN"/>
              </w:rPr>
            </w:pPr>
            <w:r>
              <w:rPr>
                <w:rStyle w:val="24"/>
                <w:rFonts w:hint="eastAsia" w:ascii="Times New Roman" w:hAnsi="Times New Roman"/>
                <w:caps w:val="0"/>
                <w:color w:val="auto"/>
                <w:szCs w:val="24"/>
                <w:u w:val="none"/>
                <w:vertAlign w:val="baseline"/>
                <w:lang w:val="en-US" w:eastAsia="zh-CN"/>
              </w:rPr>
              <w:t>升压站污水一体化处理设备</w:t>
            </w:r>
          </w:p>
        </w:tc>
      </w:tr>
      <w:tr w14:paraId="2CB22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vAlign w:val="center"/>
          </w:tcPr>
          <w:p w14:paraId="12DCA7A1">
            <w:pPr>
              <w:pStyle w:val="37"/>
              <w:bidi w:val="0"/>
              <w:rPr>
                <w:rStyle w:val="24"/>
                <w:rFonts w:hint="eastAsia"/>
                <w:caps w:val="0"/>
                <w:color w:val="auto"/>
                <w:szCs w:val="24"/>
                <w:u w:val="none"/>
                <w:vertAlign w:val="baseline"/>
                <w:lang w:val="en-US" w:eastAsia="zh-CN"/>
              </w:rPr>
            </w:pPr>
            <w:r>
              <w:rPr>
                <w:color w:val="auto"/>
              </w:rPr>
              <mc:AlternateContent>
                <mc:Choice Requires="wps">
                  <w:drawing>
                    <wp:anchor distT="0" distB="0" distL="114300" distR="114300" simplePos="0" relativeHeight="251672576" behindDoc="0" locked="0" layoutInCell="1" allowOverlap="1">
                      <wp:simplePos x="0" y="0"/>
                      <wp:positionH relativeFrom="column">
                        <wp:posOffset>1978025</wp:posOffset>
                      </wp:positionH>
                      <wp:positionV relativeFrom="paragraph">
                        <wp:posOffset>1521460</wp:posOffset>
                      </wp:positionV>
                      <wp:extent cx="739140" cy="259715"/>
                      <wp:effectExtent l="0" t="0" r="3810" b="6985"/>
                      <wp:wrapNone/>
                      <wp:docPr id="31" name="文本框 31"/>
                      <wp:cNvGraphicFramePr/>
                      <a:graphic xmlns:a="http://schemas.openxmlformats.org/drawingml/2006/main">
                        <a:graphicData uri="http://schemas.microsoft.com/office/word/2010/wordprocessingShape">
                          <wps:wsp>
                            <wps:cNvSpPr txBox="1"/>
                            <wps:spPr>
                              <a:xfrm>
                                <a:off x="0" y="0"/>
                                <a:ext cx="739140" cy="259715"/>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18DC6231">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5.75pt;margin-top:119.8pt;height:20.45pt;width:58.2pt;z-index:251672576;mso-width-relative:page;mso-height-relative:page;" fillcolor="#D9D9D9 [2732]" filled="t" stroked="f" coordsize="21600,21600" o:gfxdata="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XHD7XaAAAACwEAAA8AAAAAAAAAAQAgAAAAIgAAAGRycy9kb3ducmV2LnhtbFBLAQIUABQA&#10;AAAIAIdO4kDkZpOcYAIAALIEAAAOAAAAAAAAAAEAIAAAACkBAABkcnMvZTJvRG9jLnhtbFBLBQYA&#10;AAAABgAGAFkBAAD7BQAAAAA=&#10;">
                      <v:fill on="t" focussize="0,0"/>
                      <v:stroke on="f" weight="0.5pt"/>
                      <v:imagedata o:title=""/>
                      <o:lock v:ext="edit" aspectratio="f"/>
                      <v:textbox>
                        <w:txbxContent>
                          <w:p w14:paraId="18DC6231">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v:textbox>
                    </v:shape>
                  </w:pict>
                </mc:Fallback>
              </mc:AlternateContent>
            </w:r>
            <w:r>
              <w:rPr>
                <w:rStyle w:val="24"/>
                <w:rFonts w:hint="eastAsia"/>
                <w:caps w:val="0"/>
                <w:color w:val="auto"/>
                <w:szCs w:val="24"/>
                <w:u w:val="none"/>
                <w:vertAlign w:val="baseline"/>
                <w:lang w:val="en-US" w:eastAsia="zh-CN"/>
              </w:rPr>
              <w:drawing>
                <wp:inline distT="0" distB="0" distL="114300" distR="114300">
                  <wp:extent cx="2710180" cy="1806575"/>
                  <wp:effectExtent l="0" t="0" r="13970" b="3175"/>
                  <wp:docPr id="29" name="图片 29" descr="DJI_0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DJI_0273"/>
                          <pic:cNvPicPr>
                            <a:picLocks noChangeAspect="1"/>
                          </pic:cNvPicPr>
                        </pic:nvPicPr>
                        <pic:blipFill>
                          <a:blip r:embed="rId29"/>
                          <a:stretch>
                            <a:fillRect/>
                          </a:stretch>
                        </pic:blipFill>
                        <pic:spPr>
                          <a:xfrm>
                            <a:off x="0" y="0"/>
                            <a:ext cx="2710180" cy="1806575"/>
                          </a:xfrm>
                          <a:prstGeom prst="rect">
                            <a:avLst/>
                          </a:prstGeom>
                        </pic:spPr>
                      </pic:pic>
                    </a:graphicData>
                  </a:graphic>
                </wp:inline>
              </w:drawing>
            </w:r>
          </w:p>
        </w:tc>
        <w:tc>
          <w:tcPr>
            <w:tcW w:w="4475" w:type="dxa"/>
            <w:vAlign w:val="center"/>
          </w:tcPr>
          <w:p w14:paraId="2B91ED96">
            <w:pPr>
              <w:pStyle w:val="37"/>
              <w:bidi w:val="0"/>
              <w:rPr>
                <w:rStyle w:val="24"/>
                <w:rFonts w:hint="eastAsia" w:ascii="Times New Roman" w:hAnsi="Times New Roman"/>
                <w:caps w:val="0"/>
                <w:color w:val="auto"/>
                <w:szCs w:val="24"/>
                <w:u w:val="none"/>
                <w:vertAlign w:val="baseline"/>
                <w:lang w:val="en-US" w:eastAsia="zh-CN"/>
              </w:rPr>
            </w:pPr>
            <w:r>
              <w:rPr>
                <w:color w:val="auto"/>
              </w:rPr>
              <mc:AlternateContent>
                <mc:Choice Requires="wps">
                  <w:drawing>
                    <wp:anchor distT="0" distB="0" distL="114300" distR="114300" simplePos="0" relativeHeight="251674624" behindDoc="0" locked="0" layoutInCell="1" allowOverlap="1">
                      <wp:simplePos x="0" y="0"/>
                      <wp:positionH relativeFrom="column">
                        <wp:posOffset>939800</wp:posOffset>
                      </wp:positionH>
                      <wp:positionV relativeFrom="paragraph">
                        <wp:posOffset>1109345</wp:posOffset>
                      </wp:positionV>
                      <wp:extent cx="739140" cy="259715"/>
                      <wp:effectExtent l="240030" t="0" r="0" b="0"/>
                      <wp:wrapNone/>
                      <wp:docPr id="33" name="文本框 33"/>
                      <wp:cNvGraphicFramePr/>
                      <a:graphic xmlns:a="http://schemas.openxmlformats.org/drawingml/2006/main">
                        <a:graphicData uri="http://schemas.microsoft.com/office/word/2010/wordprocessingShape">
                          <wps:wsp>
                            <wps:cNvSpPr txBox="1"/>
                            <wps:spPr>
                              <a:xfrm rot="16680000">
                                <a:off x="0" y="0"/>
                                <a:ext cx="739140" cy="2597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61CF8">
                                  <w:pPr>
                                    <w:ind w:left="0" w:leftChars="0" w:firstLine="0" w:firstLineChars="0"/>
                                    <w:rPr>
                                      <w:rFonts w:hint="default" w:eastAsia="宋体"/>
                                      <w:b/>
                                      <w:bCs/>
                                      <w:color w:val="FF0000"/>
                                      <w:sz w:val="21"/>
                                      <w:szCs w:val="21"/>
                                      <w:lang w:val="en-US" w:eastAsia="zh-CN"/>
                                    </w:rPr>
                                  </w:pPr>
                                  <w:r>
                                    <w:rPr>
                                      <w:rFonts w:hint="eastAsia"/>
                                      <w:b/>
                                      <w:bCs/>
                                      <w:color w:val="FF0000"/>
                                      <w:sz w:val="21"/>
                                      <w:szCs w:val="21"/>
                                      <w:highlight w:val="yellow"/>
                                      <w:lang w:val="en-US" w:eastAsia="zh-CN"/>
                                    </w:rPr>
                                    <w:t>进站道路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4pt;margin-top:87.35pt;height:20.45pt;width:58.2pt;rotation:-5373952f;z-index:251674624;mso-width-relative:page;mso-height-relative:page;" filled="f" stroked="f" coordsize="21600,21600" o:gfxdata="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LD5McNsAAAALAQAADwAAAAAAAAABACAA&#10;AAAiAAAAZHJzL2Rvd25yZXYueG1sUEsBAhQAFAAAAAgAh07iQLfwpK1DAgAAdgQAAA4AAAAAAAAA&#10;AQAgAAAAKgEAAGRycy9lMm9Eb2MueG1sUEsFBgAAAAAGAAYAWQEAAN8FAAAAAA==&#10;">
                      <v:fill on="f" focussize="0,0"/>
                      <v:stroke on="f" weight="0.5pt"/>
                      <v:imagedata o:title=""/>
                      <o:lock v:ext="edit" aspectratio="f"/>
                      <v:textbox>
                        <w:txbxContent>
                          <w:p w14:paraId="4C861CF8">
                            <w:pPr>
                              <w:ind w:left="0" w:leftChars="0" w:firstLine="0" w:firstLineChars="0"/>
                              <w:rPr>
                                <w:rFonts w:hint="default" w:eastAsia="宋体"/>
                                <w:b/>
                                <w:bCs/>
                                <w:color w:val="FF0000"/>
                                <w:sz w:val="21"/>
                                <w:szCs w:val="21"/>
                                <w:lang w:val="en-US" w:eastAsia="zh-CN"/>
                              </w:rPr>
                            </w:pPr>
                            <w:r>
                              <w:rPr>
                                <w:rFonts w:hint="eastAsia"/>
                                <w:b/>
                                <w:bCs/>
                                <w:color w:val="FF0000"/>
                                <w:sz w:val="21"/>
                                <w:szCs w:val="21"/>
                                <w:highlight w:val="yellow"/>
                                <w:lang w:val="en-US" w:eastAsia="zh-CN"/>
                              </w:rPr>
                              <w:t>进站道路</w:t>
                            </w:r>
                          </w:p>
                        </w:txbxContent>
                      </v:textbox>
                    </v:shape>
                  </w:pict>
                </mc:Fallback>
              </mc:AlternateContent>
            </w:r>
            <w:r>
              <w:rPr>
                <w:color w:val="auto"/>
              </w:rPr>
              <mc:AlternateContent>
                <mc:Choice Requires="wps">
                  <w:drawing>
                    <wp:anchor distT="0" distB="0" distL="114300" distR="114300" simplePos="0" relativeHeight="251673600" behindDoc="0" locked="0" layoutInCell="1" allowOverlap="1">
                      <wp:simplePos x="0" y="0"/>
                      <wp:positionH relativeFrom="column">
                        <wp:posOffset>1914525</wp:posOffset>
                      </wp:positionH>
                      <wp:positionV relativeFrom="paragraph">
                        <wp:posOffset>1480185</wp:posOffset>
                      </wp:positionV>
                      <wp:extent cx="739140" cy="259715"/>
                      <wp:effectExtent l="0" t="0" r="3810" b="6985"/>
                      <wp:wrapNone/>
                      <wp:docPr id="32" name="文本框 32"/>
                      <wp:cNvGraphicFramePr/>
                      <a:graphic xmlns:a="http://schemas.openxmlformats.org/drawingml/2006/main">
                        <a:graphicData uri="http://schemas.microsoft.com/office/word/2010/wordprocessingShape">
                          <wps:wsp>
                            <wps:cNvSpPr txBox="1"/>
                            <wps:spPr>
                              <a:xfrm>
                                <a:off x="0" y="0"/>
                                <a:ext cx="739140" cy="259715"/>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4A8386E5">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0.75pt;margin-top:116.55pt;height:20.45pt;width:58.2pt;z-index:251673600;mso-width-relative:page;mso-height-relative:page;" fillcolor="#D9D9D9 [2732]" filled="t" stroked="f" coordsize="21600,21600" o:gfxdata="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CJXrPZAAAACwEAAA8AAAAAAAAAAQAgAAAAIgAAAGRycy9kb3ducmV2LnhtbFBLAQIUABQA&#10;AAAIAIdO4kCYEFDMYQIAALIEAAAOAAAAAAAAAAEAIAAAACgBAABkcnMvZTJvRG9jLnhtbFBLBQYA&#10;AAAABgAGAFkBAAD7BQAAAAA=&#10;">
                      <v:fill on="t" focussize="0,0"/>
                      <v:stroke on="f" weight="0.5pt"/>
                      <v:imagedata o:title=""/>
                      <o:lock v:ext="edit" aspectratio="f"/>
                      <v:textbox>
                        <w:txbxContent>
                          <w:p w14:paraId="4A8386E5">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v:textbox>
                    </v:shape>
                  </w:pict>
                </mc:Fallback>
              </mc:AlternateContent>
            </w:r>
            <w:r>
              <w:rPr>
                <w:rStyle w:val="24"/>
                <w:rFonts w:hint="eastAsia" w:ascii="Times New Roman" w:hAnsi="Times New Roman"/>
                <w:caps w:val="0"/>
                <w:color w:val="auto"/>
                <w:szCs w:val="24"/>
                <w:u w:val="none"/>
                <w:vertAlign w:val="baseline"/>
                <w:lang w:val="en-US" w:eastAsia="zh-CN"/>
              </w:rPr>
              <w:drawing>
                <wp:inline distT="0" distB="0" distL="114300" distR="114300">
                  <wp:extent cx="2640965" cy="1760220"/>
                  <wp:effectExtent l="0" t="0" r="6985" b="11430"/>
                  <wp:docPr id="30" name="图片 30" descr="DJI_0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DJI_0279"/>
                          <pic:cNvPicPr>
                            <a:picLocks noChangeAspect="1"/>
                          </pic:cNvPicPr>
                        </pic:nvPicPr>
                        <pic:blipFill>
                          <a:blip r:embed="rId30"/>
                          <a:stretch>
                            <a:fillRect/>
                          </a:stretch>
                        </pic:blipFill>
                        <pic:spPr>
                          <a:xfrm>
                            <a:off x="0" y="0"/>
                            <a:ext cx="2640965" cy="1760220"/>
                          </a:xfrm>
                          <a:prstGeom prst="rect">
                            <a:avLst/>
                          </a:prstGeom>
                        </pic:spPr>
                      </pic:pic>
                    </a:graphicData>
                  </a:graphic>
                </wp:inline>
              </w:drawing>
            </w:r>
          </w:p>
        </w:tc>
      </w:tr>
      <w:tr w14:paraId="521CE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vAlign w:val="center"/>
          </w:tcPr>
          <w:p w14:paraId="65E47C55">
            <w:pPr>
              <w:pStyle w:val="37"/>
              <w:bidi w:val="0"/>
              <w:rPr>
                <w:rStyle w:val="24"/>
                <w:rFonts w:hint="default"/>
                <w:caps w:val="0"/>
                <w:color w:val="auto"/>
                <w:szCs w:val="24"/>
                <w:u w:val="none"/>
                <w:vertAlign w:val="baseline"/>
                <w:lang w:val="en-US" w:eastAsia="zh-CN"/>
              </w:rPr>
            </w:pPr>
            <w:r>
              <w:rPr>
                <w:rStyle w:val="24"/>
                <w:rFonts w:hint="eastAsia"/>
                <w:caps w:val="0"/>
                <w:color w:val="auto"/>
                <w:szCs w:val="24"/>
                <w:u w:val="none"/>
                <w:vertAlign w:val="baseline"/>
                <w:lang w:val="en-US" w:eastAsia="zh-CN"/>
              </w:rPr>
              <w:t>升压站35kV进线侧现状</w:t>
            </w:r>
          </w:p>
        </w:tc>
        <w:tc>
          <w:tcPr>
            <w:tcW w:w="4475" w:type="dxa"/>
            <w:vAlign w:val="center"/>
          </w:tcPr>
          <w:p w14:paraId="7C5C0F05">
            <w:pPr>
              <w:pStyle w:val="37"/>
              <w:bidi w:val="0"/>
              <w:rPr>
                <w:rStyle w:val="24"/>
                <w:rFonts w:hint="default" w:ascii="Times New Roman" w:hAnsi="Times New Roman"/>
                <w:caps w:val="0"/>
                <w:color w:val="auto"/>
                <w:szCs w:val="24"/>
                <w:u w:val="none"/>
                <w:vertAlign w:val="baseline"/>
                <w:lang w:val="en-US" w:eastAsia="zh-CN"/>
              </w:rPr>
            </w:pPr>
            <w:r>
              <w:rPr>
                <w:rStyle w:val="24"/>
                <w:rFonts w:hint="eastAsia"/>
                <w:caps w:val="0"/>
                <w:color w:val="auto"/>
                <w:szCs w:val="24"/>
                <w:u w:val="none"/>
                <w:vertAlign w:val="baseline"/>
                <w:lang w:val="en-US" w:eastAsia="zh-CN"/>
              </w:rPr>
              <w:t>升压站东侧现状</w:t>
            </w:r>
          </w:p>
        </w:tc>
      </w:tr>
      <w:tr w14:paraId="76DCD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vAlign w:val="center"/>
          </w:tcPr>
          <w:p w14:paraId="74B0E6E8">
            <w:pPr>
              <w:pStyle w:val="37"/>
              <w:bidi w:val="0"/>
              <w:rPr>
                <w:rStyle w:val="24"/>
                <w:rFonts w:hint="eastAsia"/>
                <w:caps w:val="0"/>
                <w:color w:val="auto"/>
                <w:szCs w:val="24"/>
                <w:u w:val="none"/>
                <w:vertAlign w:val="baseline"/>
                <w:lang w:val="en-US" w:eastAsia="zh-CN"/>
              </w:rPr>
            </w:pPr>
            <w:r>
              <w:rPr>
                <w:color w:val="auto"/>
              </w:rPr>
              <mc:AlternateContent>
                <mc:Choice Requires="wps">
                  <w:drawing>
                    <wp:anchor distT="0" distB="0" distL="114300" distR="114300" simplePos="0" relativeHeight="251675648" behindDoc="0" locked="0" layoutInCell="1" allowOverlap="1">
                      <wp:simplePos x="0" y="0"/>
                      <wp:positionH relativeFrom="column">
                        <wp:posOffset>1975485</wp:posOffset>
                      </wp:positionH>
                      <wp:positionV relativeFrom="paragraph">
                        <wp:posOffset>1274445</wp:posOffset>
                      </wp:positionV>
                      <wp:extent cx="739140" cy="259715"/>
                      <wp:effectExtent l="0" t="0" r="3810" b="6985"/>
                      <wp:wrapNone/>
                      <wp:docPr id="37" name="文本框 37"/>
                      <wp:cNvGraphicFramePr/>
                      <a:graphic xmlns:a="http://schemas.openxmlformats.org/drawingml/2006/main">
                        <a:graphicData uri="http://schemas.microsoft.com/office/word/2010/wordprocessingShape">
                          <wps:wsp>
                            <wps:cNvSpPr txBox="1"/>
                            <wps:spPr>
                              <a:xfrm>
                                <a:off x="0" y="0"/>
                                <a:ext cx="739140" cy="259715"/>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5B9FC04B">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5.55pt;margin-top:100.35pt;height:20.45pt;width:58.2pt;z-index:251675648;mso-width-relative:page;mso-height-relative:page;" fillcolor="#D9D9D9 [2732]" filled="t" stroked="f" coordsize="21600,21600" o:gfxdata="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Fg+YAtgAAAALAQAADwAAAAAAAAABACAAAAAiAAAAZHJzL2Rvd25yZXYueG1sUEsBAhQAFAAA&#10;AAgAh07iQByKFT1hAgAAsgQAAA4AAAAAAAAAAQAgAAAAJwEAAGRycy9lMm9Eb2MueG1sUEsFBgAA&#10;AAAGAAYAWQEAAPoFAAAAAA==&#10;">
                      <v:fill on="t" focussize="0,0"/>
                      <v:stroke on="f" weight="0.5pt"/>
                      <v:imagedata o:title=""/>
                      <o:lock v:ext="edit" aspectratio="f"/>
                      <v:textbox>
                        <w:txbxContent>
                          <w:p w14:paraId="5B9FC04B">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v:textbox>
                    </v:shape>
                  </w:pict>
                </mc:Fallback>
              </mc:AlternateContent>
            </w:r>
            <w:r>
              <w:rPr>
                <w:color w:val="auto"/>
              </w:rPr>
              <w:drawing>
                <wp:inline distT="0" distB="0" distL="114300" distR="114300">
                  <wp:extent cx="2721610" cy="1560195"/>
                  <wp:effectExtent l="0" t="0" r="2540" b="1905"/>
                  <wp:docPr id="3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pic:cNvPicPr>
                            <a:picLocks noChangeAspect="1"/>
                          </pic:cNvPicPr>
                        </pic:nvPicPr>
                        <pic:blipFill>
                          <a:blip r:embed="rId31"/>
                          <a:stretch>
                            <a:fillRect/>
                          </a:stretch>
                        </pic:blipFill>
                        <pic:spPr>
                          <a:xfrm>
                            <a:off x="0" y="0"/>
                            <a:ext cx="2721610" cy="1560195"/>
                          </a:xfrm>
                          <a:prstGeom prst="rect">
                            <a:avLst/>
                          </a:prstGeom>
                          <a:noFill/>
                          <a:ln>
                            <a:noFill/>
                          </a:ln>
                        </pic:spPr>
                      </pic:pic>
                    </a:graphicData>
                  </a:graphic>
                </wp:inline>
              </w:drawing>
            </w:r>
          </w:p>
        </w:tc>
        <w:tc>
          <w:tcPr>
            <w:tcW w:w="4475" w:type="dxa"/>
            <w:vAlign w:val="center"/>
          </w:tcPr>
          <w:p w14:paraId="1EB3B244">
            <w:pPr>
              <w:pStyle w:val="37"/>
              <w:bidi w:val="0"/>
              <w:rPr>
                <w:rStyle w:val="24"/>
                <w:rFonts w:hint="eastAsia"/>
                <w:caps w:val="0"/>
                <w:color w:val="auto"/>
                <w:szCs w:val="24"/>
                <w:u w:val="none"/>
                <w:vertAlign w:val="baseline"/>
                <w:lang w:val="en-US" w:eastAsia="zh-CN"/>
              </w:rPr>
            </w:pPr>
            <w:r>
              <w:rPr>
                <w:color w:val="auto"/>
              </w:rPr>
              <mc:AlternateContent>
                <mc:Choice Requires="wps">
                  <w:drawing>
                    <wp:anchor distT="0" distB="0" distL="114300" distR="114300" simplePos="0" relativeHeight="251676672" behindDoc="0" locked="0" layoutInCell="1" allowOverlap="1">
                      <wp:simplePos x="0" y="0"/>
                      <wp:positionH relativeFrom="column">
                        <wp:posOffset>1934210</wp:posOffset>
                      </wp:positionH>
                      <wp:positionV relativeFrom="paragraph">
                        <wp:posOffset>1263650</wp:posOffset>
                      </wp:positionV>
                      <wp:extent cx="739140" cy="259715"/>
                      <wp:effectExtent l="0" t="0" r="3810" b="6985"/>
                      <wp:wrapNone/>
                      <wp:docPr id="38" name="文本框 38"/>
                      <wp:cNvGraphicFramePr/>
                      <a:graphic xmlns:a="http://schemas.openxmlformats.org/drawingml/2006/main">
                        <a:graphicData uri="http://schemas.microsoft.com/office/word/2010/wordprocessingShape">
                          <wps:wsp>
                            <wps:cNvSpPr txBox="1"/>
                            <wps:spPr>
                              <a:xfrm>
                                <a:off x="0" y="0"/>
                                <a:ext cx="739140" cy="259715"/>
                              </a:xfrm>
                              <a:prstGeom prst="rect">
                                <a:avLst/>
                              </a:prstGeom>
                              <a:solidFill>
                                <a:schemeClr val="bg1">
                                  <a:lumMod val="85000"/>
                                </a:schemeClr>
                              </a:solidFill>
                              <a:ln w="6350">
                                <a:noFill/>
                              </a:ln>
                            </wps:spPr>
                            <wps:style>
                              <a:lnRef idx="0">
                                <a:schemeClr val="accent1"/>
                              </a:lnRef>
                              <a:fillRef idx="0">
                                <a:schemeClr val="accent1"/>
                              </a:fillRef>
                              <a:effectRef idx="0">
                                <a:schemeClr val="accent1"/>
                              </a:effectRef>
                              <a:fontRef idx="minor">
                                <a:schemeClr val="dk1"/>
                              </a:fontRef>
                            </wps:style>
                            <wps:txbx>
                              <w:txbxContent>
                                <w:p w14:paraId="1231BD5B">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2.3pt;margin-top:99.5pt;height:20.45pt;width:58.2pt;z-index:251676672;mso-width-relative:page;mso-height-relative:page;" fillcolor="#D9D9D9 [2732]" filled="t" stroked="f" coordsize="21600,21600" o:gfxdata="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ml3e2AAAAAsBAAAPAAAAAAAAAAEAIAAAACIAAABkcnMvZG93bnJldi54bWxQSwECFAAUAAAA&#10;CACHTuJA0SOq9WACAACyBAAADgAAAAAAAAABACAAAAAnAQAAZHJzL2Uyb0RvYy54bWxQSwUGAAAA&#10;AAYABgBZAQAA+QUAAAAA&#10;">
                      <v:fill on="t" focussize="0,0"/>
                      <v:stroke on="f" weight="0.5pt"/>
                      <v:imagedata o:title=""/>
                      <o:lock v:ext="edit" aspectratio="f"/>
                      <v:textbox>
                        <w:txbxContent>
                          <w:p w14:paraId="1231BD5B">
                            <w:pPr>
                              <w:ind w:left="0" w:leftChars="0" w:firstLine="0" w:firstLineChars="0"/>
                              <w:rPr>
                                <w:rFonts w:hint="default" w:eastAsia="宋体"/>
                                <w:b/>
                                <w:bCs/>
                                <w:color w:val="FF0000"/>
                                <w:sz w:val="21"/>
                                <w:szCs w:val="21"/>
                                <w:lang w:val="en-US" w:eastAsia="zh-CN"/>
                              </w:rPr>
                            </w:pPr>
                            <w:r>
                              <w:rPr>
                                <w:rFonts w:hint="default"/>
                                <w:b/>
                                <w:bCs/>
                                <w:color w:val="FF0000"/>
                                <w:sz w:val="21"/>
                                <w:szCs w:val="21"/>
                                <w:lang w:val="en-US" w:eastAsia="zh-CN"/>
                              </w:rPr>
                              <w:t>2025.2.28</w:t>
                            </w:r>
                          </w:p>
                        </w:txbxContent>
                      </v:textbox>
                    </v:shape>
                  </w:pict>
                </mc:Fallback>
              </mc:AlternateContent>
            </w:r>
            <w:r>
              <w:rPr>
                <w:rStyle w:val="24"/>
                <w:rFonts w:hint="eastAsia"/>
                <w:caps w:val="0"/>
                <w:color w:val="auto"/>
                <w:szCs w:val="24"/>
                <w:u w:val="none"/>
                <w:vertAlign w:val="baseline"/>
                <w:lang w:val="en-US" w:eastAsia="zh-CN"/>
              </w:rPr>
              <w:drawing>
                <wp:inline distT="0" distB="0" distL="114300" distR="114300">
                  <wp:extent cx="2697480" cy="1545590"/>
                  <wp:effectExtent l="0" t="0" r="0" b="0"/>
                  <wp:docPr id="35" name="图片 35" descr="5f8b64aca9f4efbf78a998a51e59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5f8b64aca9f4efbf78a998a51e59586"/>
                          <pic:cNvPicPr>
                            <a:picLocks noChangeAspect="1"/>
                          </pic:cNvPicPr>
                        </pic:nvPicPr>
                        <pic:blipFill>
                          <a:blip r:embed="rId32"/>
                          <a:srcRect b="23579"/>
                          <a:stretch>
                            <a:fillRect/>
                          </a:stretch>
                        </pic:blipFill>
                        <pic:spPr>
                          <a:xfrm>
                            <a:off x="0" y="0"/>
                            <a:ext cx="2697480" cy="1545590"/>
                          </a:xfrm>
                          <a:prstGeom prst="rect">
                            <a:avLst/>
                          </a:prstGeom>
                        </pic:spPr>
                      </pic:pic>
                    </a:graphicData>
                  </a:graphic>
                </wp:inline>
              </w:drawing>
            </w:r>
          </w:p>
        </w:tc>
      </w:tr>
      <w:tr w14:paraId="0BDE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85" w:type="dxa"/>
            <w:vAlign w:val="center"/>
          </w:tcPr>
          <w:p w14:paraId="3C688884">
            <w:pPr>
              <w:pStyle w:val="37"/>
              <w:bidi w:val="0"/>
              <w:rPr>
                <w:rFonts w:hint="default" w:eastAsia="宋体"/>
                <w:color w:val="auto"/>
                <w:lang w:val="en-US" w:eastAsia="zh-CN"/>
              </w:rPr>
            </w:pPr>
            <w:r>
              <w:rPr>
                <w:rFonts w:hint="eastAsia"/>
                <w:color w:val="auto"/>
                <w:lang w:val="en-US" w:eastAsia="zh-CN"/>
              </w:rPr>
              <w:t>XZB16机位周边省级公益林现状</w:t>
            </w:r>
          </w:p>
        </w:tc>
        <w:tc>
          <w:tcPr>
            <w:tcW w:w="4475" w:type="dxa"/>
            <w:vAlign w:val="center"/>
          </w:tcPr>
          <w:p w14:paraId="0C585D3D">
            <w:pPr>
              <w:pStyle w:val="37"/>
              <w:bidi w:val="0"/>
              <w:rPr>
                <w:rStyle w:val="24"/>
                <w:rFonts w:hint="eastAsia"/>
                <w:caps w:val="0"/>
                <w:color w:val="auto"/>
                <w:szCs w:val="24"/>
                <w:u w:val="none"/>
                <w:vertAlign w:val="baseline"/>
                <w:lang w:val="en-US" w:eastAsia="zh-CN"/>
              </w:rPr>
            </w:pPr>
            <w:r>
              <w:rPr>
                <w:rFonts w:hint="eastAsia"/>
                <w:color w:val="auto"/>
                <w:lang w:val="en-US" w:eastAsia="zh-CN"/>
              </w:rPr>
              <w:t>XZB02机位周边天然林现状</w:t>
            </w:r>
          </w:p>
        </w:tc>
      </w:tr>
    </w:tbl>
    <w:p w14:paraId="46C3C5FE">
      <w:pPr>
        <w:rPr>
          <w:rStyle w:val="24"/>
          <w:rFonts w:hint="eastAsia" w:ascii="Times New Roman" w:hAnsi="Times New Roman" w:eastAsia="宋体"/>
          <w:caps w:val="0"/>
          <w:color w:val="auto"/>
          <w:sz w:val="28"/>
          <w:szCs w:val="28"/>
          <w:u w:val="none"/>
        </w:rPr>
      </w:pPr>
      <w:r>
        <w:rPr>
          <w:rStyle w:val="24"/>
          <w:rFonts w:hint="eastAsia" w:ascii="Times New Roman" w:hAnsi="Times New Roman" w:eastAsia="宋体"/>
          <w:caps w:val="0"/>
          <w:color w:val="auto"/>
          <w:sz w:val="28"/>
          <w:szCs w:val="28"/>
          <w:u w:val="none"/>
        </w:rPr>
        <w:br w:type="page"/>
      </w:r>
    </w:p>
    <w:p w14:paraId="58E7814F">
      <w:pPr>
        <w:pStyle w:val="15"/>
        <w:pageBreakBefore w:val="0"/>
        <w:tabs>
          <w:tab w:val="right" w:leader="dot" w:pos="8834"/>
        </w:tabs>
        <w:kinsoku/>
        <w:wordWrap/>
        <w:overflowPunct/>
        <w:bidi w:val="0"/>
        <w:jc w:val="center"/>
        <w:rPr>
          <w:rStyle w:val="24"/>
          <w:rFonts w:hint="eastAsia" w:ascii="Times New Roman" w:hAnsi="Times New Roman" w:eastAsia="宋体"/>
          <w:caps w:val="0"/>
          <w:color w:val="auto"/>
          <w:sz w:val="44"/>
          <w:szCs w:val="44"/>
          <w:u w:val="none"/>
        </w:rPr>
        <w:sectPr>
          <w:footerReference r:id="rId8" w:type="first"/>
          <w:footerReference r:id="rId7" w:type="default"/>
          <w:pgSz w:w="11906" w:h="16838"/>
          <w:pgMar w:top="1701" w:right="1531" w:bottom="1701" w:left="1531" w:header="851" w:footer="1134" w:gutter="0"/>
          <w:pgBorders>
            <w:top w:val="none" w:sz="0" w:space="0"/>
            <w:left w:val="none" w:sz="0" w:space="0"/>
            <w:bottom w:val="none" w:sz="0" w:space="0"/>
            <w:right w:val="none" w:sz="0" w:space="0"/>
          </w:pgBorders>
          <w:pgNumType w:start="0"/>
          <w:cols w:space="720" w:num="1"/>
          <w:titlePg/>
          <w:docGrid w:linePitch="312" w:charSpace="0"/>
        </w:sectPr>
      </w:pPr>
    </w:p>
    <w:p w14:paraId="7B70D3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36"/>
          <w:szCs w:val="36"/>
          <w:lang w:val="en-US" w:eastAsia="zh-CN"/>
        </w:rPr>
      </w:pPr>
      <w:r>
        <w:rPr>
          <w:rFonts w:hint="default" w:ascii="Times New Roman" w:hAnsi="Times New Roman" w:cs="Times New Roman"/>
          <w:b/>
          <w:bCs/>
          <w:color w:val="auto"/>
          <w:sz w:val="36"/>
          <w:szCs w:val="36"/>
          <w:lang w:val="en-US" w:eastAsia="zh-CN"/>
        </w:rPr>
        <w:t>前言</w:t>
      </w:r>
    </w:p>
    <w:p w14:paraId="17DEE0F7">
      <w:pPr>
        <w:pStyle w:val="6"/>
        <w:bidi w:val="0"/>
        <w:rPr>
          <w:rFonts w:hint="default"/>
          <w:color w:val="auto"/>
          <w:lang w:val="en-US" w:eastAsia="zh-CN"/>
        </w:rPr>
      </w:pPr>
      <w:r>
        <w:rPr>
          <w:rFonts w:hint="eastAsia"/>
          <w:color w:val="auto"/>
          <w:lang w:val="en-US" w:eastAsia="zh-CN"/>
        </w:rPr>
        <w:t>西泽风电场（二期）工程位于云南省曲靖市宣威市热水镇南侧松科梁子一带，建设场址总体连续成片分布，海拔在2320～2380m之间。本项目的主要任务在于发电，充分利用当地的风能资源，为当地电网提供清洁的可再生能源，减少大气污染，保护生态环境，为我国碳达峰目标和碳中和愿景作出贡献。同时本项目建设能调整宣威市能源结构，满足当地经济发展的需要，社会效益和环境效益显著。建设该风电场可以得到国家激励政策和措施的保证，对充分利用宣威市的风力资源，完成云南省“十四五”新能源规划目标，开拓新能源是十分必要的。</w:t>
      </w:r>
    </w:p>
    <w:p w14:paraId="2DFD777F">
      <w:pPr>
        <w:pStyle w:val="6"/>
        <w:bidi w:val="0"/>
        <w:rPr>
          <w:rStyle w:val="24"/>
          <w:rFonts w:hint="default"/>
          <w:caps w:val="0"/>
          <w:color w:val="auto"/>
          <w:szCs w:val="44"/>
          <w:u w:val="none"/>
          <w:lang w:val="en-US" w:eastAsia="zh-CN"/>
        </w:rPr>
      </w:pPr>
      <w:r>
        <w:rPr>
          <w:rStyle w:val="24"/>
          <w:rFonts w:hint="eastAsia"/>
          <w:caps w:val="0"/>
          <w:color w:val="auto"/>
          <w:szCs w:val="44"/>
          <w:u w:val="none"/>
          <w:lang w:val="en-US" w:eastAsia="zh-CN"/>
        </w:rPr>
        <w:t>2026年2月7日，本项目取得了云南省发展和改革委员会出具的《云南省发展和改革委员会关于曲靖市宣威市西泽风电场（二期）项目核准的批复》（云发改能源〔2026〕113号）。</w:t>
      </w:r>
      <w:r>
        <w:rPr>
          <w:rFonts w:hint="eastAsia"/>
          <w:color w:val="auto"/>
          <w:lang w:val="en-US" w:eastAsia="zh-CN"/>
        </w:rPr>
        <w:t>西泽风电场（二期）</w:t>
      </w:r>
      <w:r>
        <w:rPr>
          <w:rStyle w:val="24"/>
          <w:rFonts w:hint="eastAsia"/>
          <w:caps w:val="0"/>
          <w:color w:val="auto"/>
          <w:szCs w:val="44"/>
          <w:u w:val="none"/>
          <w:lang w:val="en-US" w:eastAsia="zh-CN"/>
        </w:rPr>
        <w:t>装机规模为30MW，依托西泽风电场一期B片区的集电线路接入原西泽风电场220kV升压站进行消纳。本项目保留B片区的集电线路的杆塔，对杆塔一侧的线缆进行更换。在现有升压站内扩建1台30MVA的主变，220kV升压站汇集所有风机电能后以1回220kV出线接入500kV多乐变。</w:t>
      </w:r>
      <w:r>
        <w:rPr>
          <w:rFonts w:hint="default"/>
          <w:color w:val="auto"/>
        </w:rPr>
        <w:t>本</w:t>
      </w:r>
      <w:r>
        <w:rPr>
          <w:rFonts w:hint="default"/>
          <w:color w:val="auto"/>
          <w:lang w:val="en-US" w:eastAsia="zh-CN"/>
        </w:rPr>
        <w:t>项目建设内容不包括</w:t>
      </w:r>
      <w:r>
        <w:rPr>
          <w:rFonts w:hint="default"/>
          <w:color w:val="auto"/>
        </w:rPr>
        <w:t>220kV送出线路</w:t>
      </w:r>
      <w:r>
        <w:rPr>
          <w:rFonts w:hint="default"/>
          <w:color w:val="auto"/>
          <w:lang w:eastAsia="zh-CN"/>
        </w:rPr>
        <w:t>，</w:t>
      </w:r>
      <w:r>
        <w:rPr>
          <w:rFonts w:hint="default"/>
          <w:color w:val="auto"/>
        </w:rPr>
        <w:t>建设单位在开展送出线路工程时另行办理相关环保手续。</w:t>
      </w:r>
    </w:p>
    <w:p w14:paraId="01E8661F">
      <w:pPr>
        <w:pStyle w:val="6"/>
        <w:bidi w:val="0"/>
        <w:rPr>
          <w:rFonts w:hint="eastAsia"/>
          <w:color w:val="auto"/>
          <w:lang w:val="en-US" w:eastAsia="zh-CN"/>
        </w:rPr>
      </w:pPr>
      <w:r>
        <w:rPr>
          <w:rStyle w:val="24"/>
          <w:rFonts w:hint="eastAsia"/>
          <w:caps w:val="0"/>
          <w:color w:val="auto"/>
          <w:szCs w:val="44"/>
          <w:u w:val="none"/>
          <w:lang w:val="en-US" w:eastAsia="zh-CN"/>
        </w:rPr>
        <w:t>项目现场踏勘期间，发现XZB04号风机东侧1座养鸡场，两者距离较近。据</w:t>
      </w:r>
      <w:r>
        <w:rPr>
          <w:rFonts w:hint="eastAsia"/>
          <w:color w:val="auto"/>
          <w:lang w:val="en-US" w:eastAsia="zh-CN"/>
        </w:rPr>
        <w:t>热水镇海德村民委员会反馈，该养鸡场占地属于永久基本农田范畴。根据《中华人民共和国土地管理法》相关规定，占用永久基本农田搭建养鸡场属于违法用地行为。2024年1月17日，村委会已向养鸡场实际权属人桂腾飞送达《责令停止违法行为通知书》，要求其限期拆除违规建筑。截至目前，当事人尚未按要求停止违法建设、完成场地拆除工作。</w:t>
      </w:r>
    </w:p>
    <w:p w14:paraId="0117E7BA">
      <w:pPr>
        <w:pStyle w:val="6"/>
        <w:bidi w:val="0"/>
        <w:rPr>
          <w:rStyle w:val="24"/>
          <w:rFonts w:hint="eastAsia" w:ascii="Times New Roman" w:hAnsi="Times New Roman" w:eastAsia="宋体"/>
          <w:caps w:val="0"/>
          <w:color w:val="auto"/>
          <w:szCs w:val="44"/>
          <w:u w:val="none"/>
        </w:rPr>
      </w:pPr>
      <w:r>
        <w:rPr>
          <w:rFonts w:hint="eastAsia"/>
          <w:color w:val="auto"/>
          <w:lang w:val="en-US" w:eastAsia="zh-CN"/>
        </w:rPr>
        <w:t>为避免项目施工和运营对该处违建养鸡场产生相关影响，</w:t>
      </w:r>
      <w:r>
        <w:rPr>
          <w:rStyle w:val="24"/>
          <w:rFonts w:hint="eastAsia"/>
          <w:caps w:val="0"/>
          <w:color w:val="auto"/>
          <w:szCs w:val="44"/>
          <w:u w:val="none"/>
          <w:lang w:val="en-US" w:eastAsia="zh-CN"/>
        </w:rPr>
        <w:t>国电电力云南新能源开发有限公司于2026年5月28日出具《承诺书》，《承诺书》中明确国电电力云南新能源开发有限公司</w:t>
      </w:r>
      <w:r>
        <w:rPr>
          <w:rFonts w:hint="eastAsia"/>
          <w:color w:val="auto"/>
          <w:lang w:val="en-US" w:eastAsia="zh-CN"/>
        </w:rPr>
        <w:t>将主动对接各级政府部门，全力推进养鸡场拆除整治工作，保障项目开工建设前完成该处违建拆除事宜。若在项目开工建设、运营时，养鸡场拆除整治工作仍未落实，造成的一切后果由建设单位自行承担。《承诺书》具体内容见附件。</w:t>
      </w:r>
    </w:p>
    <w:p w14:paraId="7FC52A51">
      <w:pPr>
        <w:pStyle w:val="6"/>
        <w:bidi w:val="0"/>
        <w:rPr>
          <w:rStyle w:val="24"/>
          <w:rFonts w:hint="eastAsia" w:ascii="Times New Roman" w:hAnsi="Times New Roman" w:eastAsia="宋体"/>
          <w:caps w:val="0"/>
          <w:color w:val="auto"/>
          <w:szCs w:val="44"/>
          <w:u w:val="none"/>
        </w:rPr>
      </w:pPr>
      <w:r>
        <w:rPr>
          <w:rFonts w:hint="eastAsia" w:ascii="Times New Roman" w:hAnsi="Times New Roman" w:eastAsia="宋体" w:cs="Times New Roman"/>
          <w:color w:val="auto"/>
          <w:sz w:val="24"/>
          <w:lang w:val="en-US" w:eastAsia="zh-CN"/>
        </w:rPr>
        <w:t>根据《中华人民共和国环境影响评价法</w:t>
      </w:r>
      <w:r>
        <w:rPr>
          <w:rFonts w:hint="eastAsia" w:cs="Times New Roman"/>
          <w:color w:val="auto"/>
          <w:sz w:val="24"/>
          <w:lang w:val="en-US" w:eastAsia="zh-CN"/>
        </w:rPr>
        <w:t>》《</w:t>
      </w:r>
      <w:r>
        <w:rPr>
          <w:rFonts w:hint="eastAsia" w:ascii="Times New Roman" w:hAnsi="Times New Roman" w:eastAsia="宋体" w:cs="Times New Roman"/>
          <w:color w:val="auto"/>
          <w:sz w:val="24"/>
          <w:lang w:val="en-US" w:eastAsia="zh-CN"/>
        </w:rPr>
        <w:t>建设项目环境保护管理条例》等有关法律法规规定，本项目应开展环境影响评价工作。根据《建设项目环境影响评价分类管理名录（2021年版）》，本项目属于“</w:t>
      </w:r>
      <w:r>
        <w:rPr>
          <w:rFonts w:hint="default" w:ascii="Times New Roman" w:hAnsi="Times New Roman" w:eastAsia="宋体" w:cs="Times New Roman"/>
          <w:color w:val="auto"/>
          <w:kern w:val="0"/>
          <w:sz w:val="24"/>
          <w:szCs w:val="24"/>
          <w:lang w:val="en-US" w:eastAsia="zh-CN" w:bidi="ar"/>
        </w:rPr>
        <w:t>四十一、电力、热力生产和供应业；90陆上风力发电</w:t>
      </w:r>
      <w:r>
        <w:rPr>
          <w:rFonts w:hint="eastAsia" w:ascii="Times New Roman" w:hAnsi="Times New Roman" w:eastAsia="宋体" w:cs="Times New Roman"/>
          <w:color w:val="auto"/>
          <w:sz w:val="24"/>
          <w:lang w:val="en-US" w:eastAsia="zh-CN"/>
        </w:rPr>
        <w:t>”项目，项目环评类别为报告表。2025年</w:t>
      </w:r>
      <w:r>
        <w:rPr>
          <w:rFonts w:hint="eastAsia" w:cs="Times New Roman"/>
          <w:color w:val="auto"/>
          <w:sz w:val="24"/>
          <w:lang w:val="en-US" w:eastAsia="zh-CN"/>
        </w:rPr>
        <w:t>6</w:t>
      </w:r>
      <w:r>
        <w:rPr>
          <w:rFonts w:hint="eastAsia" w:ascii="Times New Roman" w:hAnsi="Times New Roman" w:eastAsia="宋体" w:cs="Times New Roman"/>
          <w:color w:val="auto"/>
          <w:sz w:val="24"/>
          <w:lang w:val="en-US" w:eastAsia="zh-CN"/>
        </w:rPr>
        <w:t>月，</w:t>
      </w:r>
      <w:r>
        <w:rPr>
          <w:rStyle w:val="24"/>
          <w:rFonts w:hint="eastAsia"/>
          <w:caps w:val="0"/>
          <w:color w:val="auto"/>
          <w:szCs w:val="44"/>
          <w:u w:val="none"/>
          <w:lang w:val="en-US" w:eastAsia="zh-CN"/>
        </w:rPr>
        <w:t>国电电力云南新能源开发有限公司</w:t>
      </w:r>
      <w:r>
        <w:rPr>
          <w:rFonts w:hint="eastAsia" w:ascii="Times New Roman" w:hAnsi="Times New Roman" w:eastAsia="宋体" w:cs="Times New Roman"/>
          <w:color w:val="auto"/>
          <w:sz w:val="24"/>
          <w:lang w:val="en-US" w:eastAsia="zh-CN"/>
        </w:rPr>
        <w:t>委托昆明龙慧工程设计咨询有限公司承担本项目的环境影响评价工作。接受委托后我单位对建设项目现场进行了调查和踏勘，并收集了相关资料，按照《建设项目环境影响报告表编制技术指南（生态影响类）（试行）》及有关环境影响评价技术导则的要求，编制完成《</w:t>
      </w:r>
      <w:r>
        <w:rPr>
          <w:rFonts w:hint="default" w:ascii="Times New Roman" w:hAnsi="Times New Roman" w:eastAsia="宋体" w:cs="Times New Roman"/>
          <w:color w:val="auto"/>
          <w:sz w:val="24"/>
          <w:lang w:val="en-US" w:eastAsia="zh-CN"/>
        </w:rPr>
        <w:t>西泽风电场（二期）</w:t>
      </w:r>
      <w:r>
        <w:rPr>
          <w:rFonts w:hint="eastAsia" w:ascii="Times New Roman" w:hAnsi="Times New Roman" w:eastAsia="宋体" w:cs="Times New Roman"/>
          <w:color w:val="auto"/>
          <w:sz w:val="24"/>
          <w:lang w:val="en-US" w:eastAsia="zh-CN"/>
        </w:rPr>
        <w:t>建设项目环境影响报告表》，供建设单位上报审批。</w:t>
      </w:r>
    </w:p>
    <w:p w14:paraId="10E45EBE">
      <w:pPr>
        <w:pStyle w:val="6"/>
        <w:bidi w:val="0"/>
        <w:rPr>
          <w:rStyle w:val="24"/>
          <w:rFonts w:hint="eastAsia" w:ascii="Times New Roman" w:hAnsi="Times New Roman" w:eastAsia="宋体"/>
          <w:caps w:val="0"/>
          <w:color w:val="auto"/>
          <w:szCs w:val="44"/>
          <w:u w:val="none"/>
        </w:rPr>
        <w:sectPr>
          <w:pgSz w:w="11906" w:h="16838"/>
          <w:pgMar w:top="1701" w:right="1531" w:bottom="1701" w:left="1531" w:header="851" w:footer="1134" w:gutter="0"/>
          <w:pgBorders>
            <w:top w:val="none" w:sz="0" w:space="0"/>
            <w:left w:val="none" w:sz="0" w:space="0"/>
            <w:bottom w:val="none" w:sz="0" w:space="0"/>
            <w:right w:val="none" w:sz="0" w:space="0"/>
          </w:pgBorders>
          <w:pgNumType w:start="0"/>
          <w:cols w:space="720" w:num="1"/>
          <w:titlePg/>
          <w:docGrid w:linePitch="312" w:charSpace="0"/>
        </w:sectPr>
      </w:pPr>
    </w:p>
    <w:p w14:paraId="69E1A6E4">
      <w:pPr>
        <w:pStyle w:val="15"/>
        <w:pageBreakBefore w:val="0"/>
        <w:tabs>
          <w:tab w:val="right" w:leader="dot" w:pos="8834"/>
        </w:tabs>
        <w:kinsoku/>
        <w:wordWrap/>
        <w:overflowPunct/>
        <w:bidi w:val="0"/>
        <w:jc w:val="center"/>
        <w:rPr>
          <w:rStyle w:val="24"/>
          <w:rFonts w:ascii="Times New Roman" w:hAnsi="Times New Roman" w:eastAsia="宋体"/>
          <w:caps w:val="0"/>
          <w:color w:val="auto"/>
          <w:sz w:val="44"/>
          <w:szCs w:val="44"/>
          <w:u w:val="none"/>
        </w:rPr>
      </w:pPr>
      <w:r>
        <w:rPr>
          <w:rStyle w:val="24"/>
          <w:rFonts w:hint="eastAsia" w:ascii="Times New Roman" w:hAnsi="Times New Roman" w:eastAsia="宋体"/>
          <w:caps w:val="0"/>
          <w:color w:val="auto"/>
          <w:sz w:val="44"/>
          <w:szCs w:val="44"/>
          <w:u w:val="none"/>
        </w:rPr>
        <w:t>目录</w:t>
      </w:r>
    </w:p>
    <w:p w14:paraId="39A0DA60">
      <w:pPr>
        <w:pStyle w:val="15"/>
        <w:pageBreakBefore w:val="0"/>
        <w:tabs>
          <w:tab w:val="right" w:leader="dot" w:pos="8834"/>
        </w:tabs>
        <w:kinsoku/>
        <w:wordWrap/>
        <w:overflowPunct/>
        <w:bidi w:val="0"/>
        <w:adjustRightInd w:val="0"/>
        <w:snapToGrid w:val="0"/>
        <w:spacing w:before="0" w:after="0" w:line="360" w:lineRule="auto"/>
        <w:rPr>
          <w:rFonts w:ascii="Times New Roman" w:hAnsi="Times New Roman" w:eastAsia="宋体"/>
          <w:b w:val="0"/>
          <w:bCs w:val="0"/>
          <w:caps w:val="0"/>
          <w:color w:val="auto"/>
          <w:sz w:val="28"/>
          <w:szCs w:val="28"/>
        </w:rPr>
      </w:pPr>
      <w:r>
        <w:rPr>
          <w:rFonts w:ascii="Times New Roman" w:hAnsi="Times New Roman" w:eastAsia="宋体"/>
          <w:b w:val="0"/>
          <w:caps w:val="0"/>
          <w:color w:val="auto"/>
          <w:sz w:val="24"/>
          <w:szCs w:val="24"/>
        </w:rPr>
        <w:fldChar w:fldCharType="begin"/>
      </w:r>
      <w:r>
        <w:rPr>
          <w:rStyle w:val="24"/>
          <w:rFonts w:ascii="Times New Roman" w:hAnsi="Times New Roman" w:eastAsia="宋体"/>
          <w:b w:val="0"/>
          <w:caps w:val="0"/>
          <w:color w:val="auto"/>
          <w:sz w:val="24"/>
          <w:szCs w:val="24"/>
        </w:rPr>
        <w:instrText xml:space="preserve"> TOC \o "1-3" \h \z \u </w:instrText>
      </w:r>
      <w:r>
        <w:rPr>
          <w:rFonts w:ascii="Times New Roman" w:hAnsi="Times New Roman" w:eastAsia="宋体"/>
          <w:b w:val="0"/>
          <w:caps w:val="0"/>
          <w:color w:val="auto"/>
          <w:sz w:val="24"/>
          <w:szCs w:val="24"/>
        </w:rPr>
        <w:fldChar w:fldCharType="separate"/>
      </w:r>
      <w:r>
        <w:rPr>
          <w:rFonts w:ascii="Times New Roman" w:hAnsi="Times New Roman" w:eastAsia="宋体"/>
          <w:caps w:val="0"/>
          <w:color w:val="auto"/>
          <w:sz w:val="28"/>
          <w:szCs w:val="28"/>
        </w:rPr>
        <w:fldChar w:fldCharType="begin"/>
      </w:r>
      <w:r>
        <w:rPr>
          <w:rFonts w:ascii="Times New Roman" w:hAnsi="Times New Roman" w:eastAsia="宋体"/>
          <w:caps w:val="0"/>
          <w:color w:val="auto"/>
          <w:sz w:val="28"/>
          <w:szCs w:val="28"/>
        </w:rPr>
        <w:instrText xml:space="preserve">HYPERLINK \l "_Toc80363681"</w:instrText>
      </w:r>
      <w:r>
        <w:rPr>
          <w:rFonts w:ascii="Times New Roman" w:hAnsi="Times New Roman" w:eastAsia="宋体"/>
          <w:caps w:val="0"/>
          <w:color w:val="auto"/>
          <w:sz w:val="28"/>
          <w:szCs w:val="28"/>
        </w:rPr>
        <w:fldChar w:fldCharType="separate"/>
      </w:r>
      <w:r>
        <w:rPr>
          <w:rStyle w:val="24"/>
          <w:rFonts w:ascii="Times New Roman" w:hAnsi="Times New Roman" w:eastAsia="宋体"/>
          <w:b w:val="0"/>
          <w:caps w:val="0"/>
          <w:snapToGrid w:val="0"/>
          <w:color w:val="auto"/>
          <w:sz w:val="28"/>
          <w:szCs w:val="28"/>
        </w:rPr>
        <w:t>一、建设项目基本情况</w:t>
      </w:r>
      <w:r>
        <w:rPr>
          <w:rFonts w:ascii="Times New Roman" w:hAnsi="Times New Roman" w:eastAsia="宋体"/>
          <w:b w:val="0"/>
          <w:caps w:val="0"/>
          <w:color w:val="auto"/>
          <w:sz w:val="28"/>
          <w:szCs w:val="28"/>
        </w:rPr>
        <w:tab/>
      </w:r>
      <w:r>
        <w:rPr>
          <w:rFonts w:hint="eastAsia" w:ascii="Times New Roman" w:hAnsi="Times New Roman"/>
          <w:b w:val="0"/>
          <w:caps w:val="0"/>
          <w:color w:val="auto"/>
          <w:sz w:val="28"/>
          <w:szCs w:val="28"/>
          <w:lang w:val="en-US" w:eastAsia="zh-CN"/>
        </w:rPr>
        <w:t>1</w:t>
      </w:r>
      <w:r>
        <w:rPr>
          <w:rFonts w:ascii="Times New Roman" w:hAnsi="Times New Roman" w:eastAsia="宋体"/>
          <w:caps w:val="0"/>
          <w:color w:val="auto"/>
          <w:sz w:val="28"/>
          <w:szCs w:val="28"/>
        </w:rPr>
        <w:fldChar w:fldCharType="end"/>
      </w:r>
    </w:p>
    <w:p w14:paraId="132D0C10">
      <w:pPr>
        <w:pStyle w:val="15"/>
        <w:pageBreakBefore w:val="0"/>
        <w:tabs>
          <w:tab w:val="right" w:leader="dot" w:pos="8834"/>
        </w:tabs>
        <w:kinsoku/>
        <w:wordWrap/>
        <w:overflowPunct/>
        <w:bidi w:val="0"/>
        <w:adjustRightInd w:val="0"/>
        <w:snapToGrid w:val="0"/>
        <w:spacing w:before="0" w:after="0" w:line="360" w:lineRule="auto"/>
        <w:rPr>
          <w:rFonts w:ascii="Times New Roman" w:hAnsi="Times New Roman" w:eastAsia="宋体"/>
          <w:b w:val="0"/>
          <w:bCs w:val="0"/>
          <w:caps w:val="0"/>
          <w:color w:val="auto"/>
          <w:sz w:val="28"/>
          <w:szCs w:val="28"/>
        </w:rPr>
      </w:pPr>
      <w:r>
        <w:rPr>
          <w:rFonts w:ascii="Times New Roman" w:hAnsi="Times New Roman" w:eastAsia="宋体"/>
          <w:caps w:val="0"/>
          <w:color w:val="auto"/>
          <w:sz w:val="28"/>
          <w:szCs w:val="28"/>
        </w:rPr>
        <w:fldChar w:fldCharType="begin"/>
      </w:r>
      <w:r>
        <w:rPr>
          <w:rFonts w:ascii="Times New Roman" w:hAnsi="Times New Roman" w:eastAsia="宋体"/>
          <w:caps w:val="0"/>
          <w:color w:val="auto"/>
          <w:sz w:val="28"/>
          <w:szCs w:val="28"/>
        </w:rPr>
        <w:instrText xml:space="preserve">HYPERLINK \l "_Toc80363682"</w:instrText>
      </w:r>
      <w:r>
        <w:rPr>
          <w:rFonts w:ascii="Times New Roman" w:hAnsi="Times New Roman" w:eastAsia="宋体"/>
          <w:caps w:val="0"/>
          <w:color w:val="auto"/>
          <w:sz w:val="28"/>
          <w:szCs w:val="28"/>
        </w:rPr>
        <w:fldChar w:fldCharType="separate"/>
      </w:r>
      <w:r>
        <w:rPr>
          <w:rStyle w:val="24"/>
          <w:rFonts w:ascii="Times New Roman" w:hAnsi="Times New Roman" w:eastAsia="宋体"/>
          <w:b w:val="0"/>
          <w:caps w:val="0"/>
          <w:snapToGrid w:val="0"/>
          <w:color w:val="auto"/>
          <w:sz w:val="28"/>
          <w:szCs w:val="28"/>
        </w:rPr>
        <w:t>二、建设内容</w:t>
      </w:r>
      <w:r>
        <w:rPr>
          <w:rFonts w:ascii="Times New Roman" w:hAnsi="Times New Roman" w:eastAsia="宋体"/>
          <w:b w:val="0"/>
          <w:caps w:val="0"/>
          <w:color w:val="auto"/>
          <w:sz w:val="28"/>
          <w:szCs w:val="28"/>
        </w:rPr>
        <w:tab/>
      </w:r>
      <w:r>
        <w:rPr>
          <w:rFonts w:ascii="Times New Roman" w:hAnsi="Times New Roman" w:eastAsia="宋体"/>
          <w:b w:val="0"/>
          <w:caps w:val="0"/>
          <w:color w:val="auto"/>
          <w:sz w:val="28"/>
          <w:szCs w:val="28"/>
        </w:rPr>
        <w:fldChar w:fldCharType="begin"/>
      </w:r>
      <w:r>
        <w:rPr>
          <w:rFonts w:ascii="Times New Roman" w:hAnsi="Times New Roman" w:eastAsia="宋体"/>
          <w:b w:val="0"/>
          <w:caps w:val="0"/>
          <w:color w:val="auto"/>
          <w:sz w:val="28"/>
          <w:szCs w:val="28"/>
        </w:rPr>
        <w:instrText xml:space="preserve"> PAGEREF _Toc80363682 \h </w:instrText>
      </w:r>
      <w:r>
        <w:rPr>
          <w:rFonts w:ascii="Times New Roman" w:hAnsi="Times New Roman" w:eastAsia="宋体"/>
          <w:b w:val="0"/>
          <w:caps w:val="0"/>
          <w:color w:val="auto"/>
          <w:sz w:val="28"/>
          <w:szCs w:val="28"/>
        </w:rPr>
        <w:fldChar w:fldCharType="separate"/>
      </w:r>
      <w:r>
        <w:rPr>
          <w:rFonts w:ascii="Times New Roman" w:hAnsi="Times New Roman" w:eastAsia="宋体"/>
          <w:b w:val="0"/>
          <w:caps w:val="0"/>
          <w:color w:val="auto"/>
          <w:sz w:val="28"/>
          <w:szCs w:val="28"/>
        </w:rPr>
        <w:t>30</w:t>
      </w:r>
      <w:r>
        <w:rPr>
          <w:rFonts w:ascii="Times New Roman" w:hAnsi="Times New Roman" w:eastAsia="宋体"/>
          <w:b w:val="0"/>
          <w:caps w:val="0"/>
          <w:color w:val="auto"/>
          <w:sz w:val="28"/>
          <w:szCs w:val="28"/>
        </w:rPr>
        <w:fldChar w:fldCharType="end"/>
      </w:r>
      <w:r>
        <w:rPr>
          <w:rFonts w:ascii="Times New Roman" w:hAnsi="Times New Roman" w:eastAsia="宋体"/>
          <w:caps w:val="0"/>
          <w:color w:val="auto"/>
          <w:sz w:val="28"/>
          <w:szCs w:val="28"/>
        </w:rPr>
        <w:fldChar w:fldCharType="end"/>
      </w:r>
    </w:p>
    <w:p w14:paraId="6F498BFA">
      <w:pPr>
        <w:pStyle w:val="15"/>
        <w:pageBreakBefore w:val="0"/>
        <w:tabs>
          <w:tab w:val="right" w:leader="dot" w:pos="8834"/>
        </w:tabs>
        <w:kinsoku/>
        <w:wordWrap/>
        <w:overflowPunct/>
        <w:bidi w:val="0"/>
        <w:adjustRightInd w:val="0"/>
        <w:snapToGrid w:val="0"/>
        <w:spacing w:before="0" w:after="0" w:line="360" w:lineRule="auto"/>
        <w:rPr>
          <w:rFonts w:ascii="Times New Roman" w:hAnsi="Times New Roman" w:eastAsia="宋体"/>
          <w:b w:val="0"/>
          <w:bCs w:val="0"/>
          <w:caps w:val="0"/>
          <w:color w:val="auto"/>
          <w:sz w:val="28"/>
          <w:szCs w:val="28"/>
        </w:rPr>
      </w:pPr>
      <w:r>
        <w:rPr>
          <w:rFonts w:ascii="Times New Roman" w:hAnsi="Times New Roman" w:eastAsia="宋体"/>
          <w:caps w:val="0"/>
          <w:color w:val="auto"/>
          <w:sz w:val="28"/>
          <w:szCs w:val="28"/>
        </w:rPr>
        <w:fldChar w:fldCharType="begin"/>
      </w:r>
      <w:r>
        <w:rPr>
          <w:rFonts w:ascii="Times New Roman" w:hAnsi="Times New Roman" w:eastAsia="宋体"/>
          <w:caps w:val="0"/>
          <w:color w:val="auto"/>
          <w:sz w:val="28"/>
          <w:szCs w:val="28"/>
        </w:rPr>
        <w:instrText xml:space="preserve">HYPERLINK \l "_Toc80363683"</w:instrText>
      </w:r>
      <w:r>
        <w:rPr>
          <w:rFonts w:ascii="Times New Roman" w:hAnsi="Times New Roman" w:eastAsia="宋体"/>
          <w:caps w:val="0"/>
          <w:color w:val="auto"/>
          <w:sz w:val="28"/>
          <w:szCs w:val="28"/>
        </w:rPr>
        <w:fldChar w:fldCharType="separate"/>
      </w:r>
      <w:r>
        <w:rPr>
          <w:rStyle w:val="24"/>
          <w:rFonts w:ascii="Times New Roman" w:hAnsi="Times New Roman" w:eastAsia="宋体"/>
          <w:b w:val="0"/>
          <w:caps w:val="0"/>
          <w:snapToGrid w:val="0"/>
          <w:color w:val="auto"/>
          <w:sz w:val="28"/>
          <w:szCs w:val="28"/>
        </w:rPr>
        <w:t>三、生态环境现状、保护目标及评价标准</w:t>
      </w:r>
      <w:r>
        <w:rPr>
          <w:rFonts w:ascii="Times New Roman" w:hAnsi="Times New Roman" w:eastAsia="宋体"/>
          <w:b w:val="0"/>
          <w:caps w:val="0"/>
          <w:color w:val="auto"/>
          <w:sz w:val="28"/>
          <w:szCs w:val="28"/>
        </w:rPr>
        <w:tab/>
      </w:r>
      <w:r>
        <w:rPr>
          <w:rFonts w:ascii="Times New Roman" w:hAnsi="Times New Roman" w:eastAsia="宋体"/>
          <w:b w:val="0"/>
          <w:caps w:val="0"/>
          <w:color w:val="auto"/>
          <w:sz w:val="28"/>
          <w:szCs w:val="28"/>
        </w:rPr>
        <w:fldChar w:fldCharType="begin"/>
      </w:r>
      <w:r>
        <w:rPr>
          <w:rFonts w:ascii="Times New Roman" w:hAnsi="Times New Roman" w:eastAsia="宋体"/>
          <w:b w:val="0"/>
          <w:caps w:val="0"/>
          <w:color w:val="auto"/>
          <w:sz w:val="28"/>
          <w:szCs w:val="28"/>
        </w:rPr>
        <w:instrText xml:space="preserve"> PAGEREF _Toc80363683 \h </w:instrText>
      </w:r>
      <w:r>
        <w:rPr>
          <w:rFonts w:ascii="Times New Roman" w:hAnsi="Times New Roman" w:eastAsia="宋体"/>
          <w:b w:val="0"/>
          <w:caps w:val="0"/>
          <w:color w:val="auto"/>
          <w:sz w:val="28"/>
          <w:szCs w:val="28"/>
        </w:rPr>
        <w:fldChar w:fldCharType="separate"/>
      </w:r>
      <w:r>
        <w:rPr>
          <w:rFonts w:ascii="Times New Roman" w:hAnsi="Times New Roman" w:eastAsia="宋体"/>
          <w:b w:val="0"/>
          <w:caps w:val="0"/>
          <w:color w:val="auto"/>
          <w:sz w:val="28"/>
          <w:szCs w:val="28"/>
        </w:rPr>
        <w:t>43</w:t>
      </w:r>
      <w:r>
        <w:rPr>
          <w:rFonts w:ascii="Times New Roman" w:hAnsi="Times New Roman" w:eastAsia="宋体"/>
          <w:b w:val="0"/>
          <w:caps w:val="0"/>
          <w:color w:val="auto"/>
          <w:sz w:val="28"/>
          <w:szCs w:val="28"/>
        </w:rPr>
        <w:fldChar w:fldCharType="end"/>
      </w:r>
      <w:r>
        <w:rPr>
          <w:rFonts w:ascii="Times New Roman" w:hAnsi="Times New Roman" w:eastAsia="宋体"/>
          <w:caps w:val="0"/>
          <w:color w:val="auto"/>
          <w:sz w:val="28"/>
          <w:szCs w:val="28"/>
        </w:rPr>
        <w:fldChar w:fldCharType="end"/>
      </w:r>
    </w:p>
    <w:p w14:paraId="766ACEE4">
      <w:pPr>
        <w:pStyle w:val="15"/>
        <w:pageBreakBefore w:val="0"/>
        <w:tabs>
          <w:tab w:val="right" w:leader="dot" w:pos="8834"/>
        </w:tabs>
        <w:kinsoku/>
        <w:wordWrap/>
        <w:overflowPunct/>
        <w:bidi w:val="0"/>
        <w:adjustRightInd w:val="0"/>
        <w:snapToGrid w:val="0"/>
        <w:spacing w:before="0" w:after="0" w:line="360" w:lineRule="auto"/>
        <w:rPr>
          <w:rFonts w:ascii="Times New Roman" w:hAnsi="Times New Roman" w:eastAsia="宋体"/>
          <w:b w:val="0"/>
          <w:bCs w:val="0"/>
          <w:caps w:val="0"/>
          <w:color w:val="auto"/>
          <w:sz w:val="28"/>
          <w:szCs w:val="28"/>
        </w:rPr>
      </w:pPr>
      <w:r>
        <w:rPr>
          <w:rFonts w:ascii="Times New Roman" w:hAnsi="Times New Roman" w:eastAsia="宋体"/>
          <w:caps w:val="0"/>
          <w:color w:val="auto"/>
          <w:sz w:val="28"/>
          <w:szCs w:val="28"/>
        </w:rPr>
        <w:fldChar w:fldCharType="begin"/>
      </w:r>
      <w:r>
        <w:rPr>
          <w:rFonts w:ascii="Times New Roman" w:hAnsi="Times New Roman" w:eastAsia="宋体"/>
          <w:caps w:val="0"/>
          <w:color w:val="auto"/>
          <w:sz w:val="28"/>
          <w:szCs w:val="28"/>
        </w:rPr>
        <w:instrText xml:space="preserve">HYPERLINK \l "_Toc80363684"</w:instrText>
      </w:r>
      <w:r>
        <w:rPr>
          <w:rFonts w:ascii="Times New Roman" w:hAnsi="Times New Roman" w:eastAsia="宋体"/>
          <w:caps w:val="0"/>
          <w:color w:val="auto"/>
          <w:sz w:val="28"/>
          <w:szCs w:val="28"/>
        </w:rPr>
        <w:fldChar w:fldCharType="separate"/>
      </w:r>
      <w:r>
        <w:rPr>
          <w:rStyle w:val="24"/>
          <w:rFonts w:ascii="Times New Roman" w:hAnsi="Times New Roman" w:eastAsia="宋体"/>
          <w:b w:val="0"/>
          <w:caps w:val="0"/>
          <w:snapToGrid w:val="0"/>
          <w:color w:val="auto"/>
          <w:sz w:val="28"/>
          <w:szCs w:val="28"/>
        </w:rPr>
        <w:t>四、生态环境影响分析</w:t>
      </w:r>
      <w:r>
        <w:rPr>
          <w:rFonts w:ascii="Times New Roman" w:hAnsi="Times New Roman" w:eastAsia="宋体"/>
          <w:b w:val="0"/>
          <w:caps w:val="0"/>
          <w:color w:val="auto"/>
          <w:sz w:val="28"/>
          <w:szCs w:val="28"/>
        </w:rPr>
        <w:tab/>
      </w:r>
      <w:r>
        <w:rPr>
          <w:rFonts w:ascii="Times New Roman" w:hAnsi="Times New Roman" w:eastAsia="宋体"/>
          <w:b w:val="0"/>
          <w:caps w:val="0"/>
          <w:color w:val="auto"/>
          <w:sz w:val="28"/>
          <w:szCs w:val="28"/>
        </w:rPr>
        <w:fldChar w:fldCharType="begin"/>
      </w:r>
      <w:r>
        <w:rPr>
          <w:rFonts w:ascii="Times New Roman" w:hAnsi="Times New Roman" w:eastAsia="宋体"/>
          <w:b w:val="0"/>
          <w:caps w:val="0"/>
          <w:color w:val="auto"/>
          <w:sz w:val="28"/>
          <w:szCs w:val="28"/>
        </w:rPr>
        <w:instrText xml:space="preserve"> PAGEREF _Toc80363684 \h </w:instrText>
      </w:r>
      <w:r>
        <w:rPr>
          <w:rFonts w:ascii="Times New Roman" w:hAnsi="Times New Roman" w:eastAsia="宋体"/>
          <w:b w:val="0"/>
          <w:caps w:val="0"/>
          <w:color w:val="auto"/>
          <w:sz w:val="28"/>
          <w:szCs w:val="28"/>
        </w:rPr>
        <w:fldChar w:fldCharType="separate"/>
      </w:r>
      <w:r>
        <w:rPr>
          <w:rFonts w:ascii="Times New Roman" w:hAnsi="Times New Roman" w:eastAsia="宋体"/>
          <w:b w:val="0"/>
          <w:caps w:val="0"/>
          <w:color w:val="auto"/>
          <w:sz w:val="28"/>
          <w:szCs w:val="28"/>
        </w:rPr>
        <w:t>55</w:t>
      </w:r>
      <w:r>
        <w:rPr>
          <w:rFonts w:ascii="Times New Roman" w:hAnsi="Times New Roman" w:eastAsia="宋体"/>
          <w:b w:val="0"/>
          <w:caps w:val="0"/>
          <w:color w:val="auto"/>
          <w:sz w:val="28"/>
          <w:szCs w:val="28"/>
        </w:rPr>
        <w:fldChar w:fldCharType="end"/>
      </w:r>
      <w:r>
        <w:rPr>
          <w:rFonts w:ascii="Times New Roman" w:hAnsi="Times New Roman" w:eastAsia="宋体"/>
          <w:caps w:val="0"/>
          <w:color w:val="auto"/>
          <w:sz w:val="28"/>
          <w:szCs w:val="28"/>
        </w:rPr>
        <w:fldChar w:fldCharType="end"/>
      </w:r>
    </w:p>
    <w:p w14:paraId="29DAF42E">
      <w:pPr>
        <w:pStyle w:val="15"/>
        <w:pageBreakBefore w:val="0"/>
        <w:tabs>
          <w:tab w:val="right" w:leader="dot" w:pos="8834"/>
        </w:tabs>
        <w:kinsoku/>
        <w:wordWrap/>
        <w:overflowPunct/>
        <w:bidi w:val="0"/>
        <w:adjustRightInd w:val="0"/>
        <w:snapToGrid w:val="0"/>
        <w:spacing w:before="0" w:after="0" w:line="360" w:lineRule="auto"/>
        <w:rPr>
          <w:rFonts w:ascii="Times New Roman" w:hAnsi="Times New Roman" w:eastAsia="宋体"/>
          <w:b w:val="0"/>
          <w:bCs w:val="0"/>
          <w:caps w:val="0"/>
          <w:color w:val="auto"/>
          <w:sz w:val="28"/>
          <w:szCs w:val="28"/>
        </w:rPr>
      </w:pPr>
      <w:r>
        <w:rPr>
          <w:rFonts w:ascii="Times New Roman" w:hAnsi="Times New Roman" w:eastAsia="宋体"/>
          <w:caps w:val="0"/>
          <w:color w:val="auto"/>
          <w:sz w:val="28"/>
          <w:szCs w:val="28"/>
        </w:rPr>
        <w:fldChar w:fldCharType="begin"/>
      </w:r>
      <w:r>
        <w:rPr>
          <w:rFonts w:ascii="Times New Roman" w:hAnsi="Times New Roman" w:eastAsia="宋体"/>
          <w:caps w:val="0"/>
          <w:color w:val="auto"/>
          <w:sz w:val="28"/>
          <w:szCs w:val="28"/>
        </w:rPr>
        <w:instrText xml:space="preserve">HYPERLINK \l "_Toc80363685"</w:instrText>
      </w:r>
      <w:r>
        <w:rPr>
          <w:rFonts w:ascii="Times New Roman" w:hAnsi="Times New Roman" w:eastAsia="宋体"/>
          <w:caps w:val="0"/>
          <w:color w:val="auto"/>
          <w:sz w:val="28"/>
          <w:szCs w:val="28"/>
        </w:rPr>
        <w:fldChar w:fldCharType="separate"/>
      </w:r>
      <w:r>
        <w:rPr>
          <w:rStyle w:val="24"/>
          <w:rFonts w:ascii="Times New Roman" w:hAnsi="Times New Roman" w:eastAsia="宋体"/>
          <w:b w:val="0"/>
          <w:caps w:val="0"/>
          <w:snapToGrid w:val="0"/>
          <w:color w:val="auto"/>
          <w:sz w:val="28"/>
          <w:szCs w:val="28"/>
        </w:rPr>
        <w:t>五、主要生态环境保护措施</w:t>
      </w:r>
      <w:r>
        <w:rPr>
          <w:rFonts w:ascii="Times New Roman" w:hAnsi="Times New Roman" w:eastAsia="宋体"/>
          <w:b w:val="0"/>
          <w:caps w:val="0"/>
          <w:color w:val="auto"/>
          <w:sz w:val="28"/>
          <w:szCs w:val="28"/>
        </w:rPr>
        <w:tab/>
      </w:r>
      <w:r>
        <w:rPr>
          <w:rFonts w:ascii="Times New Roman" w:hAnsi="Times New Roman" w:eastAsia="宋体"/>
          <w:b w:val="0"/>
          <w:caps w:val="0"/>
          <w:color w:val="auto"/>
          <w:sz w:val="28"/>
          <w:szCs w:val="28"/>
        </w:rPr>
        <w:fldChar w:fldCharType="begin"/>
      </w:r>
      <w:r>
        <w:rPr>
          <w:rFonts w:ascii="Times New Roman" w:hAnsi="Times New Roman" w:eastAsia="宋体"/>
          <w:b w:val="0"/>
          <w:caps w:val="0"/>
          <w:color w:val="auto"/>
          <w:sz w:val="28"/>
          <w:szCs w:val="28"/>
        </w:rPr>
        <w:instrText xml:space="preserve"> PAGEREF _Toc80363685 \h </w:instrText>
      </w:r>
      <w:r>
        <w:rPr>
          <w:rFonts w:ascii="Times New Roman" w:hAnsi="Times New Roman" w:eastAsia="宋体"/>
          <w:b w:val="0"/>
          <w:caps w:val="0"/>
          <w:color w:val="auto"/>
          <w:sz w:val="28"/>
          <w:szCs w:val="28"/>
        </w:rPr>
        <w:fldChar w:fldCharType="separate"/>
      </w:r>
      <w:r>
        <w:rPr>
          <w:rFonts w:ascii="Times New Roman" w:hAnsi="Times New Roman" w:eastAsia="宋体"/>
          <w:b w:val="0"/>
          <w:caps w:val="0"/>
          <w:color w:val="auto"/>
          <w:sz w:val="28"/>
          <w:szCs w:val="28"/>
        </w:rPr>
        <w:t>79</w:t>
      </w:r>
      <w:r>
        <w:rPr>
          <w:rFonts w:ascii="Times New Roman" w:hAnsi="Times New Roman" w:eastAsia="宋体"/>
          <w:b w:val="0"/>
          <w:caps w:val="0"/>
          <w:color w:val="auto"/>
          <w:sz w:val="28"/>
          <w:szCs w:val="28"/>
        </w:rPr>
        <w:fldChar w:fldCharType="end"/>
      </w:r>
      <w:r>
        <w:rPr>
          <w:rFonts w:ascii="Times New Roman" w:hAnsi="Times New Roman" w:eastAsia="宋体"/>
          <w:caps w:val="0"/>
          <w:color w:val="auto"/>
          <w:sz w:val="28"/>
          <w:szCs w:val="28"/>
        </w:rPr>
        <w:fldChar w:fldCharType="end"/>
      </w:r>
    </w:p>
    <w:p w14:paraId="73560913">
      <w:pPr>
        <w:pStyle w:val="15"/>
        <w:pageBreakBefore w:val="0"/>
        <w:tabs>
          <w:tab w:val="right" w:leader="dot" w:pos="8834"/>
        </w:tabs>
        <w:kinsoku/>
        <w:wordWrap/>
        <w:overflowPunct/>
        <w:bidi w:val="0"/>
        <w:adjustRightInd w:val="0"/>
        <w:snapToGrid w:val="0"/>
        <w:spacing w:before="0" w:after="0" w:line="360" w:lineRule="auto"/>
        <w:rPr>
          <w:rFonts w:hint="default" w:ascii="Times New Roman" w:hAnsi="Times New Roman" w:eastAsia="宋体"/>
          <w:b w:val="0"/>
          <w:bCs w:val="0"/>
          <w:caps w:val="0"/>
          <w:color w:val="auto"/>
          <w:sz w:val="28"/>
          <w:szCs w:val="28"/>
          <w:lang w:val="en-US" w:eastAsia="zh-CN"/>
        </w:rPr>
      </w:pPr>
      <w:r>
        <w:rPr>
          <w:rFonts w:ascii="Times New Roman" w:hAnsi="Times New Roman" w:eastAsia="宋体"/>
          <w:caps w:val="0"/>
          <w:color w:val="auto"/>
          <w:sz w:val="28"/>
          <w:szCs w:val="28"/>
        </w:rPr>
        <w:fldChar w:fldCharType="begin"/>
      </w:r>
      <w:r>
        <w:rPr>
          <w:rFonts w:ascii="Times New Roman" w:hAnsi="Times New Roman" w:eastAsia="宋体"/>
          <w:caps w:val="0"/>
          <w:color w:val="auto"/>
          <w:sz w:val="28"/>
          <w:szCs w:val="28"/>
        </w:rPr>
        <w:instrText xml:space="preserve">HYPERLINK \l "_Toc80363687"</w:instrText>
      </w:r>
      <w:r>
        <w:rPr>
          <w:rFonts w:ascii="Times New Roman" w:hAnsi="Times New Roman" w:eastAsia="宋体"/>
          <w:caps w:val="0"/>
          <w:color w:val="auto"/>
          <w:sz w:val="28"/>
          <w:szCs w:val="28"/>
        </w:rPr>
        <w:fldChar w:fldCharType="separate"/>
      </w:r>
      <w:r>
        <w:rPr>
          <w:rStyle w:val="24"/>
          <w:rFonts w:ascii="Times New Roman" w:hAnsi="Times New Roman" w:eastAsia="宋体"/>
          <w:b w:val="0"/>
          <w:caps w:val="0"/>
          <w:snapToGrid w:val="0"/>
          <w:color w:val="auto"/>
          <w:sz w:val="28"/>
          <w:szCs w:val="28"/>
        </w:rPr>
        <w:t>六、生态环境保护措施监督检查清单</w:t>
      </w:r>
      <w:r>
        <w:rPr>
          <w:rFonts w:ascii="Times New Roman" w:hAnsi="Times New Roman" w:eastAsia="宋体"/>
          <w:b w:val="0"/>
          <w:caps w:val="0"/>
          <w:color w:val="auto"/>
          <w:sz w:val="28"/>
          <w:szCs w:val="28"/>
        </w:rPr>
        <w:tab/>
      </w:r>
      <w:r>
        <w:rPr>
          <w:rFonts w:ascii="Times New Roman" w:hAnsi="Times New Roman" w:eastAsia="宋体"/>
          <w:caps w:val="0"/>
          <w:color w:val="auto"/>
          <w:sz w:val="28"/>
          <w:szCs w:val="28"/>
        </w:rPr>
        <w:fldChar w:fldCharType="end"/>
      </w:r>
      <w:r>
        <w:rPr>
          <w:rFonts w:hint="eastAsia" w:ascii="Times New Roman" w:hAnsi="Times New Roman"/>
          <w:b w:val="0"/>
          <w:bCs w:val="0"/>
          <w:caps w:val="0"/>
          <w:color w:val="auto"/>
          <w:sz w:val="28"/>
          <w:szCs w:val="28"/>
          <w:lang w:val="en-US" w:eastAsia="zh-CN"/>
        </w:rPr>
        <w:t>86</w:t>
      </w:r>
    </w:p>
    <w:p w14:paraId="1F54B858">
      <w:pPr>
        <w:pStyle w:val="15"/>
        <w:pageBreakBefore w:val="0"/>
        <w:tabs>
          <w:tab w:val="right" w:leader="dot" w:pos="8834"/>
        </w:tabs>
        <w:kinsoku/>
        <w:wordWrap/>
        <w:overflowPunct/>
        <w:bidi w:val="0"/>
        <w:adjustRightInd w:val="0"/>
        <w:snapToGrid w:val="0"/>
        <w:spacing w:before="0" w:after="0" w:line="360" w:lineRule="auto"/>
        <w:rPr>
          <w:rFonts w:ascii="Times New Roman" w:hAnsi="Times New Roman" w:eastAsia="宋体"/>
          <w:b w:val="0"/>
          <w:bCs w:val="0"/>
          <w:caps w:val="0"/>
          <w:color w:val="auto"/>
          <w:sz w:val="24"/>
          <w:szCs w:val="24"/>
        </w:rPr>
      </w:pPr>
      <w:r>
        <w:rPr>
          <w:rFonts w:ascii="Times New Roman" w:hAnsi="Times New Roman" w:eastAsia="宋体"/>
          <w:caps w:val="0"/>
          <w:color w:val="auto"/>
          <w:sz w:val="28"/>
          <w:szCs w:val="28"/>
        </w:rPr>
        <w:fldChar w:fldCharType="begin"/>
      </w:r>
      <w:r>
        <w:rPr>
          <w:rFonts w:ascii="Times New Roman" w:hAnsi="Times New Roman" w:eastAsia="宋体"/>
          <w:caps w:val="0"/>
          <w:color w:val="auto"/>
          <w:sz w:val="28"/>
          <w:szCs w:val="28"/>
        </w:rPr>
        <w:instrText xml:space="preserve">HYPERLINK \l "_Toc80363696"</w:instrText>
      </w:r>
      <w:r>
        <w:rPr>
          <w:rFonts w:ascii="Times New Roman" w:hAnsi="Times New Roman" w:eastAsia="宋体"/>
          <w:caps w:val="0"/>
          <w:color w:val="auto"/>
          <w:sz w:val="28"/>
          <w:szCs w:val="28"/>
        </w:rPr>
        <w:fldChar w:fldCharType="separate"/>
      </w:r>
      <w:r>
        <w:rPr>
          <w:rStyle w:val="24"/>
          <w:rFonts w:ascii="Times New Roman" w:hAnsi="Times New Roman" w:eastAsia="宋体"/>
          <w:b w:val="0"/>
          <w:caps w:val="0"/>
          <w:snapToGrid w:val="0"/>
          <w:color w:val="auto"/>
          <w:sz w:val="28"/>
          <w:szCs w:val="28"/>
        </w:rPr>
        <w:t>七、结论</w:t>
      </w:r>
      <w:r>
        <w:rPr>
          <w:rFonts w:ascii="Times New Roman" w:hAnsi="Times New Roman" w:eastAsia="宋体"/>
          <w:b w:val="0"/>
          <w:caps w:val="0"/>
          <w:color w:val="auto"/>
          <w:sz w:val="28"/>
          <w:szCs w:val="28"/>
        </w:rPr>
        <w:tab/>
      </w:r>
      <w:r>
        <w:rPr>
          <w:rFonts w:ascii="Times New Roman" w:hAnsi="Times New Roman" w:eastAsia="宋体"/>
          <w:b w:val="0"/>
          <w:caps w:val="0"/>
          <w:color w:val="auto"/>
          <w:sz w:val="28"/>
          <w:szCs w:val="28"/>
        </w:rPr>
        <w:fldChar w:fldCharType="begin"/>
      </w:r>
      <w:r>
        <w:rPr>
          <w:rFonts w:ascii="Times New Roman" w:hAnsi="Times New Roman" w:eastAsia="宋体"/>
          <w:b w:val="0"/>
          <w:caps w:val="0"/>
          <w:color w:val="auto"/>
          <w:sz w:val="28"/>
          <w:szCs w:val="28"/>
        </w:rPr>
        <w:instrText xml:space="preserve"> PAGEREF _Toc80363696 \h </w:instrText>
      </w:r>
      <w:r>
        <w:rPr>
          <w:rFonts w:ascii="Times New Roman" w:hAnsi="Times New Roman" w:eastAsia="宋体"/>
          <w:b w:val="0"/>
          <w:caps w:val="0"/>
          <w:color w:val="auto"/>
          <w:sz w:val="28"/>
          <w:szCs w:val="28"/>
        </w:rPr>
        <w:fldChar w:fldCharType="separate"/>
      </w:r>
      <w:r>
        <w:rPr>
          <w:rFonts w:ascii="Times New Roman" w:hAnsi="Times New Roman" w:eastAsia="宋体"/>
          <w:b w:val="0"/>
          <w:caps w:val="0"/>
          <w:color w:val="auto"/>
          <w:sz w:val="28"/>
          <w:szCs w:val="28"/>
        </w:rPr>
        <w:t>94</w:t>
      </w:r>
      <w:r>
        <w:rPr>
          <w:rFonts w:ascii="Times New Roman" w:hAnsi="Times New Roman" w:eastAsia="宋体"/>
          <w:b w:val="0"/>
          <w:caps w:val="0"/>
          <w:color w:val="auto"/>
          <w:sz w:val="28"/>
          <w:szCs w:val="28"/>
        </w:rPr>
        <w:fldChar w:fldCharType="end"/>
      </w:r>
      <w:r>
        <w:rPr>
          <w:rFonts w:ascii="Times New Roman" w:hAnsi="Times New Roman" w:eastAsia="宋体"/>
          <w:caps w:val="0"/>
          <w:color w:val="auto"/>
          <w:sz w:val="28"/>
          <w:szCs w:val="28"/>
        </w:rPr>
        <w:fldChar w:fldCharType="end"/>
      </w:r>
    </w:p>
    <w:p w14:paraId="710DF9EC">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9"/>
        <w:rPr>
          <w:rFonts w:hint="eastAsia" w:ascii="Times New Roman" w:hAnsi="Times New Roman" w:eastAsia="宋体"/>
          <w:snapToGrid w:val="0"/>
          <w:color w:val="auto"/>
          <w:sz w:val="30"/>
          <w:szCs w:val="30"/>
        </w:rPr>
        <w:sectPr>
          <w:pgSz w:w="11906" w:h="16838"/>
          <w:pgMar w:top="1701" w:right="1531" w:bottom="1701" w:left="1531" w:header="851" w:footer="1134" w:gutter="0"/>
          <w:pgBorders>
            <w:top w:val="none" w:sz="0" w:space="0"/>
            <w:left w:val="none" w:sz="0" w:space="0"/>
            <w:bottom w:val="none" w:sz="0" w:space="0"/>
            <w:right w:val="none" w:sz="0" w:space="0"/>
          </w:pgBorders>
          <w:pgNumType w:start="0"/>
          <w:cols w:space="720" w:num="1"/>
          <w:titlePg/>
          <w:docGrid w:linePitch="312" w:charSpace="0"/>
        </w:sectPr>
      </w:pPr>
      <w:r>
        <w:rPr>
          <w:rFonts w:ascii="Times New Roman" w:hAnsi="Times New Roman" w:eastAsia="宋体"/>
          <w:b w:val="0"/>
          <w:caps w:val="0"/>
          <w:color w:val="auto"/>
          <w:sz w:val="24"/>
          <w:szCs w:val="24"/>
        </w:rPr>
        <w:fldChar w:fldCharType="end"/>
      </w:r>
    </w:p>
    <w:p w14:paraId="2DAF688F">
      <w:pPr>
        <w:keepNext w:val="0"/>
        <w:keepLines w:val="0"/>
        <w:pageBreakBefore w:val="0"/>
        <w:widowControl w:val="0"/>
        <w:kinsoku/>
        <w:wordWrap/>
        <w:overflowPunct/>
        <w:topLinePunct w:val="0"/>
        <w:bidi w:val="0"/>
        <w:adjustRightInd/>
        <w:snapToGrid/>
        <w:spacing w:line="360" w:lineRule="auto"/>
        <w:textAlignment w:val="auto"/>
        <w:rPr>
          <w:rFonts w:hint="eastAsia" w:ascii="Times New Roman" w:hAnsi="Times New Roman"/>
          <w:b/>
          <w:bCs/>
          <w:caps w:val="0"/>
          <w:color w:val="auto"/>
          <w:sz w:val="24"/>
          <w:lang w:val="en-US" w:eastAsia="zh-CN"/>
        </w:rPr>
      </w:pPr>
      <w:r>
        <w:rPr>
          <w:rFonts w:hint="eastAsia" w:ascii="Times New Roman" w:hAnsi="Times New Roman"/>
          <w:b/>
          <w:bCs/>
          <w:caps w:val="0"/>
          <w:color w:val="auto"/>
          <w:sz w:val="24"/>
          <w:lang w:val="en-US" w:eastAsia="zh-CN"/>
        </w:rPr>
        <w:t>专题</w:t>
      </w:r>
      <w:r>
        <w:rPr>
          <w:rFonts w:hint="eastAsia"/>
          <w:b/>
          <w:bCs/>
          <w:caps w:val="0"/>
          <w:color w:val="auto"/>
          <w:sz w:val="24"/>
          <w:lang w:val="en-US" w:eastAsia="zh-CN"/>
        </w:rPr>
        <w:t>：</w:t>
      </w:r>
    </w:p>
    <w:p w14:paraId="4B1B0871">
      <w:pPr>
        <w:keepNext w:val="0"/>
        <w:keepLines w:val="0"/>
        <w:pageBreakBefore w:val="0"/>
        <w:widowControl w:val="0"/>
        <w:kinsoku/>
        <w:wordWrap/>
        <w:overflowPunct/>
        <w:topLinePunct w:val="0"/>
        <w:bidi w:val="0"/>
        <w:adjustRightInd/>
        <w:snapToGrid/>
        <w:spacing w:line="360" w:lineRule="auto"/>
        <w:textAlignment w:val="auto"/>
        <w:rPr>
          <w:rFonts w:hint="eastAsia" w:ascii="Times New Roman" w:hAnsi="Times New Roman"/>
          <w:caps w:val="0"/>
          <w:color w:val="auto"/>
          <w:sz w:val="24"/>
          <w:lang w:val="en-US" w:eastAsia="zh-CN"/>
        </w:rPr>
      </w:pPr>
      <w:r>
        <w:rPr>
          <w:rFonts w:hint="eastAsia" w:ascii="Times New Roman" w:hAnsi="Times New Roman"/>
          <w:caps w:val="0"/>
          <w:color w:val="auto"/>
          <w:sz w:val="24"/>
          <w:lang w:val="en-US" w:eastAsia="zh-CN"/>
        </w:rPr>
        <w:t>1</w:t>
      </w:r>
      <w:r>
        <w:rPr>
          <w:rFonts w:hint="eastAsia"/>
          <w:caps w:val="0"/>
          <w:color w:val="auto"/>
          <w:sz w:val="24"/>
          <w:lang w:val="en-US" w:eastAsia="zh-CN"/>
        </w:rPr>
        <w:t>.</w:t>
      </w:r>
      <w:r>
        <w:rPr>
          <w:rFonts w:hint="eastAsia" w:ascii="Times New Roman" w:hAnsi="Times New Roman"/>
          <w:caps w:val="0"/>
          <w:color w:val="auto"/>
          <w:sz w:val="24"/>
          <w:lang w:val="en-US" w:eastAsia="zh-CN"/>
        </w:rPr>
        <w:t>生态影响评价专题报告</w:t>
      </w:r>
    </w:p>
    <w:p w14:paraId="7C9496A3">
      <w:pPr>
        <w:keepNext w:val="0"/>
        <w:keepLines w:val="0"/>
        <w:pageBreakBefore w:val="0"/>
        <w:widowControl w:val="0"/>
        <w:kinsoku/>
        <w:wordWrap/>
        <w:overflowPunct/>
        <w:topLinePunct w:val="0"/>
        <w:bidi w:val="0"/>
        <w:adjustRightInd/>
        <w:snapToGrid/>
        <w:spacing w:line="360" w:lineRule="auto"/>
        <w:textAlignment w:val="auto"/>
        <w:rPr>
          <w:rFonts w:hint="eastAsia" w:ascii="Times New Roman" w:hAnsi="Times New Roman" w:eastAsia="宋体"/>
          <w:caps w:val="0"/>
          <w:color w:val="auto"/>
          <w:sz w:val="24"/>
          <w:szCs w:val="24"/>
          <w:highlight w:val="yellow"/>
          <w:lang w:eastAsia="zh-CN"/>
        </w:rPr>
      </w:pPr>
      <w:r>
        <w:rPr>
          <w:rFonts w:hint="eastAsia" w:ascii="Times New Roman" w:hAnsi="Times New Roman"/>
          <w:caps w:val="0"/>
          <w:color w:val="auto"/>
          <w:sz w:val="24"/>
          <w:lang w:val="en-US" w:eastAsia="zh-CN"/>
        </w:rPr>
        <w:t>2</w:t>
      </w:r>
      <w:r>
        <w:rPr>
          <w:rFonts w:hint="eastAsia"/>
          <w:caps w:val="0"/>
          <w:color w:val="auto"/>
          <w:sz w:val="24"/>
          <w:lang w:val="en-US" w:eastAsia="zh-CN"/>
        </w:rPr>
        <w:t>.</w:t>
      </w:r>
      <w:r>
        <w:rPr>
          <w:rFonts w:hint="eastAsia" w:ascii="Times New Roman" w:hAnsi="Times New Roman"/>
          <w:caps w:val="0"/>
          <w:color w:val="auto"/>
          <w:sz w:val="24"/>
          <w:lang w:val="en-US" w:eastAsia="zh-CN"/>
        </w:rPr>
        <w:t>电磁影响评价专题报告</w:t>
      </w:r>
    </w:p>
    <w:p w14:paraId="0E51C3DD">
      <w:pPr>
        <w:keepNext w:val="0"/>
        <w:keepLines w:val="0"/>
        <w:pageBreakBefore w:val="0"/>
        <w:widowControl w:val="0"/>
        <w:kinsoku/>
        <w:wordWrap/>
        <w:overflowPunct/>
        <w:topLinePunct w:val="0"/>
        <w:bidi w:val="0"/>
        <w:adjustRightInd/>
        <w:snapToGrid/>
        <w:spacing w:line="360" w:lineRule="auto"/>
        <w:textAlignment w:val="auto"/>
        <w:rPr>
          <w:rFonts w:hint="default" w:ascii="Times New Roman" w:hAnsi="Times New Roman" w:eastAsia="宋体" w:cs="Times New Roman"/>
          <w:b/>
          <w:bCs/>
          <w:caps w:val="0"/>
          <w:color w:val="auto"/>
          <w:sz w:val="24"/>
          <w:szCs w:val="24"/>
          <w:lang w:val="en-US" w:eastAsia="zh-CN"/>
        </w:rPr>
      </w:pPr>
      <w:r>
        <w:rPr>
          <w:rFonts w:hint="eastAsia" w:cs="Times New Roman"/>
          <w:b/>
          <w:bCs/>
          <w:caps w:val="0"/>
          <w:color w:val="auto"/>
          <w:sz w:val="24"/>
          <w:szCs w:val="24"/>
          <w:lang w:val="en-US" w:eastAsia="zh-CN"/>
        </w:rPr>
        <w:t>附录：</w:t>
      </w:r>
    </w:p>
    <w:p w14:paraId="7B00AA03">
      <w:pPr>
        <w:pStyle w:val="6"/>
        <w:bidi w:val="0"/>
        <w:rPr>
          <w:rFonts w:hint="eastAsia"/>
          <w:color w:val="auto"/>
          <w:lang w:val="en-US" w:eastAsia="zh-CN"/>
        </w:rPr>
      </w:pPr>
      <w:r>
        <w:rPr>
          <w:rFonts w:hint="eastAsia"/>
          <w:color w:val="auto"/>
          <w:lang w:val="en-US" w:eastAsia="zh-CN"/>
        </w:rPr>
        <w:t>附表1 生态影响评价自查表</w:t>
      </w:r>
    </w:p>
    <w:p w14:paraId="026F4981">
      <w:pPr>
        <w:pStyle w:val="6"/>
        <w:bidi w:val="0"/>
        <w:rPr>
          <w:rFonts w:hint="eastAsia"/>
          <w:color w:val="auto"/>
          <w:lang w:val="en-US" w:eastAsia="zh-CN"/>
        </w:rPr>
      </w:pPr>
      <w:r>
        <w:rPr>
          <w:rFonts w:hint="eastAsia"/>
          <w:color w:val="auto"/>
          <w:lang w:val="en-US" w:eastAsia="zh-CN"/>
        </w:rPr>
        <w:t>附录1 评价区维管植物名录</w:t>
      </w:r>
    </w:p>
    <w:p w14:paraId="0AE46FD3">
      <w:pPr>
        <w:pStyle w:val="6"/>
        <w:bidi w:val="0"/>
        <w:rPr>
          <w:rFonts w:hint="eastAsia"/>
          <w:color w:val="auto"/>
          <w:lang w:val="en-US" w:eastAsia="zh-CN"/>
        </w:rPr>
      </w:pPr>
      <w:r>
        <w:rPr>
          <w:rFonts w:hint="eastAsia"/>
          <w:color w:val="auto"/>
          <w:lang w:val="en-US" w:eastAsia="zh-CN"/>
        </w:rPr>
        <w:t>附录2 植被样方调查表</w:t>
      </w:r>
    </w:p>
    <w:p w14:paraId="52C8F622">
      <w:pPr>
        <w:pStyle w:val="6"/>
        <w:bidi w:val="0"/>
        <w:rPr>
          <w:rFonts w:hint="eastAsia"/>
          <w:color w:val="auto"/>
          <w:lang w:val="en-US" w:eastAsia="zh-CN"/>
        </w:rPr>
      </w:pPr>
      <w:r>
        <w:rPr>
          <w:rFonts w:hint="eastAsia"/>
          <w:color w:val="auto"/>
          <w:lang w:val="en-US" w:eastAsia="zh-CN"/>
        </w:rPr>
        <w:t>附录3 陆生脊椎动物名录</w:t>
      </w:r>
    </w:p>
    <w:p w14:paraId="40ABC2F7">
      <w:pPr>
        <w:pStyle w:val="6"/>
        <w:bidi w:val="0"/>
        <w:rPr>
          <w:rFonts w:hint="eastAsia"/>
          <w:color w:val="auto"/>
          <w:lang w:val="en-US" w:eastAsia="zh-CN"/>
        </w:rPr>
      </w:pPr>
      <w:r>
        <w:rPr>
          <w:rFonts w:hint="eastAsia"/>
          <w:color w:val="auto"/>
          <w:lang w:val="en-US" w:eastAsia="zh-CN"/>
        </w:rPr>
        <w:t>附录4 评价区野生动物样线调查表</w:t>
      </w:r>
    </w:p>
    <w:p w14:paraId="1800A837">
      <w:pPr>
        <w:pStyle w:val="6"/>
        <w:bidi w:val="0"/>
        <w:rPr>
          <w:rFonts w:hint="eastAsia"/>
          <w:color w:val="auto"/>
          <w:lang w:val="en-US" w:eastAsia="zh-CN"/>
        </w:rPr>
      </w:pPr>
      <w:r>
        <w:rPr>
          <w:rFonts w:hint="eastAsia"/>
          <w:color w:val="auto"/>
          <w:lang w:val="en-US" w:eastAsia="zh-CN"/>
        </w:rPr>
        <w:t>附录5 调查区鸟类名录</w:t>
      </w:r>
    </w:p>
    <w:p w14:paraId="34BFFE67">
      <w:pPr>
        <w:pStyle w:val="8"/>
        <w:rPr>
          <w:rFonts w:hint="eastAsia" w:cs="Times New Roman"/>
          <w:b/>
          <w:bCs/>
          <w:caps w:val="0"/>
          <w:color w:val="auto"/>
          <w:sz w:val="24"/>
          <w:szCs w:val="24"/>
          <w:lang w:val="en-US" w:eastAsia="zh-CN"/>
        </w:rPr>
      </w:pPr>
    </w:p>
    <w:p w14:paraId="1D563FBC">
      <w:pPr>
        <w:pStyle w:val="8"/>
        <w:rPr>
          <w:rFonts w:hint="eastAsia" w:cs="Times New Roman"/>
          <w:b/>
          <w:bCs/>
          <w:caps w:val="0"/>
          <w:color w:val="auto"/>
          <w:sz w:val="24"/>
          <w:szCs w:val="24"/>
          <w:lang w:val="en-US" w:eastAsia="zh-CN"/>
        </w:rPr>
      </w:pPr>
    </w:p>
    <w:p w14:paraId="381635E6">
      <w:pPr>
        <w:pStyle w:val="8"/>
        <w:rPr>
          <w:rFonts w:hint="default" w:ascii="Times New Roman" w:hAnsi="Times New Roman" w:eastAsia="宋体" w:cs="Times New Roman"/>
          <w:b/>
          <w:bCs/>
          <w:caps w:val="0"/>
          <w:color w:val="auto"/>
          <w:sz w:val="24"/>
          <w:szCs w:val="24"/>
          <w:lang w:val="en-US" w:eastAsia="zh-CN"/>
        </w:rPr>
      </w:pPr>
      <w:r>
        <w:rPr>
          <w:rFonts w:hint="eastAsia" w:cs="Times New Roman"/>
          <w:b/>
          <w:bCs/>
          <w:caps w:val="0"/>
          <w:color w:val="auto"/>
          <w:sz w:val="24"/>
          <w:szCs w:val="24"/>
          <w:lang w:val="en-US" w:eastAsia="zh-CN"/>
        </w:rPr>
        <w:t>附件：</w:t>
      </w:r>
    </w:p>
    <w:p w14:paraId="1B2B1479">
      <w:pPr>
        <w:pStyle w:val="6"/>
        <w:bidi w:val="0"/>
        <w:rPr>
          <w:rFonts w:hint="eastAsia"/>
          <w:color w:val="auto"/>
          <w:lang w:eastAsia="zh-CN"/>
        </w:rPr>
      </w:pPr>
      <w:r>
        <w:rPr>
          <w:rFonts w:hint="eastAsia"/>
          <w:color w:val="auto"/>
          <w:lang w:eastAsia="zh-CN"/>
        </w:rPr>
        <w:t>附件1：委托书</w:t>
      </w:r>
    </w:p>
    <w:p w14:paraId="05191B35">
      <w:pPr>
        <w:pStyle w:val="6"/>
        <w:bidi w:val="0"/>
        <w:rPr>
          <w:rFonts w:hint="eastAsia"/>
          <w:color w:val="auto"/>
          <w:lang w:eastAsia="zh-CN"/>
        </w:rPr>
      </w:pPr>
      <w:r>
        <w:rPr>
          <w:rFonts w:hint="eastAsia"/>
          <w:color w:val="auto"/>
          <w:lang w:eastAsia="zh-CN"/>
        </w:rPr>
        <w:t>附件2：云南省发展和改革委员会关于曲靖市宣威市西泽风电场（二期）项目核准的批复</w:t>
      </w:r>
    </w:p>
    <w:p w14:paraId="3C095446">
      <w:pPr>
        <w:pStyle w:val="6"/>
        <w:bidi w:val="0"/>
        <w:rPr>
          <w:rFonts w:hint="eastAsia"/>
          <w:color w:val="auto"/>
          <w:lang w:eastAsia="zh-CN"/>
        </w:rPr>
      </w:pPr>
      <w:r>
        <w:rPr>
          <w:rFonts w:hint="eastAsia"/>
          <w:color w:val="auto"/>
          <w:lang w:eastAsia="zh-CN"/>
        </w:rPr>
        <w:t>附件3：西泽风电场（二期）用地预审证书</w:t>
      </w:r>
    </w:p>
    <w:p w14:paraId="41E96225">
      <w:pPr>
        <w:pStyle w:val="6"/>
        <w:bidi w:val="0"/>
        <w:ind w:left="480" w:leftChars="200" w:firstLine="0" w:firstLineChars="0"/>
        <w:rPr>
          <w:rFonts w:hint="eastAsia"/>
          <w:color w:val="auto"/>
          <w:lang w:eastAsia="zh-CN"/>
        </w:rPr>
      </w:pPr>
      <w:r>
        <w:rPr>
          <w:rFonts w:hint="eastAsia"/>
          <w:color w:val="auto"/>
          <w:lang w:eastAsia="zh-CN"/>
        </w:rPr>
        <w:t>附件4：宣威市自然资源局关于西泽风电场（二期）项</w:t>
      </w:r>
      <w:r>
        <w:rPr>
          <w:rFonts w:hint="eastAsia"/>
          <w:color w:val="auto"/>
          <w:lang w:val="en-US" w:eastAsia="zh-CN"/>
        </w:rPr>
        <w:t>目“</w:t>
      </w:r>
      <w:r>
        <w:rPr>
          <w:rFonts w:hint="eastAsia"/>
          <w:color w:val="auto"/>
          <w:lang w:eastAsia="zh-CN"/>
        </w:rPr>
        <w:t>三区三线</w:t>
      </w:r>
      <w:r>
        <w:rPr>
          <w:rFonts w:hint="eastAsia"/>
          <w:color w:val="auto"/>
          <w:lang w:val="en-US" w:eastAsia="zh-CN"/>
        </w:rPr>
        <w:t>”</w:t>
      </w:r>
      <w:r>
        <w:rPr>
          <w:rFonts w:hint="eastAsia"/>
          <w:color w:val="auto"/>
          <w:lang w:eastAsia="zh-CN"/>
        </w:rPr>
        <w:t>查询的意见</w:t>
      </w:r>
    </w:p>
    <w:p w14:paraId="7C5F724D">
      <w:pPr>
        <w:pStyle w:val="6"/>
        <w:bidi w:val="0"/>
        <w:ind w:left="480" w:leftChars="200" w:firstLine="0" w:firstLineChars="0"/>
        <w:rPr>
          <w:rFonts w:hint="eastAsia"/>
          <w:color w:val="auto"/>
          <w:lang w:eastAsia="zh-CN"/>
        </w:rPr>
      </w:pPr>
      <w:r>
        <w:rPr>
          <w:rFonts w:hint="eastAsia"/>
          <w:color w:val="auto"/>
          <w:lang w:eastAsia="zh-CN"/>
        </w:rPr>
        <w:t>附件5：曲靖市生态环境局宣威分局关于西泽风电场（二期）项目的选址意见</w:t>
      </w:r>
    </w:p>
    <w:p w14:paraId="5536A68D">
      <w:pPr>
        <w:pStyle w:val="6"/>
        <w:bidi w:val="0"/>
        <w:rPr>
          <w:rFonts w:hint="eastAsia"/>
          <w:color w:val="auto"/>
          <w:lang w:eastAsia="zh-CN"/>
        </w:rPr>
      </w:pPr>
      <w:r>
        <w:rPr>
          <w:rFonts w:hint="eastAsia"/>
          <w:color w:val="auto"/>
          <w:lang w:eastAsia="zh-CN"/>
        </w:rPr>
        <w:t>附件6：宣威市水务局关于西泽风电场（二期）项目用地选址意见书征询意见的函的回复</w:t>
      </w:r>
    </w:p>
    <w:p w14:paraId="7D8F0ADE">
      <w:pPr>
        <w:pStyle w:val="6"/>
        <w:bidi w:val="0"/>
        <w:rPr>
          <w:rFonts w:hint="default"/>
          <w:color w:val="auto"/>
          <w:lang w:val="en-US" w:eastAsia="zh-CN"/>
        </w:rPr>
      </w:pPr>
      <w:r>
        <w:rPr>
          <w:rFonts w:hint="eastAsia"/>
          <w:color w:val="auto"/>
          <w:lang w:eastAsia="zh-CN"/>
        </w:rPr>
        <w:t>附件7：宣威市林业和草原局关于西泽风电场（二期）是否符合用林、用草、用湿及自然保护地允许占用情形的</w:t>
      </w:r>
      <w:r>
        <w:rPr>
          <w:rFonts w:hint="eastAsia"/>
          <w:color w:val="auto"/>
          <w:lang w:val="en-US" w:eastAsia="zh-CN"/>
        </w:rPr>
        <w:t>意见</w:t>
      </w:r>
    </w:p>
    <w:p w14:paraId="7FEB7D08">
      <w:pPr>
        <w:pStyle w:val="6"/>
        <w:bidi w:val="0"/>
        <w:rPr>
          <w:rFonts w:hint="eastAsia"/>
          <w:color w:val="auto"/>
          <w:lang w:eastAsia="zh-CN"/>
        </w:rPr>
      </w:pPr>
      <w:r>
        <w:rPr>
          <w:rFonts w:hint="eastAsia"/>
          <w:color w:val="auto"/>
          <w:lang w:eastAsia="zh-CN"/>
        </w:rPr>
        <w:t>附件8：宣威市文化和旅游局（市文物局）关于西泽风电场（二期）项目文物保护的情况说明</w:t>
      </w:r>
    </w:p>
    <w:p w14:paraId="42AA7241">
      <w:pPr>
        <w:pStyle w:val="6"/>
        <w:bidi w:val="0"/>
        <w:rPr>
          <w:rFonts w:hint="default"/>
          <w:color w:val="auto"/>
          <w:lang w:val="en-US" w:eastAsia="zh-CN"/>
        </w:rPr>
      </w:pPr>
      <w:r>
        <w:rPr>
          <w:rFonts w:hint="eastAsia"/>
          <w:color w:val="auto"/>
          <w:lang w:val="en-US" w:eastAsia="zh-CN"/>
        </w:rPr>
        <w:t>附件9</w:t>
      </w:r>
      <w:r>
        <w:rPr>
          <w:rFonts w:hint="eastAsia"/>
          <w:color w:val="auto"/>
          <w:lang w:eastAsia="zh-CN"/>
        </w:rPr>
        <w:t>：</w:t>
      </w:r>
      <w:r>
        <w:rPr>
          <w:rFonts w:hint="eastAsia"/>
          <w:color w:val="auto"/>
          <w:lang w:val="en-US" w:eastAsia="zh-CN"/>
        </w:rPr>
        <w:t>质量控制表</w:t>
      </w:r>
    </w:p>
    <w:p w14:paraId="0DB152BD">
      <w:pPr>
        <w:pStyle w:val="6"/>
        <w:bidi w:val="0"/>
        <w:rPr>
          <w:rFonts w:hint="eastAsia"/>
          <w:color w:val="auto"/>
          <w:lang w:eastAsia="zh-CN"/>
        </w:rPr>
      </w:pPr>
      <w:r>
        <w:rPr>
          <w:rFonts w:hint="eastAsia"/>
          <w:color w:val="auto"/>
          <w:lang w:eastAsia="zh-CN"/>
        </w:rPr>
        <w:t>附件10：西泽风电场（二期）环境影响评价报价报告编制合同</w:t>
      </w:r>
    </w:p>
    <w:p w14:paraId="60FF2E9E">
      <w:pPr>
        <w:pStyle w:val="6"/>
        <w:bidi w:val="0"/>
        <w:rPr>
          <w:rFonts w:hint="eastAsia"/>
          <w:color w:val="auto"/>
          <w:lang w:eastAsia="zh-CN"/>
        </w:rPr>
      </w:pPr>
      <w:r>
        <w:rPr>
          <w:rFonts w:hint="eastAsia"/>
          <w:color w:val="auto"/>
          <w:lang w:eastAsia="zh-CN"/>
        </w:rPr>
        <w:t>附件11：西泽风电场（二期）工程环境质量现状检测</w:t>
      </w:r>
    </w:p>
    <w:p w14:paraId="2793F14D">
      <w:pPr>
        <w:pStyle w:val="6"/>
        <w:bidi w:val="0"/>
        <w:rPr>
          <w:rFonts w:hint="eastAsia" w:ascii="Times New Roman" w:hAnsi="Times New Roman" w:eastAsia="宋体"/>
          <w:color w:val="auto"/>
          <w:lang w:eastAsia="zh-CN"/>
        </w:rPr>
      </w:pPr>
      <w:r>
        <w:rPr>
          <w:rFonts w:hint="eastAsia" w:ascii="Times New Roman" w:hAnsi="Times New Roman" w:eastAsia="宋体"/>
          <w:color w:val="auto"/>
          <w:lang w:eastAsia="zh-CN"/>
        </w:rPr>
        <w:t>附件12：类比检测报告</w:t>
      </w:r>
    </w:p>
    <w:p w14:paraId="395551E6">
      <w:pPr>
        <w:pStyle w:val="6"/>
        <w:bidi w:val="0"/>
        <w:rPr>
          <w:rFonts w:hint="eastAsia" w:ascii="Times New Roman" w:hAnsi="Times New Roman" w:eastAsia="宋体"/>
          <w:color w:val="auto"/>
          <w:lang w:eastAsia="zh-CN"/>
        </w:rPr>
      </w:pPr>
      <w:r>
        <w:rPr>
          <w:rFonts w:hint="eastAsia" w:ascii="Times New Roman" w:hAnsi="Times New Roman" w:eastAsia="宋体"/>
          <w:color w:val="auto"/>
          <w:lang w:eastAsia="zh-CN"/>
        </w:rPr>
        <w:t>附件13：西泽风电场项目竣工环境保护验收监测</w:t>
      </w:r>
    </w:p>
    <w:p w14:paraId="60FFEF6E">
      <w:pPr>
        <w:pStyle w:val="6"/>
        <w:bidi w:val="0"/>
        <w:rPr>
          <w:rFonts w:hint="eastAsia" w:ascii="Times New Roman" w:hAnsi="Times New Roman" w:eastAsia="宋体"/>
          <w:color w:val="auto"/>
          <w:lang w:eastAsia="zh-CN"/>
        </w:rPr>
      </w:pPr>
      <w:r>
        <w:rPr>
          <w:rFonts w:hint="eastAsia" w:ascii="Times New Roman" w:hAnsi="Times New Roman" w:eastAsia="宋体"/>
          <w:color w:val="auto"/>
          <w:lang w:eastAsia="zh-CN"/>
        </w:rPr>
        <w:t>附件14：西泽风电场项目竣工环境保护验收填报数据</w:t>
      </w:r>
    </w:p>
    <w:p w14:paraId="44BCB854">
      <w:pPr>
        <w:pStyle w:val="6"/>
        <w:bidi w:val="0"/>
        <w:rPr>
          <w:rFonts w:hint="default" w:ascii="Times New Roman" w:hAnsi="Times New Roman" w:eastAsia="宋体"/>
          <w:color w:val="auto"/>
          <w:lang w:val="en-US" w:eastAsia="zh-CN"/>
        </w:rPr>
      </w:pPr>
      <w:r>
        <w:rPr>
          <w:rFonts w:hint="eastAsia"/>
          <w:color w:val="auto"/>
          <w:lang w:val="en-US" w:eastAsia="zh-CN"/>
        </w:rPr>
        <w:t>附件15：国电电力云南新能源开发有限公司承诺书</w:t>
      </w:r>
    </w:p>
    <w:p w14:paraId="476637FD">
      <w:pPr>
        <w:pStyle w:val="6"/>
        <w:bidi w:val="0"/>
        <w:rPr>
          <w:rFonts w:hint="eastAsia" w:ascii="Times New Roman" w:hAnsi="Times New Roman" w:eastAsia="宋体"/>
          <w:color w:val="auto"/>
          <w:lang w:eastAsia="zh-CN"/>
        </w:rPr>
      </w:pPr>
      <w:r>
        <w:rPr>
          <w:rFonts w:hint="eastAsia" w:ascii="Times New Roman" w:hAnsi="Times New Roman" w:eastAsia="宋体"/>
          <w:color w:val="auto"/>
          <w:lang w:eastAsia="zh-CN"/>
        </w:rPr>
        <w:t>附件16：西泽风电场二期专家组意见</w:t>
      </w:r>
    </w:p>
    <w:p w14:paraId="075C976E">
      <w:pPr>
        <w:pStyle w:val="6"/>
        <w:bidi w:val="0"/>
        <w:rPr>
          <w:rFonts w:hint="eastAsia" w:ascii="Times New Roman" w:hAnsi="Times New Roman" w:eastAsia="宋体"/>
          <w:color w:val="auto"/>
          <w:lang w:eastAsia="zh-CN"/>
        </w:rPr>
      </w:pPr>
      <w:r>
        <w:rPr>
          <w:rFonts w:hint="eastAsia" w:ascii="Times New Roman" w:hAnsi="Times New Roman" w:eastAsia="宋体"/>
          <w:color w:val="auto"/>
          <w:lang w:eastAsia="zh-CN"/>
        </w:rPr>
        <w:t>附件17：修改对照表</w:t>
      </w:r>
    </w:p>
    <w:p w14:paraId="6848E0D5">
      <w:pPr>
        <w:pStyle w:val="6"/>
        <w:bidi w:val="0"/>
        <w:rPr>
          <w:rFonts w:hint="eastAsia" w:ascii="Times New Roman" w:hAnsi="Times New Roman" w:eastAsia="宋体"/>
          <w:color w:val="auto"/>
          <w:lang w:eastAsia="zh-CN"/>
        </w:rPr>
      </w:pPr>
      <w:r>
        <w:rPr>
          <w:rFonts w:hint="eastAsia" w:ascii="Times New Roman" w:hAnsi="Times New Roman" w:eastAsia="宋体"/>
          <w:color w:val="auto"/>
          <w:lang w:eastAsia="zh-CN"/>
        </w:rPr>
        <w:t>附件18：西泽风电场项目环评批复</w:t>
      </w:r>
    </w:p>
    <w:p w14:paraId="09442133">
      <w:pPr>
        <w:pStyle w:val="6"/>
        <w:bidi w:val="0"/>
        <w:rPr>
          <w:rFonts w:hint="default" w:ascii="Times New Roman" w:hAnsi="Times New Roman" w:eastAsia="宋体"/>
          <w:color w:val="auto"/>
          <w:lang w:val="en-US" w:eastAsia="zh-CN"/>
        </w:rPr>
      </w:pPr>
      <w:r>
        <w:rPr>
          <w:rFonts w:hint="eastAsia"/>
          <w:color w:val="auto"/>
          <w:lang w:val="en-US" w:eastAsia="zh-CN"/>
        </w:rPr>
        <w:t>附件19：承诺书</w:t>
      </w:r>
    </w:p>
    <w:p w14:paraId="3DD7FF92">
      <w:pPr>
        <w:pageBreakBefore w:val="0"/>
        <w:kinsoku/>
        <w:wordWrap/>
        <w:overflowPunct/>
        <w:bidi w:val="0"/>
        <w:spacing w:line="360" w:lineRule="auto"/>
        <w:rPr>
          <w:rFonts w:hint="eastAsia" w:ascii="Times New Roman" w:hAnsi="Times New Roman" w:eastAsia="宋体"/>
          <w:b/>
          <w:caps w:val="0"/>
          <w:color w:val="auto"/>
          <w:sz w:val="24"/>
        </w:rPr>
      </w:pPr>
    </w:p>
    <w:p w14:paraId="63352CF7">
      <w:pPr>
        <w:pageBreakBefore w:val="0"/>
        <w:kinsoku/>
        <w:wordWrap/>
        <w:overflowPunct/>
        <w:bidi w:val="0"/>
        <w:spacing w:line="360" w:lineRule="auto"/>
        <w:rPr>
          <w:rFonts w:hint="eastAsia" w:ascii="Times New Roman" w:hAnsi="Times New Roman" w:eastAsia="宋体"/>
          <w:b/>
          <w:caps w:val="0"/>
          <w:color w:val="auto"/>
          <w:sz w:val="24"/>
        </w:rPr>
      </w:pPr>
    </w:p>
    <w:p w14:paraId="0E91FEC4">
      <w:pPr>
        <w:pageBreakBefore w:val="0"/>
        <w:kinsoku/>
        <w:wordWrap/>
        <w:overflowPunct/>
        <w:bidi w:val="0"/>
        <w:spacing w:line="360" w:lineRule="auto"/>
        <w:rPr>
          <w:rFonts w:ascii="Times New Roman" w:hAnsi="Times New Roman" w:eastAsia="宋体"/>
          <w:b/>
          <w:caps w:val="0"/>
          <w:color w:val="auto"/>
          <w:sz w:val="24"/>
        </w:rPr>
      </w:pPr>
      <w:r>
        <w:rPr>
          <w:rFonts w:hint="eastAsia" w:ascii="Times New Roman" w:hAnsi="Times New Roman" w:eastAsia="宋体"/>
          <w:b/>
          <w:caps w:val="0"/>
          <w:color w:val="auto"/>
          <w:sz w:val="24"/>
        </w:rPr>
        <w:t>附图：</w:t>
      </w:r>
    </w:p>
    <w:p w14:paraId="180A252D">
      <w:pPr>
        <w:pageBreakBefore w:val="0"/>
        <w:kinsoku/>
        <w:wordWrap/>
        <w:overflowPunct/>
        <w:bidi w:val="0"/>
        <w:spacing w:line="360" w:lineRule="auto"/>
        <w:jc w:val="left"/>
        <w:rPr>
          <w:rFonts w:hint="eastAsia" w:ascii="Times New Roman" w:hAnsi="Times New Roman" w:eastAsia="宋体"/>
          <w:caps w:val="0"/>
          <w:color w:val="auto"/>
          <w:sz w:val="24"/>
          <w:highlight w:val="none"/>
        </w:rPr>
      </w:pPr>
      <w:bookmarkStart w:id="9" w:name="_Toc80363578"/>
      <w:bookmarkStart w:id="10" w:name="_Toc87972511"/>
      <w:bookmarkStart w:id="11" w:name="_Toc87457558"/>
      <w:bookmarkStart w:id="12" w:name="_Toc80288926"/>
      <w:bookmarkStart w:id="13" w:name="_Toc80363681"/>
      <w:r>
        <w:rPr>
          <w:rFonts w:hint="eastAsia" w:ascii="Times New Roman" w:hAnsi="Times New Roman" w:eastAsia="宋体"/>
          <w:caps w:val="0"/>
          <w:color w:val="auto"/>
          <w:sz w:val="24"/>
          <w:highlight w:val="none"/>
        </w:rPr>
        <w:t>附图1</w:t>
      </w:r>
      <w:r>
        <w:rPr>
          <w:rFonts w:hint="eastAsia"/>
          <w:caps w:val="0"/>
          <w:color w:val="auto"/>
          <w:sz w:val="24"/>
          <w:highlight w:val="none"/>
          <w:lang w:eastAsia="zh-CN"/>
        </w:rPr>
        <w:t>：</w:t>
      </w:r>
      <w:r>
        <w:rPr>
          <w:rFonts w:hint="eastAsia" w:ascii="Times New Roman" w:hAnsi="Times New Roman" w:eastAsia="宋体"/>
          <w:caps w:val="0"/>
          <w:color w:val="auto"/>
          <w:sz w:val="24"/>
          <w:highlight w:val="none"/>
        </w:rPr>
        <w:t>项目地理位置图</w:t>
      </w:r>
    </w:p>
    <w:p w14:paraId="31A8E7FD">
      <w:pPr>
        <w:pageBreakBefore w:val="0"/>
        <w:kinsoku/>
        <w:wordWrap/>
        <w:overflowPunct/>
        <w:bidi w:val="0"/>
        <w:spacing w:line="360" w:lineRule="auto"/>
        <w:jc w:val="left"/>
        <w:rPr>
          <w:rFonts w:hint="default"/>
          <w:caps w:val="0"/>
          <w:color w:val="auto"/>
          <w:sz w:val="24"/>
          <w:highlight w:val="none"/>
          <w:lang w:val="en-US" w:eastAsia="zh-CN"/>
        </w:rPr>
      </w:pPr>
      <w:r>
        <w:rPr>
          <w:rFonts w:hint="eastAsia" w:ascii="Times New Roman" w:hAnsi="Times New Roman" w:eastAsia="宋体"/>
          <w:caps w:val="0"/>
          <w:color w:val="auto"/>
          <w:sz w:val="24"/>
          <w:highlight w:val="none"/>
        </w:rPr>
        <w:t>附图2</w:t>
      </w:r>
      <w:r>
        <w:rPr>
          <w:rFonts w:hint="eastAsia"/>
          <w:caps w:val="0"/>
          <w:color w:val="auto"/>
          <w:sz w:val="24"/>
          <w:highlight w:val="none"/>
          <w:lang w:eastAsia="zh-CN"/>
        </w:rPr>
        <w:t>：</w:t>
      </w:r>
      <w:r>
        <w:rPr>
          <w:rFonts w:hint="eastAsia"/>
          <w:caps w:val="0"/>
          <w:color w:val="auto"/>
          <w:sz w:val="24"/>
          <w:highlight w:val="none"/>
          <w:lang w:val="en-US" w:eastAsia="zh-CN"/>
        </w:rPr>
        <w:t>项目区水系图</w:t>
      </w:r>
    </w:p>
    <w:p w14:paraId="255E5617">
      <w:pPr>
        <w:pageBreakBefore w:val="0"/>
        <w:kinsoku/>
        <w:wordWrap/>
        <w:overflowPunct/>
        <w:bidi w:val="0"/>
        <w:spacing w:line="360" w:lineRule="auto"/>
        <w:jc w:val="left"/>
        <w:rPr>
          <w:rFonts w:hint="eastAsia" w:ascii="Times New Roman" w:hAnsi="Times New Roman" w:eastAsia="宋体"/>
          <w:caps w:val="0"/>
          <w:color w:val="auto"/>
          <w:sz w:val="24"/>
          <w:highlight w:val="none"/>
        </w:rPr>
      </w:pPr>
      <w:r>
        <w:rPr>
          <w:rFonts w:hint="eastAsia"/>
          <w:caps w:val="0"/>
          <w:color w:val="auto"/>
          <w:sz w:val="24"/>
          <w:highlight w:val="none"/>
          <w:lang w:val="en-US" w:eastAsia="zh-CN"/>
        </w:rPr>
        <w:t>附图3：</w:t>
      </w:r>
      <w:r>
        <w:rPr>
          <w:rFonts w:hint="eastAsia" w:ascii="Times New Roman" w:hAnsi="Times New Roman" w:eastAsia="宋体"/>
          <w:caps w:val="0"/>
          <w:color w:val="auto"/>
          <w:sz w:val="24"/>
          <w:highlight w:val="none"/>
        </w:rPr>
        <w:t>风机机</w:t>
      </w:r>
      <w:r>
        <w:rPr>
          <w:rFonts w:hint="eastAsia"/>
          <w:caps w:val="0"/>
          <w:color w:val="auto"/>
          <w:sz w:val="24"/>
          <w:highlight w:val="none"/>
          <w:lang w:val="en-US" w:eastAsia="zh-CN"/>
        </w:rPr>
        <w:t>组</w:t>
      </w:r>
      <w:r>
        <w:rPr>
          <w:rFonts w:hint="eastAsia" w:ascii="Times New Roman" w:hAnsi="Times New Roman" w:eastAsia="宋体"/>
          <w:caps w:val="0"/>
          <w:color w:val="auto"/>
          <w:sz w:val="24"/>
          <w:highlight w:val="none"/>
        </w:rPr>
        <w:t>平面布置图</w:t>
      </w:r>
    </w:p>
    <w:p w14:paraId="652204DE">
      <w:pPr>
        <w:pageBreakBefore w:val="0"/>
        <w:kinsoku/>
        <w:wordWrap/>
        <w:overflowPunct/>
        <w:bidi w:val="0"/>
        <w:spacing w:line="360" w:lineRule="auto"/>
        <w:jc w:val="left"/>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附图</w:t>
      </w:r>
      <w:r>
        <w:rPr>
          <w:rFonts w:hint="eastAsia"/>
          <w:caps w:val="0"/>
          <w:color w:val="auto"/>
          <w:sz w:val="24"/>
          <w:highlight w:val="none"/>
          <w:lang w:val="en-US" w:eastAsia="zh-CN"/>
        </w:rPr>
        <w:t>4：</w:t>
      </w:r>
      <w:r>
        <w:rPr>
          <w:rFonts w:hint="eastAsia" w:ascii="Times New Roman" w:hAnsi="Times New Roman" w:eastAsia="宋体"/>
          <w:caps w:val="0"/>
          <w:color w:val="auto"/>
          <w:sz w:val="24"/>
          <w:highlight w:val="none"/>
        </w:rPr>
        <w:t>升压站站内布置图</w:t>
      </w:r>
    </w:p>
    <w:p w14:paraId="3D2BDF2A">
      <w:pPr>
        <w:pageBreakBefore w:val="0"/>
        <w:kinsoku/>
        <w:wordWrap/>
        <w:overflowPunct/>
        <w:bidi w:val="0"/>
        <w:spacing w:line="360" w:lineRule="auto"/>
        <w:jc w:val="left"/>
        <w:rPr>
          <w:rFonts w:hint="eastAsia" w:ascii="Times New Roman" w:hAnsi="Times New Roman" w:eastAsia="宋体"/>
          <w:caps w:val="0"/>
          <w:color w:val="auto"/>
          <w:sz w:val="24"/>
          <w:highlight w:val="none"/>
          <w:lang w:val="en-US" w:eastAsia="zh-CN"/>
        </w:rPr>
      </w:pPr>
      <w:r>
        <w:rPr>
          <w:rFonts w:hint="eastAsia" w:ascii="Times New Roman" w:hAnsi="Times New Roman" w:eastAsia="宋体"/>
          <w:caps w:val="0"/>
          <w:color w:val="auto"/>
          <w:sz w:val="24"/>
          <w:highlight w:val="none"/>
        </w:rPr>
        <w:t>附图5-1</w:t>
      </w:r>
      <w:r>
        <w:rPr>
          <w:rFonts w:hint="eastAsia"/>
          <w:caps w:val="0"/>
          <w:color w:val="auto"/>
          <w:sz w:val="24"/>
          <w:highlight w:val="none"/>
          <w:lang w:eastAsia="zh-CN"/>
        </w:rPr>
        <w:t>：</w:t>
      </w:r>
      <w:r>
        <w:rPr>
          <w:rFonts w:hint="eastAsia"/>
          <w:caps w:val="0"/>
          <w:color w:val="auto"/>
          <w:sz w:val="24"/>
          <w:highlight w:val="none"/>
          <w:lang w:val="en-US" w:eastAsia="zh-CN"/>
        </w:rPr>
        <w:t>项目</w:t>
      </w:r>
      <w:r>
        <w:rPr>
          <w:rFonts w:hint="eastAsia" w:ascii="Times New Roman" w:hAnsi="Times New Roman" w:eastAsia="宋体"/>
          <w:caps w:val="0"/>
          <w:color w:val="auto"/>
          <w:sz w:val="24"/>
          <w:highlight w:val="none"/>
        </w:rPr>
        <w:t>评价范围</w:t>
      </w:r>
      <w:r>
        <w:rPr>
          <w:rFonts w:hint="eastAsia"/>
          <w:caps w:val="0"/>
          <w:color w:val="auto"/>
          <w:sz w:val="24"/>
          <w:highlight w:val="none"/>
          <w:lang w:val="en-US" w:eastAsia="zh-CN"/>
        </w:rPr>
        <w:t>图（风机区）</w:t>
      </w:r>
    </w:p>
    <w:p w14:paraId="49FA20AA">
      <w:pPr>
        <w:pageBreakBefore w:val="0"/>
        <w:kinsoku/>
        <w:wordWrap/>
        <w:overflowPunct/>
        <w:bidi w:val="0"/>
        <w:spacing w:line="360" w:lineRule="auto"/>
        <w:jc w:val="left"/>
        <w:rPr>
          <w:rFonts w:hint="eastAsia" w:ascii="Times New Roman" w:hAnsi="Times New Roman" w:eastAsia="宋体"/>
          <w:caps w:val="0"/>
          <w:color w:val="auto"/>
          <w:sz w:val="24"/>
          <w:highlight w:val="none"/>
          <w:lang w:val="en-US" w:eastAsia="zh-CN"/>
        </w:rPr>
      </w:pPr>
      <w:r>
        <w:rPr>
          <w:rFonts w:hint="eastAsia" w:ascii="Times New Roman" w:hAnsi="Times New Roman" w:eastAsia="宋体"/>
          <w:caps w:val="0"/>
          <w:color w:val="auto"/>
          <w:sz w:val="24"/>
          <w:highlight w:val="none"/>
        </w:rPr>
        <w:t>附图5-</w:t>
      </w:r>
      <w:r>
        <w:rPr>
          <w:rFonts w:hint="eastAsia"/>
          <w:caps w:val="0"/>
          <w:color w:val="auto"/>
          <w:sz w:val="24"/>
          <w:highlight w:val="none"/>
          <w:lang w:val="en-US" w:eastAsia="zh-CN"/>
        </w:rPr>
        <w:t>2</w:t>
      </w:r>
      <w:r>
        <w:rPr>
          <w:rFonts w:hint="eastAsia"/>
          <w:caps w:val="0"/>
          <w:color w:val="auto"/>
          <w:sz w:val="24"/>
          <w:highlight w:val="none"/>
          <w:lang w:eastAsia="zh-CN"/>
        </w:rPr>
        <w:t>：</w:t>
      </w:r>
      <w:r>
        <w:rPr>
          <w:rFonts w:hint="eastAsia"/>
          <w:caps w:val="0"/>
          <w:color w:val="auto"/>
          <w:sz w:val="24"/>
          <w:highlight w:val="none"/>
          <w:lang w:val="en-US" w:eastAsia="zh-CN"/>
        </w:rPr>
        <w:t>项目</w:t>
      </w:r>
      <w:r>
        <w:rPr>
          <w:rFonts w:hint="eastAsia" w:ascii="Times New Roman" w:hAnsi="Times New Roman" w:eastAsia="宋体"/>
          <w:caps w:val="0"/>
          <w:color w:val="auto"/>
          <w:sz w:val="24"/>
          <w:highlight w:val="none"/>
        </w:rPr>
        <w:t>评价范围</w:t>
      </w:r>
      <w:r>
        <w:rPr>
          <w:rFonts w:hint="eastAsia"/>
          <w:caps w:val="0"/>
          <w:color w:val="auto"/>
          <w:sz w:val="24"/>
          <w:highlight w:val="none"/>
          <w:lang w:val="en-US" w:eastAsia="zh-CN"/>
        </w:rPr>
        <w:t>图（升压站区）</w:t>
      </w:r>
    </w:p>
    <w:p w14:paraId="2045D672">
      <w:pPr>
        <w:pageBreakBefore w:val="0"/>
        <w:kinsoku/>
        <w:wordWrap/>
        <w:overflowPunct/>
        <w:bidi w:val="0"/>
        <w:spacing w:line="360" w:lineRule="auto"/>
        <w:jc w:val="left"/>
        <w:rPr>
          <w:rFonts w:hint="eastAsia" w:ascii="Times New Roman" w:hAnsi="Times New Roman" w:eastAsia="宋体"/>
          <w:caps w:val="0"/>
          <w:color w:val="auto"/>
          <w:sz w:val="24"/>
          <w:highlight w:val="none"/>
        </w:rPr>
      </w:pPr>
      <w:r>
        <w:rPr>
          <w:rFonts w:hint="eastAsia"/>
          <w:caps w:val="0"/>
          <w:color w:val="auto"/>
          <w:sz w:val="24"/>
          <w:highlight w:val="none"/>
          <w:lang w:val="en-US" w:eastAsia="zh-CN"/>
        </w:rPr>
        <w:t>附图</w:t>
      </w:r>
      <w:r>
        <w:rPr>
          <w:rFonts w:hint="eastAsia" w:ascii="Times New Roman" w:hAnsi="Times New Roman" w:eastAsia="宋体"/>
          <w:caps w:val="0"/>
          <w:color w:val="auto"/>
          <w:sz w:val="24"/>
          <w:highlight w:val="none"/>
        </w:rPr>
        <w:t>6：</w:t>
      </w:r>
      <w:r>
        <w:rPr>
          <w:rFonts w:hint="eastAsia"/>
          <w:caps w:val="0"/>
          <w:color w:val="auto"/>
          <w:sz w:val="24"/>
          <w:highlight w:val="none"/>
          <w:lang w:val="en-US" w:eastAsia="zh-CN"/>
        </w:rPr>
        <w:t>项</w:t>
      </w:r>
      <w:r>
        <w:rPr>
          <w:rFonts w:hint="eastAsia" w:ascii="Times New Roman" w:hAnsi="Times New Roman" w:eastAsia="宋体"/>
          <w:caps w:val="0"/>
          <w:color w:val="auto"/>
          <w:sz w:val="24"/>
          <w:highlight w:val="none"/>
        </w:rPr>
        <w:t>目环境保护目标图</w:t>
      </w:r>
    </w:p>
    <w:p w14:paraId="25DDB3D4">
      <w:pPr>
        <w:pageBreakBefore w:val="0"/>
        <w:kinsoku/>
        <w:wordWrap/>
        <w:overflowPunct/>
        <w:bidi w:val="0"/>
        <w:spacing w:line="360" w:lineRule="auto"/>
        <w:jc w:val="left"/>
        <w:rPr>
          <w:rFonts w:hint="default" w:ascii="Times New Roman" w:hAnsi="Times New Roman" w:eastAsia="宋体"/>
          <w:caps w:val="0"/>
          <w:color w:val="auto"/>
          <w:sz w:val="24"/>
          <w:highlight w:val="none"/>
          <w:lang w:val="en-US" w:eastAsia="zh-CN"/>
        </w:rPr>
      </w:pPr>
      <w:r>
        <w:rPr>
          <w:rFonts w:hint="eastAsia" w:ascii="Times New Roman" w:hAnsi="Times New Roman" w:eastAsia="宋体"/>
          <w:caps w:val="0"/>
          <w:color w:val="auto"/>
          <w:sz w:val="24"/>
          <w:highlight w:val="none"/>
        </w:rPr>
        <w:t>附图</w:t>
      </w:r>
      <w:r>
        <w:rPr>
          <w:rFonts w:hint="eastAsia"/>
          <w:caps w:val="0"/>
          <w:color w:val="auto"/>
          <w:sz w:val="24"/>
          <w:highlight w:val="none"/>
          <w:lang w:val="en-US" w:eastAsia="zh-CN"/>
        </w:rPr>
        <w:t>7</w:t>
      </w:r>
      <w:r>
        <w:rPr>
          <w:rFonts w:hint="eastAsia"/>
          <w:caps w:val="0"/>
          <w:color w:val="auto"/>
          <w:sz w:val="24"/>
          <w:highlight w:val="none"/>
          <w:lang w:eastAsia="zh-CN"/>
        </w:rPr>
        <w:t>：</w:t>
      </w:r>
      <w:r>
        <w:rPr>
          <w:rFonts w:hint="eastAsia"/>
          <w:caps w:val="0"/>
          <w:color w:val="auto"/>
          <w:sz w:val="24"/>
          <w:highlight w:val="none"/>
          <w:lang w:val="en-US" w:eastAsia="zh-CN"/>
        </w:rPr>
        <w:t>土地利用类型图</w:t>
      </w:r>
    </w:p>
    <w:p w14:paraId="0026AED8">
      <w:pPr>
        <w:pStyle w:val="8"/>
        <w:rPr>
          <w:rFonts w:hint="default" w:ascii="Times New Roman" w:hAnsi="Times New Roman" w:eastAsia="宋体"/>
          <w:caps w:val="0"/>
          <w:color w:val="auto"/>
          <w:sz w:val="24"/>
          <w:highlight w:val="none"/>
          <w:lang w:val="en-US" w:eastAsia="zh-CN"/>
        </w:rPr>
      </w:pPr>
      <w:r>
        <w:rPr>
          <w:rFonts w:hint="eastAsia"/>
          <w:caps w:val="0"/>
          <w:color w:val="auto"/>
          <w:sz w:val="24"/>
          <w:highlight w:val="none"/>
          <w:lang w:val="en-US" w:eastAsia="zh-CN"/>
        </w:rPr>
        <w:t>附图8：评价区植被现状图</w:t>
      </w:r>
    </w:p>
    <w:p w14:paraId="5AC4AE83">
      <w:pPr>
        <w:pStyle w:val="6"/>
        <w:bidi w:val="0"/>
        <w:rPr>
          <w:rFonts w:hint="default"/>
          <w:color w:val="auto"/>
          <w:lang w:val="en-US" w:eastAsia="zh-CN"/>
        </w:rPr>
      </w:pPr>
      <w:r>
        <w:rPr>
          <w:rFonts w:hint="eastAsia"/>
          <w:color w:val="auto"/>
          <w:lang w:val="en-US" w:eastAsia="zh-CN"/>
        </w:rPr>
        <w:t>附图9：植被覆盖度现状图</w:t>
      </w:r>
    </w:p>
    <w:p w14:paraId="07745650">
      <w:pPr>
        <w:pStyle w:val="6"/>
        <w:bidi w:val="0"/>
        <w:rPr>
          <w:rFonts w:hint="default"/>
          <w:color w:val="auto"/>
          <w:lang w:val="en-US" w:eastAsia="zh-CN"/>
        </w:rPr>
      </w:pPr>
      <w:r>
        <w:rPr>
          <w:rFonts w:hint="eastAsia"/>
          <w:color w:val="auto"/>
          <w:lang w:val="en-US" w:eastAsia="zh-CN"/>
        </w:rPr>
        <w:t>附图10：生态调查样方及样线图</w:t>
      </w:r>
    </w:p>
    <w:p w14:paraId="4B95BFFC">
      <w:pPr>
        <w:pStyle w:val="6"/>
        <w:bidi w:val="0"/>
        <w:rPr>
          <w:rFonts w:hint="eastAsia"/>
          <w:color w:val="auto"/>
          <w:lang w:val="en-US" w:eastAsia="zh-CN"/>
        </w:rPr>
      </w:pPr>
      <w:r>
        <w:rPr>
          <w:rFonts w:hint="eastAsia"/>
          <w:color w:val="auto"/>
          <w:lang w:val="en-US" w:eastAsia="zh-CN"/>
        </w:rPr>
        <w:t>附图11：重点鸟类发现点位图</w:t>
      </w:r>
    </w:p>
    <w:p w14:paraId="46634260">
      <w:pPr>
        <w:pStyle w:val="6"/>
        <w:bidi w:val="0"/>
        <w:rPr>
          <w:rFonts w:hint="eastAsia"/>
          <w:color w:val="auto"/>
          <w:lang w:val="en-US" w:eastAsia="zh-CN"/>
        </w:rPr>
      </w:pPr>
      <w:r>
        <w:rPr>
          <w:rFonts w:hint="eastAsia"/>
          <w:color w:val="auto"/>
          <w:lang w:val="en-US" w:eastAsia="zh-CN"/>
        </w:rPr>
        <w:t>附图12：评价区生态系统分布图</w:t>
      </w:r>
    </w:p>
    <w:p w14:paraId="0A6C0509">
      <w:pPr>
        <w:pStyle w:val="6"/>
        <w:bidi w:val="0"/>
        <w:rPr>
          <w:rFonts w:hint="default"/>
          <w:color w:val="auto"/>
          <w:lang w:val="en-US" w:eastAsia="zh-CN"/>
        </w:rPr>
      </w:pPr>
      <w:r>
        <w:rPr>
          <w:rFonts w:hint="eastAsia"/>
          <w:color w:val="auto"/>
          <w:lang w:val="en-US" w:eastAsia="zh-CN"/>
        </w:rPr>
        <w:t>附图13：评价区景观分布图</w:t>
      </w:r>
    </w:p>
    <w:p w14:paraId="35E75F37">
      <w:pPr>
        <w:pStyle w:val="6"/>
        <w:bidi w:val="0"/>
        <w:rPr>
          <w:rFonts w:hint="default"/>
          <w:color w:val="auto"/>
          <w:lang w:val="en-US" w:eastAsia="zh-CN"/>
        </w:rPr>
      </w:pPr>
      <w:r>
        <w:rPr>
          <w:rFonts w:hint="eastAsia"/>
          <w:color w:val="auto"/>
          <w:lang w:val="en-US" w:eastAsia="zh-CN"/>
        </w:rPr>
        <w:t>附图14：项目与云南省生物多样性保护区域的位置关系图</w:t>
      </w:r>
    </w:p>
    <w:p w14:paraId="67F1BF61">
      <w:pPr>
        <w:pageBreakBefore w:val="0"/>
        <w:kinsoku/>
        <w:wordWrap/>
        <w:overflowPunct/>
        <w:bidi w:val="0"/>
        <w:spacing w:line="360" w:lineRule="auto"/>
        <w:jc w:val="left"/>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附图</w:t>
      </w:r>
      <w:r>
        <w:rPr>
          <w:rFonts w:hint="eastAsia"/>
          <w:caps w:val="0"/>
          <w:color w:val="auto"/>
          <w:sz w:val="24"/>
          <w:highlight w:val="none"/>
          <w:lang w:val="en-US" w:eastAsia="zh-CN"/>
        </w:rPr>
        <w:t>15</w:t>
      </w:r>
      <w:r>
        <w:rPr>
          <w:rFonts w:hint="eastAsia"/>
          <w:caps w:val="0"/>
          <w:color w:val="auto"/>
          <w:sz w:val="24"/>
          <w:highlight w:val="none"/>
          <w:lang w:eastAsia="zh-CN"/>
        </w:rPr>
        <w:t>：</w:t>
      </w:r>
      <w:r>
        <w:rPr>
          <w:rFonts w:hint="eastAsia" w:ascii="Times New Roman" w:hAnsi="Times New Roman" w:eastAsia="宋体"/>
          <w:caps w:val="0"/>
          <w:color w:val="auto"/>
          <w:sz w:val="24"/>
          <w:highlight w:val="none"/>
        </w:rPr>
        <w:t>项目与云南省主体功能区划位置关系图</w:t>
      </w:r>
    </w:p>
    <w:p w14:paraId="7BA55B31">
      <w:pPr>
        <w:pageBreakBefore w:val="0"/>
        <w:kinsoku/>
        <w:wordWrap/>
        <w:overflowPunct/>
        <w:bidi w:val="0"/>
        <w:spacing w:line="360" w:lineRule="auto"/>
        <w:jc w:val="left"/>
        <w:rPr>
          <w:rFonts w:hint="eastAsia" w:ascii="Times New Roman" w:hAnsi="Times New Roman" w:eastAsia="宋体"/>
          <w:caps w:val="0"/>
          <w:color w:val="auto"/>
          <w:sz w:val="24"/>
          <w:highlight w:val="none"/>
        </w:rPr>
      </w:pPr>
      <w:r>
        <w:rPr>
          <w:rFonts w:hint="eastAsia" w:ascii="Times New Roman" w:hAnsi="Times New Roman" w:eastAsia="宋体"/>
          <w:caps w:val="0"/>
          <w:color w:val="auto"/>
          <w:sz w:val="24"/>
          <w:highlight w:val="none"/>
        </w:rPr>
        <w:t>附图</w:t>
      </w:r>
      <w:r>
        <w:rPr>
          <w:rFonts w:hint="eastAsia"/>
          <w:caps w:val="0"/>
          <w:color w:val="auto"/>
          <w:sz w:val="24"/>
          <w:highlight w:val="none"/>
          <w:lang w:val="en-US" w:eastAsia="zh-CN"/>
        </w:rPr>
        <w:t>16</w:t>
      </w:r>
      <w:r>
        <w:rPr>
          <w:rFonts w:hint="eastAsia"/>
          <w:caps w:val="0"/>
          <w:color w:val="auto"/>
          <w:sz w:val="24"/>
          <w:highlight w:val="none"/>
          <w:lang w:eastAsia="zh-CN"/>
        </w:rPr>
        <w:t>：</w:t>
      </w:r>
      <w:r>
        <w:rPr>
          <w:rFonts w:hint="eastAsia" w:ascii="Times New Roman" w:hAnsi="Times New Roman" w:eastAsia="宋体"/>
          <w:caps w:val="0"/>
          <w:color w:val="auto"/>
          <w:sz w:val="24"/>
          <w:highlight w:val="none"/>
        </w:rPr>
        <w:t>项目与云南省生态功能区划位置关系图</w:t>
      </w:r>
    </w:p>
    <w:p w14:paraId="1C0991D1">
      <w:pPr>
        <w:pStyle w:val="6"/>
        <w:bidi w:val="0"/>
        <w:rPr>
          <w:rFonts w:hint="eastAsia"/>
          <w:color w:val="auto"/>
          <w:lang w:val="en-US" w:eastAsia="zh-CN"/>
        </w:rPr>
      </w:pPr>
      <w:r>
        <w:rPr>
          <w:rFonts w:hint="eastAsia"/>
          <w:color w:val="auto"/>
          <w:lang w:val="en-US" w:eastAsia="zh-CN"/>
        </w:rPr>
        <w:t>附图17：项目与周边生态保护红线位置关系图</w:t>
      </w:r>
    </w:p>
    <w:p w14:paraId="5CEEEE2A">
      <w:pPr>
        <w:pStyle w:val="6"/>
        <w:bidi w:val="0"/>
        <w:rPr>
          <w:rFonts w:hint="eastAsia"/>
          <w:color w:val="auto"/>
          <w:lang w:val="en-US" w:eastAsia="zh-CN"/>
        </w:rPr>
      </w:pPr>
      <w:r>
        <w:rPr>
          <w:rFonts w:hint="eastAsia"/>
          <w:color w:val="auto"/>
          <w:lang w:val="en-US" w:eastAsia="zh-CN"/>
        </w:rPr>
        <w:t>附图18：项目与周边天然林和公益林的位置关系图</w:t>
      </w:r>
    </w:p>
    <w:p w14:paraId="34436689">
      <w:pPr>
        <w:pStyle w:val="6"/>
        <w:keepNext w:val="0"/>
        <w:keepLines w:val="0"/>
        <w:pageBreakBefore w:val="0"/>
        <w:widowControl/>
        <w:kinsoku/>
        <w:wordWrap/>
        <w:overflowPunct/>
        <w:topLinePunct w:val="0"/>
        <w:autoSpaceDE w:val="0"/>
        <w:autoSpaceDN w:val="0"/>
        <w:bidi w:val="0"/>
        <w:adjustRightInd w:val="0"/>
        <w:snapToGrid w:val="0"/>
        <w:spacing w:line="360" w:lineRule="auto"/>
        <w:textAlignment w:val="baseline"/>
        <w:rPr>
          <w:rFonts w:hint="eastAsia" w:ascii="Times New Roman" w:hAnsi="Times New Roman" w:eastAsia="宋体"/>
          <w:caps w:val="0"/>
          <w:color w:val="auto"/>
          <w:sz w:val="24"/>
          <w:highlight w:val="none"/>
        </w:rPr>
      </w:pPr>
      <w:r>
        <w:rPr>
          <w:rFonts w:hint="eastAsia"/>
          <w:color w:val="auto"/>
          <w:lang w:val="en-US" w:eastAsia="zh-CN"/>
        </w:rPr>
        <w:t>附图19：项目与周边基本农田的位置关系图</w:t>
      </w:r>
    </w:p>
    <w:p w14:paraId="1E470C41">
      <w:pPr>
        <w:pStyle w:val="17"/>
        <w:keepNext w:val="0"/>
        <w:keepLines w:val="0"/>
        <w:pageBreakBefore w:val="0"/>
        <w:widowControl/>
        <w:kinsoku/>
        <w:wordWrap/>
        <w:overflowPunct/>
        <w:topLinePunct w:val="0"/>
        <w:autoSpaceDE w:val="0"/>
        <w:autoSpaceDN w:val="0"/>
        <w:bidi w:val="0"/>
        <w:adjustRightInd w:val="0"/>
        <w:snapToGrid w:val="0"/>
        <w:spacing w:after="0" w:line="360" w:lineRule="auto"/>
        <w:textAlignment w:val="baseline"/>
        <w:rPr>
          <w:rFonts w:hint="eastAsia" w:ascii="Times New Roman" w:hAnsi="Times New Roman"/>
          <w:caps w:val="0"/>
          <w:color w:val="auto"/>
          <w:sz w:val="24"/>
          <w:highlight w:val="none"/>
          <w:lang w:val="en-US" w:eastAsia="zh-CN"/>
        </w:rPr>
      </w:pPr>
      <w:r>
        <w:rPr>
          <w:rFonts w:hint="eastAsia" w:ascii="Times New Roman" w:hAnsi="Times New Roman"/>
          <w:caps w:val="0"/>
          <w:color w:val="auto"/>
          <w:sz w:val="24"/>
          <w:highlight w:val="none"/>
          <w:lang w:val="en-US" w:eastAsia="zh-CN"/>
        </w:rPr>
        <w:t>附图20：监测计划布点图</w:t>
      </w:r>
    </w:p>
    <w:p w14:paraId="3D033F29">
      <w:pPr>
        <w:pStyle w:val="17"/>
        <w:keepNext w:val="0"/>
        <w:keepLines w:val="0"/>
        <w:pageBreakBefore w:val="0"/>
        <w:widowControl/>
        <w:kinsoku/>
        <w:wordWrap/>
        <w:overflowPunct/>
        <w:topLinePunct w:val="0"/>
        <w:autoSpaceDE w:val="0"/>
        <w:autoSpaceDN w:val="0"/>
        <w:bidi w:val="0"/>
        <w:adjustRightInd w:val="0"/>
        <w:snapToGrid w:val="0"/>
        <w:spacing w:after="0" w:line="360" w:lineRule="auto"/>
        <w:textAlignment w:val="baseline"/>
        <w:rPr>
          <w:rFonts w:hint="default" w:ascii="Times New Roman" w:hAnsi="Times New Roman"/>
          <w:caps w:val="0"/>
          <w:color w:val="auto"/>
          <w:sz w:val="24"/>
          <w:highlight w:val="none"/>
          <w:lang w:val="en-US" w:eastAsia="zh-CN"/>
        </w:rPr>
      </w:pPr>
      <w:r>
        <w:rPr>
          <w:rFonts w:hint="eastAsia" w:ascii="Times New Roman" w:hAnsi="Times New Roman"/>
          <w:caps w:val="0"/>
          <w:color w:val="auto"/>
          <w:sz w:val="24"/>
          <w:highlight w:val="none"/>
          <w:lang w:val="en-US" w:eastAsia="zh-CN"/>
        </w:rPr>
        <w:t>附图21：环保措施平面布置图</w:t>
      </w:r>
    </w:p>
    <w:p w14:paraId="3CF7CA6F">
      <w:pPr>
        <w:pStyle w:val="17"/>
        <w:rPr>
          <w:rFonts w:hint="eastAsia" w:ascii="Times New Roman" w:hAnsi="Times New Roman"/>
          <w:caps w:val="0"/>
          <w:color w:val="auto"/>
          <w:sz w:val="24"/>
          <w:highlight w:val="none"/>
          <w:lang w:val="en-US" w:eastAsia="zh-CN"/>
        </w:rPr>
      </w:pPr>
    </w:p>
    <w:p w14:paraId="19B99A2C">
      <w:pPr>
        <w:pStyle w:val="17"/>
        <w:ind w:left="0" w:leftChars="0" w:firstLine="0" w:firstLineChars="0"/>
        <w:rPr>
          <w:rFonts w:hint="default" w:ascii="Times New Roman" w:hAnsi="Times New Roman"/>
          <w:caps w:val="0"/>
          <w:color w:val="auto"/>
          <w:sz w:val="24"/>
          <w:highlight w:val="none"/>
          <w:lang w:val="en-US" w:eastAsia="zh-CN"/>
        </w:rPr>
        <w:sectPr>
          <w:footerReference r:id="rId10" w:type="first"/>
          <w:footerReference r:id="rId9" w:type="default"/>
          <w:pgSz w:w="11906" w:h="16838"/>
          <w:pgMar w:top="1701" w:right="1531" w:bottom="1701" w:left="1531" w:header="851" w:footer="1134" w:gutter="0"/>
          <w:pgBorders>
            <w:top w:val="none" w:sz="0" w:space="0"/>
            <w:left w:val="none" w:sz="0" w:space="0"/>
            <w:bottom w:val="none" w:sz="0" w:space="0"/>
            <w:right w:val="none" w:sz="0" w:space="0"/>
          </w:pgBorders>
          <w:pgNumType w:start="1"/>
          <w:cols w:space="720" w:num="1"/>
          <w:docGrid w:linePitch="312" w:charSpace="0"/>
        </w:sectPr>
      </w:pPr>
    </w:p>
    <w:p w14:paraId="352916BB">
      <w:pPr>
        <w:pStyle w:val="2"/>
        <w:pageBreakBefore w:val="0"/>
        <w:kinsoku/>
        <w:wordWrap/>
        <w:overflowPunct/>
        <w:bidi w:val="0"/>
        <w:rPr>
          <w:rFonts w:ascii="Times New Roman" w:hAnsi="Times New Roman" w:eastAsia="宋体"/>
          <w:snapToGrid w:val="0"/>
          <w:color w:val="auto"/>
          <w:szCs w:val="30"/>
        </w:rPr>
      </w:pPr>
      <w:bookmarkStart w:id="14" w:name="_Toc28562"/>
      <w:r>
        <w:rPr>
          <w:rFonts w:hint="eastAsia"/>
          <w:color w:val="auto"/>
        </w:rPr>
        <w:t>一、建设项目基本情况</w:t>
      </w:r>
      <w:bookmarkEnd w:id="9"/>
      <w:bookmarkEnd w:id="10"/>
      <w:bookmarkEnd w:id="11"/>
      <w:bookmarkEnd w:id="12"/>
      <w:bookmarkEnd w:id="13"/>
      <w:bookmarkEnd w:id="14"/>
    </w:p>
    <w:tbl>
      <w:tblPr>
        <w:tblStyle w:val="20"/>
        <w:tblW w:w="8920" w:type="dxa"/>
        <w:tblInd w:w="17"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888"/>
        <w:gridCol w:w="2825"/>
        <w:gridCol w:w="2148"/>
        <w:gridCol w:w="3059"/>
      </w:tblGrid>
      <w:tr w14:paraId="0A6CDD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5CF2B74C">
            <w:pPr>
              <w:pStyle w:val="18"/>
              <w:bidi w:val="0"/>
              <w:rPr>
                <w:rFonts w:hint="default" w:ascii="Times New Roman" w:hAnsi="Times New Roman" w:cs="Times New Roman"/>
                <w:color w:val="auto"/>
              </w:rPr>
            </w:pPr>
            <w:r>
              <w:rPr>
                <w:rFonts w:hint="default" w:ascii="Times New Roman" w:hAnsi="Times New Roman" w:cs="Times New Roman"/>
                <w:color w:val="auto"/>
              </w:rPr>
              <w:t>建设项目名称</w:t>
            </w:r>
          </w:p>
        </w:tc>
        <w:tc>
          <w:tcPr>
            <w:tcW w:w="7699" w:type="dxa"/>
            <w:gridSpan w:val="3"/>
            <w:noWrap w:val="0"/>
            <w:vAlign w:val="center"/>
          </w:tcPr>
          <w:p w14:paraId="39F08858">
            <w:pPr>
              <w:pStyle w:val="18"/>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西泽风电场（二期）</w:t>
            </w:r>
          </w:p>
        </w:tc>
      </w:tr>
      <w:tr w14:paraId="559FE42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1D1C82FD">
            <w:pPr>
              <w:pStyle w:val="18"/>
              <w:bidi w:val="0"/>
              <w:rPr>
                <w:rFonts w:hint="default" w:ascii="Times New Roman" w:hAnsi="Times New Roman" w:cs="Times New Roman"/>
                <w:color w:val="auto"/>
              </w:rPr>
            </w:pPr>
            <w:r>
              <w:rPr>
                <w:rFonts w:hint="default" w:ascii="Times New Roman" w:hAnsi="Times New Roman" w:cs="Times New Roman"/>
                <w:color w:val="auto"/>
              </w:rPr>
              <w:t>项目代码</w:t>
            </w:r>
          </w:p>
        </w:tc>
        <w:tc>
          <w:tcPr>
            <w:tcW w:w="7699" w:type="dxa"/>
            <w:gridSpan w:val="3"/>
            <w:noWrap w:val="0"/>
            <w:vAlign w:val="center"/>
          </w:tcPr>
          <w:p w14:paraId="22D2AF43">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2503-530381-04-01-849416</w:t>
            </w:r>
          </w:p>
        </w:tc>
      </w:tr>
      <w:tr w14:paraId="7F3F93D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0B107392">
            <w:pPr>
              <w:pStyle w:val="18"/>
              <w:bidi w:val="0"/>
              <w:rPr>
                <w:rFonts w:hint="default" w:ascii="Times New Roman" w:hAnsi="Times New Roman" w:cs="Times New Roman"/>
                <w:color w:val="auto"/>
              </w:rPr>
            </w:pPr>
            <w:r>
              <w:rPr>
                <w:rFonts w:hint="default" w:ascii="Times New Roman" w:hAnsi="Times New Roman" w:cs="Times New Roman"/>
                <w:color w:val="auto"/>
              </w:rPr>
              <w:t>建设单位联系人</w:t>
            </w:r>
          </w:p>
        </w:tc>
        <w:tc>
          <w:tcPr>
            <w:tcW w:w="2730" w:type="dxa"/>
            <w:noWrap w:val="0"/>
            <w:vAlign w:val="center"/>
          </w:tcPr>
          <w:p w14:paraId="4D985571">
            <w:pPr>
              <w:pStyle w:val="18"/>
              <w:bidi w:val="0"/>
              <w:rPr>
                <w:rFonts w:hint="default" w:ascii="Times New Roman" w:hAnsi="Times New Roman" w:cs="Times New Roman"/>
                <w:color w:val="auto"/>
                <w:lang w:val="en-US" w:eastAsia="zh-CN"/>
              </w:rPr>
            </w:pPr>
          </w:p>
        </w:tc>
        <w:tc>
          <w:tcPr>
            <w:tcW w:w="2074" w:type="dxa"/>
            <w:noWrap w:val="0"/>
            <w:vAlign w:val="center"/>
          </w:tcPr>
          <w:p w14:paraId="0AA6B21A">
            <w:pPr>
              <w:pStyle w:val="18"/>
              <w:bidi w:val="0"/>
              <w:rPr>
                <w:rFonts w:hint="default" w:ascii="Times New Roman" w:hAnsi="Times New Roman" w:cs="Times New Roman"/>
                <w:color w:val="auto"/>
              </w:rPr>
            </w:pPr>
            <w:r>
              <w:rPr>
                <w:rFonts w:hint="default" w:ascii="Times New Roman" w:hAnsi="Times New Roman" w:cs="Times New Roman"/>
                <w:color w:val="auto"/>
              </w:rPr>
              <w:t>联系方式</w:t>
            </w:r>
          </w:p>
        </w:tc>
        <w:tc>
          <w:tcPr>
            <w:tcW w:w="2895" w:type="dxa"/>
            <w:noWrap w:val="0"/>
            <w:vAlign w:val="center"/>
          </w:tcPr>
          <w:p w14:paraId="53C49F1E">
            <w:pPr>
              <w:pStyle w:val="18"/>
              <w:bidi w:val="0"/>
              <w:rPr>
                <w:rFonts w:hint="default" w:ascii="Times New Roman" w:hAnsi="Times New Roman" w:cs="Times New Roman"/>
                <w:color w:val="auto"/>
                <w:lang w:val="en-US" w:eastAsia="zh-CN"/>
              </w:rPr>
            </w:pPr>
          </w:p>
        </w:tc>
      </w:tr>
      <w:tr w14:paraId="61B630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42195AC0">
            <w:pPr>
              <w:pStyle w:val="18"/>
              <w:bidi w:val="0"/>
              <w:rPr>
                <w:rFonts w:hint="default" w:ascii="Times New Roman" w:hAnsi="Times New Roman" w:cs="Times New Roman"/>
                <w:color w:val="auto"/>
              </w:rPr>
            </w:pPr>
            <w:r>
              <w:rPr>
                <w:rFonts w:hint="default" w:ascii="Times New Roman" w:hAnsi="Times New Roman" w:cs="Times New Roman"/>
                <w:color w:val="auto"/>
              </w:rPr>
              <w:t>建设地点</w:t>
            </w:r>
          </w:p>
        </w:tc>
        <w:tc>
          <w:tcPr>
            <w:tcW w:w="7699" w:type="dxa"/>
            <w:gridSpan w:val="3"/>
            <w:noWrap w:val="0"/>
            <w:vAlign w:val="center"/>
          </w:tcPr>
          <w:p w14:paraId="7C887B88">
            <w:pPr>
              <w:pStyle w:val="18"/>
              <w:bidi w:val="0"/>
              <w:rPr>
                <w:rFonts w:hint="default" w:ascii="Times New Roman" w:hAnsi="Times New Roman" w:cs="Times New Roman"/>
                <w:color w:val="auto"/>
              </w:rPr>
            </w:pPr>
            <w:r>
              <w:rPr>
                <w:rFonts w:hint="default" w:ascii="Times New Roman" w:hAnsi="Times New Roman" w:cs="Times New Roman"/>
                <w:color w:val="auto"/>
                <w:u w:val="single"/>
              </w:rPr>
              <w:t>云南</w:t>
            </w:r>
            <w:r>
              <w:rPr>
                <w:rFonts w:hint="default" w:ascii="Times New Roman" w:hAnsi="Times New Roman" w:cs="Times New Roman"/>
                <w:color w:val="auto"/>
                <w:u w:val="none"/>
              </w:rPr>
              <w:t>省</w:t>
            </w:r>
            <w:r>
              <w:rPr>
                <w:rFonts w:hint="default" w:ascii="Times New Roman" w:hAnsi="Times New Roman" w:cs="Times New Roman"/>
                <w:color w:val="auto"/>
                <w:u w:val="single"/>
              </w:rPr>
              <w:t>曲靖</w:t>
            </w:r>
            <w:r>
              <w:rPr>
                <w:rFonts w:hint="default" w:ascii="Times New Roman" w:hAnsi="Times New Roman" w:cs="Times New Roman"/>
                <w:color w:val="auto"/>
                <w:u w:val="none"/>
                <w:lang w:val="en-US" w:eastAsia="zh-CN"/>
              </w:rPr>
              <w:t>市</w:t>
            </w:r>
            <w:r>
              <w:rPr>
                <w:rFonts w:hint="default" w:ascii="Times New Roman" w:hAnsi="Times New Roman" w:cs="Times New Roman"/>
                <w:color w:val="auto"/>
                <w:u w:val="single"/>
              </w:rPr>
              <w:t>宣威</w:t>
            </w:r>
            <w:r>
              <w:rPr>
                <w:rFonts w:hint="eastAsia" w:ascii="Times New Roman" w:hAnsi="Times New Roman" w:cs="Times New Roman"/>
                <w:color w:val="auto"/>
                <w:u w:val="none"/>
                <w:lang w:val="en-US" w:eastAsia="zh-CN"/>
              </w:rPr>
              <w:t>市</w:t>
            </w:r>
            <w:r>
              <w:rPr>
                <w:rFonts w:hint="default" w:ascii="Times New Roman" w:hAnsi="Times New Roman" w:cs="Times New Roman"/>
                <w:color w:val="auto"/>
                <w:u w:val="single"/>
                <w:lang w:val="en-US" w:eastAsia="zh-CN"/>
              </w:rPr>
              <w:t>热水</w:t>
            </w:r>
            <w:r>
              <w:rPr>
                <w:rFonts w:hint="default" w:ascii="Times New Roman" w:hAnsi="Times New Roman" w:cs="Times New Roman"/>
                <w:color w:val="auto"/>
                <w:u w:val="none"/>
                <w:lang w:val="en-US" w:eastAsia="zh-CN"/>
              </w:rPr>
              <w:t>镇</w:t>
            </w:r>
          </w:p>
        </w:tc>
      </w:tr>
      <w:tr w14:paraId="7CF369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56762B5F">
            <w:pPr>
              <w:pStyle w:val="18"/>
              <w:bidi w:val="0"/>
              <w:rPr>
                <w:rFonts w:hint="default" w:ascii="Times New Roman" w:hAnsi="Times New Roman" w:cs="Times New Roman"/>
                <w:color w:val="auto"/>
              </w:rPr>
            </w:pPr>
            <w:r>
              <w:rPr>
                <w:rFonts w:hint="default" w:ascii="Times New Roman" w:hAnsi="Times New Roman" w:cs="Times New Roman"/>
                <w:color w:val="auto"/>
              </w:rPr>
              <w:t>地理坐标</w:t>
            </w:r>
          </w:p>
        </w:tc>
        <w:tc>
          <w:tcPr>
            <w:tcW w:w="7699" w:type="dxa"/>
            <w:gridSpan w:val="3"/>
            <w:noWrap w:val="0"/>
            <w:vAlign w:val="center"/>
          </w:tcPr>
          <w:p w14:paraId="031DC1A4">
            <w:pPr>
              <w:pStyle w:val="18"/>
              <w:bidi w:val="0"/>
              <w:spacing w:line="240" w:lineRule="auto"/>
              <w:rPr>
                <w:rFonts w:hint="default" w:ascii="Times New Roman" w:hAnsi="Times New Roman" w:cs="Times New Roman"/>
                <w:color w:val="auto"/>
                <w:lang w:val="en-US"/>
              </w:rPr>
            </w:pPr>
            <w:r>
              <w:rPr>
                <w:rStyle w:val="24"/>
                <w:rFonts w:hint="default" w:ascii="Times New Roman" w:hAnsi="Times New Roman" w:eastAsia="宋体" w:cs="Times New Roman"/>
                <w:caps w:val="0"/>
                <w:color w:val="auto"/>
                <w:sz w:val="24"/>
                <w:szCs w:val="24"/>
                <w:u w:val="none"/>
                <w:vertAlign w:val="baseline"/>
              </w:rPr>
              <w:t>XZB01</w:t>
            </w:r>
            <w:r>
              <w:rPr>
                <w:rStyle w:val="24"/>
                <w:rFonts w:hint="default" w:ascii="Times New Roman" w:hAnsi="Times New Roman" w:cs="Times New Roman"/>
                <w:caps w:val="0"/>
                <w:color w:val="auto"/>
                <w:sz w:val="24"/>
                <w:szCs w:val="24"/>
                <w:u w:val="none"/>
                <w:vertAlign w:val="baseline"/>
                <w:lang w:val="en-US" w:eastAsia="zh-CN"/>
              </w:rPr>
              <w:t>风机中心点坐标：</w:t>
            </w:r>
            <w:r>
              <w:rPr>
                <w:rFonts w:hint="default" w:ascii="Times New Roman" w:hAnsi="Times New Roman" w:eastAsia="宋体" w:cs="Times New Roman"/>
                <w:caps w:val="0"/>
                <w:color w:val="auto"/>
                <w:sz w:val="24"/>
                <w:highlight w:val="none"/>
                <w:u w:val="single"/>
              </w:rPr>
              <w:t>103°43′44.109″E</w:t>
            </w:r>
            <w:r>
              <w:rPr>
                <w:rFonts w:hint="default" w:ascii="Times New Roman" w:hAnsi="Times New Roman" w:eastAsia="宋体" w:cs="Times New Roman"/>
                <w:caps w:val="0"/>
                <w:color w:val="auto"/>
                <w:sz w:val="24"/>
                <w:highlight w:val="none"/>
                <w:u w:val="single"/>
                <w:lang w:eastAsia="zh-CN"/>
              </w:rPr>
              <w:t>，</w:t>
            </w:r>
            <w:r>
              <w:rPr>
                <w:rFonts w:hint="default" w:ascii="Times New Roman" w:hAnsi="Times New Roman" w:eastAsia="宋体" w:cs="Times New Roman"/>
                <w:caps w:val="0"/>
                <w:color w:val="auto"/>
                <w:sz w:val="24"/>
                <w:highlight w:val="none"/>
                <w:u w:val="single"/>
              </w:rPr>
              <w:t>25°58′22.767″N</w:t>
            </w:r>
          </w:p>
          <w:p w14:paraId="5AFB8EEF">
            <w:pPr>
              <w:pStyle w:val="18"/>
              <w:bidi w:val="0"/>
              <w:spacing w:line="240" w:lineRule="auto"/>
              <w:rPr>
                <w:rFonts w:hint="default" w:ascii="Times New Roman" w:hAnsi="Times New Roman" w:cs="Times New Roman"/>
                <w:color w:val="auto"/>
                <w:lang w:val="en-US"/>
              </w:rPr>
            </w:pPr>
            <w:r>
              <w:rPr>
                <w:rStyle w:val="24"/>
                <w:rFonts w:hint="default" w:ascii="Times New Roman" w:hAnsi="Times New Roman" w:eastAsia="宋体" w:cs="Times New Roman"/>
                <w:caps w:val="0"/>
                <w:color w:val="auto"/>
                <w:sz w:val="24"/>
                <w:szCs w:val="24"/>
                <w:u w:val="none"/>
                <w:vertAlign w:val="baseline"/>
              </w:rPr>
              <w:t>XZB0</w:t>
            </w:r>
            <w:r>
              <w:rPr>
                <w:rStyle w:val="24"/>
                <w:rFonts w:hint="default" w:ascii="Times New Roman" w:hAnsi="Times New Roman" w:eastAsia="宋体" w:cs="Times New Roman"/>
                <w:caps w:val="0"/>
                <w:color w:val="auto"/>
                <w:sz w:val="24"/>
                <w:szCs w:val="24"/>
                <w:u w:val="none"/>
                <w:vertAlign w:val="baseline"/>
                <w:lang w:val="en-US" w:eastAsia="zh-CN"/>
              </w:rPr>
              <w:t>2</w:t>
            </w:r>
            <w:r>
              <w:rPr>
                <w:rStyle w:val="24"/>
                <w:rFonts w:hint="default" w:ascii="Times New Roman" w:hAnsi="Times New Roman" w:cs="Times New Roman"/>
                <w:caps w:val="0"/>
                <w:color w:val="auto"/>
                <w:sz w:val="24"/>
                <w:szCs w:val="24"/>
                <w:u w:val="none"/>
                <w:vertAlign w:val="baseline"/>
                <w:lang w:val="en-US" w:eastAsia="zh-CN"/>
              </w:rPr>
              <w:t>风机中心点坐标：</w:t>
            </w:r>
            <w:r>
              <w:rPr>
                <w:rFonts w:hint="default" w:ascii="Times New Roman" w:hAnsi="Times New Roman" w:eastAsia="宋体" w:cs="Times New Roman"/>
                <w:caps w:val="0"/>
                <w:color w:val="auto"/>
                <w:sz w:val="24"/>
                <w:highlight w:val="none"/>
                <w:u w:val="single"/>
              </w:rPr>
              <w:t>103°43′53.347″E</w:t>
            </w:r>
            <w:r>
              <w:rPr>
                <w:rFonts w:hint="default" w:ascii="Times New Roman" w:hAnsi="Times New Roman" w:eastAsia="宋体" w:cs="Times New Roman"/>
                <w:caps w:val="0"/>
                <w:color w:val="auto"/>
                <w:sz w:val="24"/>
                <w:highlight w:val="none"/>
                <w:u w:val="single"/>
                <w:lang w:eastAsia="zh-CN"/>
              </w:rPr>
              <w:t>，</w:t>
            </w:r>
            <w:r>
              <w:rPr>
                <w:rFonts w:hint="default" w:ascii="Times New Roman" w:hAnsi="Times New Roman" w:eastAsia="宋体" w:cs="Times New Roman"/>
                <w:caps w:val="0"/>
                <w:color w:val="auto"/>
                <w:sz w:val="24"/>
                <w:highlight w:val="none"/>
                <w:u w:val="single"/>
              </w:rPr>
              <w:t>25°58′15.274″N</w:t>
            </w:r>
          </w:p>
          <w:p w14:paraId="6AB903F9">
            <w:pPr>
              <w:pStyle w:val="18"/>
              <w:bidi w:val="0"/>
              <w:spacing w:line="240" w:lineRule="auto"/>
              <w:rPr>
                <w:rFonts w:hint="default" w:ascii="Times New Roman" w:hAnsi="Times New Roman" w:cs="Times New Roman"/>
                <w:color w:val="auto"/>
                <w:lang w:val="en-US"/>
              </w:rPr>
            </w:pPr>
            <w:r>
              <w:rPr>
                <w:rStyle w:val="24"/>
                <w:rFonts w:hint="default" w:ascii="Times New Roman" w:hAnsi="Times New Roman" w:eastAsia="宋体" w:cs="Times New Roman"/>
                <w:caps w:val="0"/>
                <w:color w:val="auto"/>
                <w:sz w:val="24"/>
                <w:szCs w:val="24"/>
                <w:u w:val="none"/>
                <w:vertAlign w:val="baseline"/>
              </w:rPr>
              <w:t>XZB0</w:t>
            </w:r>
            <w:r>
              <w:rPr>
                <w:rStyle w:val="24"/>
                <w:rFonts w:hint="default" w:ascii="Times New Roman" w:hAnsi="Times New Roman" w:eastAsia="宋体" w:cs="Times New Roman"/>
                <w:caps w:val="0"/>
                <w:color w:val="auto"/>
                <w:sz w:val="24"/>
                <w:szCs w:val="24"/>
                <w:u w:val="none"/>
                <w:vertAlign w:val="baseline"/>
                <w:lang w:val="en-US" w:eastAsia="zh-CN"/>
              </w:rPr>
              <w:t>4</w:t>
            </w:r>
            <w:r>
              <w:rPr>
                <w:rStyle w:val="24"/>
                <w:rFonts w:hint="default" w:ascii="Times New Roman" w:hAnsi="Times New Roman" w:cs="Times New Roman"/>
                <w:caps w:val="0"/>
                <w:color w:val="auto"/>
                <w:sz w:val="24"/>
                <w:szCs w:val="24"/>
                <w:u w:val="none"/>
                <w:vertAlign w:val="baseline"/>
                <w:lang w:val="en-US" w:eastAsia="zh-CN"/>
              </w:rPr>
              <w:t>风机中心点坐标：</w:t>
            </w:r>
            <w:r>
              <w:rPr>
                <w:rFonts w:hint="default" w:ascii="Times New Roman" w:hAnsi="Times New Roman" w:eastAsia="宋体" w:cs="Times New Roman"/>
                <w:caps w:val="0"/>
                <w:color w:val="auto"/>
                <w:sz w:val="24"/>
                <w:highlight w:val="none"/>
                <w:u w:val="single"/>
              </w:rPr>
              <w:t>103°44′4.772″E</w:t>
            </w:r>
            <w:r>
              <w:rPr>
                <w:rFonts w:hint="default" w:ascii="Times New Roman" w:hAnsi="Times New Roman" w:eastAsia="宋体" w:cs="Times New Roman"/>
                <w:caps w:val="0"/>
                <w:color w:val="auto"/>
                <w:sz w:val="24"/>
                <w:highlight w:val="none"/>
                <w:u w:val="single"/>
                <w:lang w:eastAsia="zh-CN"/>
              </w:rPr>
              <w:t>，</w:t>
            </w:r>
            <w:r>
              <w:rPr>
                <w:rFonts w:hint="default" w:ascii="Times New Roman" w:hAnsi="Times New Roman" w:eastAsia="宋体" w:cs="Times New Roman"/>
                <w:caps w:val="0"/>
                <w:color w:val="auto"/>
                <w:sz w:val="24"/>
                <w:highlight w:val="none"/>
                <w:u w:val="single"/>
              </w:rPr>
              <w:t>25°58′6.551″N</w:t>
            </w:r>
          </w:p>
          <w:p w14:paraId="201CBDE7">
            <w:pPr>
              <w:pStyle w:val="18"/>
              <w:bidi w:val="0"/>
              <w:spacing w:line="240" w:lineRule="auto"/>
              <w:rPr>
                <w:rFonts w:hint="default" w:ascii="Times New Roman" w:hAnsi="Times New Roman" w:cs="Times New Roman"/>
                <w:color w:val="auto"/>
                <w:lang w:val="en-US"/>
              </w:rPr>
            </w:pPr>
            <w:r>
              <w:rPr>
                <w:rStyle w:val="24"/>
                <w:rFonts w:hint="default" w:ascii="Times New Roman" w:hAnsi="Times New Roman" w:eastAsia="宋体" w:cs="Times New Roman"/>
                <w:caps w:val="0"/>
                <w:color w:val="auto"/>
                <w:sz w:val="24"/>
                <w:szCs w:val="24"/>
                <w:u w:val="none"/>
                <w:vertAlign w:val="baseline"/>
              </w:rPr>
              <w:t>XZB</w:t>
            </w:r>
            <w:r>
              <w:rPr>
                <w:rStyle w:val="24"/>
                <w:rFonts w:hint="default" w:ascii="Times New Roman" w:hAnsi="Times New Roman" w:eastAsia="宋体" w:cs="Times New Roman"/>
                <w:caps w:val="0"/>
                <w:color w:val="auto"/>
                <w:sz w:val="24"/>
                <w:szCs w:val="24"/>
                <w:u w:val="none"/>
                <w:vertAlign w:val="baseline"/>
                <w:lang w:val="en-US" w:eastAsia="zh-CN"/>
              </w:rPr>
              <w:t>16</w:t>
            </w:r>
            <w:r>
              <w:rPr>
                <w:rStyle w:val="24"/>
                <w:rFonts w:hint="default" w:ascii="Times New Roman" w:hAnsi="Times New Roman" w:cs="Times New Roman"/>
                <w:caps w:val="0"/>
                <w:color w:val="auto"/>
                <w:sz w:val="24"/>
                <w:szCs w:val="24"/>
                <w:u w:val="none"/>
                <w:vertAlign w:val="baseline"/>
                <w:lang w:val="en-US" w:eastAsia="zh-CN"/>
              </w:rPr>
              <w:t>风机中心点坐标：</w:t>
            </w:r>
            <w:r>
              <w:rPr>
                <w:rFonts w:hint="default" w:ascii="Times New Roman" w:hAnsi="Times New Roman" w:eastAsia="宋体" w:cs="Times New Roman"/>
                <w:caps w:val="0"/>
                <w:color w:val="auto"/>
                <w:sz w:val="24"/>
                <w:highlight w:val="none"/>
                <w:u w:val="single"/>
              </w:rPr>
              <w:t>103°45′47.516″E</w:t>
            </w:r>
            <w:r>
              <w:rPr>
                <w:rFonts w:hint="default" w:ascii="Times New Roman" w:hAnsi="Times New Roman" w:eastAsia="宋体" w:cs="Times New Roman"/>
                <w:caps w:val="0"/>
                <w:color w:val="auto"/>
                <w:sz w:val="24"/>
                <w:highlight w:val="none"/>
                <w:u w:val="single"/>
                <w:lang w:eastAsia="zh-CN"/>
              </w:rPr>
              <w:t>，</w:t>
            </w:r>
            <w:r>
              <w:rPr>
                <w:rFonts w:hint="default" w:ascii="Times New Roman" w:hAnsi="Times New Roman" w:eastAsia="宋体" w:cs="Times New Roman"/>
                <w:caps w:val="0"/>
                <w:color w:val="auto"/>
                <w:sz w:val="24"/>
                <w:highlight w:val="none"/>
                <w:u w:val="single"/>
              </w:rPr>
              <w:t>25°57′5.074″N</w:t>
            </w:r>
          </w:p>
          <w:p w14:paraId="2BFB1E86">
            <w:pPr>
              <w:pStyle w:val="18"/>
              <w:bidi w:val="0"/>
              <w:spacing w:line="240" w:lineRule="auto"/>
              <w:rPr>
                <w:rFonts w:hint="default" w:ascii="Times New Roman" w:hAnsi="Times New Roman" w:eastAsia="宋体" w:cs="Times New Roman"/>
                <w:color w:val="auto"/>
                <w:lang w:val="en-US" w:eastAsia="zh-CN"/>
              </w:rPr>
            </w:pPr>
            <w:r>
              <w:rPr>
                <w:rFonts w:hint="default" w:ascii="Times New Roman" w:hAnsi="Times New Roman" w:cs="Times New Roman"/>
                <w:color w:val="auto"/>
                <w:lang w:val="en-US" w:eastAsia="zh-CN"/>
              </w:rPr>
              <w:t>西泽风电场升压站中心点坐标：</w:t>
            </w:r>
            <w:r>
              <w:rPr>
                <w:rFonts w:hint="default" w:ascii="Times New Roman" w:hAnsi="Times New Roman" w:eastAsia="宋体" w:cs="Times New Roman"/>
                <w:caps w:val="0"/>
                <w:color w:val="auto"/>
                <w:sz w:val="24"/>
                <w:highlight w:val="none"/>
                <w:u w:val="single"/>
              </w:rPr>
              <w:t>103°45′26.771″E</w:t>
            </w:r>
            <w:r>
              <w:rPr>
                <w:rFonts w:hint="default" w:ascii="Times New Roman" w:hAnsi="Times New Roman" w:eastAsia="宋体" w:cs="Times New Roman"/>
                <w:caps w:val="0"/>
                <w:color w:val="auto"/>
                <w:sz w:val="24"/>
                <w:highlight w:val="none"/>
                <w:u w:val="single"/>
                <w:lang w:eastAsia="zh-CN"/>
              </w:rPr>
              <w:t>，</w:t>
            </w:r>
            <w:r>
              <w:rPr>
                <w:rFonts w:hint="default" w:ascii="Times New Roman" w:hAnsi="Times New Roman" w:eastAsia="宋体" w:cs="Times New Roman"/>
                <w:caps w:val="0"/>
                <w:color w:val="auto"/>
                <w:sz w:val="24"/>
                <w:highlight w:val="none"/>
                <w:u w:val="single"/>
              </w:rPr>
              <w:t>26°3′3.460″N</w:t>
            </w:r>
          </w:p>
        </w:tc>
      </w:tr>
      <w:tr w14:paraId="314F41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741C61BB">
            <w:pPr>
              <w:pStyle w:val="18"/>
              <w:bidi w:val="0"/>
              <w:rPr>
                <w:rFonts w:hint="default" w:ascii="Times New Roman" w:hAnsi="Times New Roman" w:cs="Times New Roman"/>
                <w:color w:val="auto"/>
              </w:rPr>
            </w:pPr>
            <w:r>
              <w:rPr>
                <w:rFonts w:hint="default" w:ascii="Times New Roman" w:hAnsi="Times New Roman" w:cs="Times New Roman"/>
                <w:color w:val="auto"/>
              </w:rPr>
              <w:t>建设项目</w:t>
            </w:r>
          </w:p>
          <w:p w14:paraId="324EE043">
            <w:pPr>
              <w:pStyle w:val="18"/>
              <w:bidi w:val="0"/>
              <w:rPr>
                <w:rFonts w:hint="default" w:ascii="Times New Roman" w:hAnsi="Times New Roman" w:cs="Times New Roman"/>
                <w:color w:val="auto"/>
              </w:rPr>
            </w:pPr>
            <w:r>
              <w:rPr>
                <w:rFonts w:hint="default" w:ascii="Times New Roman" w:hAnsi="Times New Roman" w:cs="Times New Roman"/>
                <w:color w:val="auto"/>
              </w:rPr>
              <w:t>行业类别</w:t>
            </w:r>
          </w:p>
        </w:tc>
        <w:tc>
          <w:tcPr>
            <w:tcW w:w="2730" w:type="dxa"/>
            <w:noWrap w:val="0"/>
            <w:vAlign w:val="center"/>
          </w:tcPr>
          <w:p w14:paraId="0DA9C99E">
            <w:pPr>
              <w:pStyle w:val="18"/>
              <w:bidi w:val="0"/>
              <w:rPr>
                <w:rFonts w:hint="default" w:ascii="Times New Roman" w:hAnsi="Times New Roman" w:cs="Times New Roman"/>
                <w:color w:val="auto"/>
              </w:rPr>
            </w:pPr>
            <w:r>
              <w:rPr>
                <w:rFonts w:hint="default" w:ascii="Times New Roman" w:hAnsi="Times New Roman" w:cs="Times New Roman"/>
                <w:color w:val="auto"/>
              </w:rPr>
              <w:t>四十一、电力、热力生产和供应业；90陆上风力发电</w:t>
            </w:r>
          </w:p>
        </w:tc>
        <w:tc>
          <w:tcPr>
            <w:tcW w:w="2074" w:type="dxa"/>
            <w:noWrap w:val="0"/>
            <w:vAlign w:val="center"/>
          </w:tcPr>
          <w:p w14:paraId="1FD976AE">
            <w:pPr>
              <w:pStyle w:val="18"/>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用地（用海）面积</w:t>
            </w:r>
          </w:p>
          <w:p w14:paraId="04586C11">
            <w:pPr>
              <w:pStyle w:val="18"/>
              <w:bidi w:val="0"/>
              <w:rPr>
                <w:rFonts w:hint="default" w:ascii="Times New Roman" w:hAnsi="Times New Roman" w:cs="Times New Roman"/>
                <w:color w:val="auto"/>
              </w:rPr>
            </w:pPr>
            <w:r>
              <w:rPr>
                <w:rFonts w:hint="default" w:ascii="Times New Roman" w:hAnsi="Times New Roman" w:cs="Times New Roman"/>
                <w:color w:val="auto"/>
                <w:highlight w:val="none"/>
              </w:rPr>
              <w:t>（</w:t>
            </w:r>
            <w:r>
              <w:rPr>
                <w:rFonts w:hint="default" w:ascii="Times New Roman" w:hAnsi="Times New Roman" w:cs="Times New Roman"/>
                <w:color w:val="auto"/>
                <w:highlight w:val="none"/>
                <w:lang w:val="en-US" w:eastAsia="zh-CN"/>
              </w:rPr>
              <w:t>h</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2</w:t>
            </w:r>
            <w:r>
              <w:rPr>
                <w:rFonts w:hint="default" w:ascii="Times New Roman" w:hAnsi="Times New Roman" w:cs="Times New Roman"/>
                <w:color w:val="auto"/>
                <w:highlight w:val="none"/>
              </w:rPr>
              <w:t>）</w:t>
            </w:r>
          </w:p>
        </w:tc>
        <w:tc>
          <w:tcPr>
            <w:tcW w:w="2895" w:type="dxa"/>
            <w:noWrap w:val="0"/>
            <w:vAlign w:val="center"/>
          </w:tcPr>
          <w:p w14:paraId="14CD469F">
            <w:pPr>
              <w:pStyle w:val="18"/>
              <w:bidi w:val="0"/>
              <w:rPr>
                <w:rFonts w:hint="default" w:ascii="Times New Roman" w:hAnsi="Times New Roman" w:cs="Times New Roman"/>
                <w:color w:val="auto"/>
                <w:lang w:val="en-US" w:eastAsia="zh-CN"/>
              </w:rPr>
            </w:pPr>
            <w:r>
              <w:rPr>
                <w:rFonts w:hint="eastAsia" w:ascii="Times New Roman" w:hAnsi="Times New Roman" w:cs="Times New Roman"/>
                <w:color w:val="auto"/>
                <w:highlight w:val="none"/>
                <w:lang w:val="en-US" w:eastAsia="zh-CN"/>
              </w:rPr>
              <w:t>2.9347</w:t>
            </w:r>
          </w:p>
        </w:tc>
      </w:tr>
      <w:tr w14:paraId="336AB2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1499DF12">
            <w:pPr>
              <w:pStyle w:val="18"/>
              <w:bidi w:val="0"/>
              <w:rPr>
                <w:rFonts w:hint="default" w:ascii="Times New Roman" w:hAnsi="Times New Roman" w:cs="Times New Roman"/>
                <w:color w:val="auto"/>
              </w:rPr>
            </w:pPr>
            <w:r>
              <w:rPr>
                <w:rFonts w:hint="default" w:ascii="Times New Roman" w:hAnsi="Times New Roman" w:cs="Times New Roman"/>
                <w:color w:val="auto"/>
              </w:rPr>
              <w:t>建设性质</w:t>
            </w:r>
          </w:p>
        </w:tc>
        <w:tc>
          <w:tcPr>
            <w:tcW w:w="2730" w:type="dxa"/>
            <w:noWrap w:val="0"/>
            <w:vAlign w:val="center"/>
          </w:tcPr>
          <w:p w14:paraId="2D59C8E0">
            <w:pPr>
              <w:pStyle w:val="18"/>
              <w:bidi w:val="0"/>
              <w:rPr>
                <w:rFonts w:hint="default" w:ascii="Times New Roman" w:hAnsi="Times New Roman" w:cs="Times New Roman"/>
                <w:color w:val="auto"/>
              </w:rPr>
            </w:pPr>
            <w:r>
              <w:rPr>
                <w:rFonts w:hint="default" w:ascii="Times New Roman" w:hAnsi="Times New Roman" w:cs="Times New Roman"/>
                <w:color w:val="auto"/>
              </w:rPr>
              <w:sym w:font="Wingdings" w:char="00A8"/>
            </w:r>
            <w:r>
              <w:rPr>
                <w:rFonts w:hint="default" w:ascii="Times New Roman" w:hAnsi="Times New Roman" w:cs="Times New Roman"/>
                <w:color w:val="auto"/>
              </w:rPr>
              <w:t>新建（迁建）</w:t>
            </w:r>
          </w:p>
          <w:p w14:paraId="62719886">
            <w:pPr>
              <w:pStyle w:val="18"/>
              <w:bidi w:val="0"/>
              <w:rPr>
                <w:rFonts w:hint="default" w:ascii="Times New Roman" w:hAnsi="Times New Roman" w:cs="Times New Roman"/>
                <w:color w:val="auto"/>
              </w:rPr>
            </w:pPr>
            <w:r>
              <w:rPr>
                <w:rFonts w:hint="default" w:ascii="Times New Roman" w:hAnsi="Times New Roman" w:cs="Times New Roman"/>
                <w:color w:val="auto"/>
              </w:rPr>
              <w:t>□改建</w:t>
            </w:r>
          </w:p>
          <w:p w14:paraId="24EFBAC4">
            <w:pPr>
              <w:pStyle w:val="18"/>
              <w:bidi w:val="0"/>
              <w:rPr>
                <w:rFonts w:hint="default" w:ascii="Times New Roman" w:hAnsi="Times New Roman" w:cs="Times New Roman"/>
                <w:color w:val="auto"/>
              </w:rPr>
            </w:pPr>
            <w:r>
              <w:rPr>
                <w:rFonts w:hint="eastAsia" w:ascii="Times New Roman" w:hAnsi="Times New Roman" w:cs="Times New Roman"/>
                <w:color w:val="auto"/>
                <w:lang w:eastAsia="zh-CN"/>
              </w:rPr>
              <w:t>☑</w:t>
            </w:r>
            <w:r>
              <w:rPr>
                <w:rFonts w:hint="default" w:ascii="Times New Roman" w:hAnsi="Times New Roman" w:cs="Times New Roman"/>
                <w:color w:val="auto"/>
              </w:rPr>
              <w:t>扩建</w:t>
            </w:r>
          </w:p>
          <w:p w14:paraId="1953E22C">
            <w:pPr>
              <w:pStyle w:val="18"/>
              <w:bidi w:val="0"/>
              <w:rPr>
                <w:rFonts w:hint="default" w:ascii="Times New Roman" w:hAnsi="Times New Roman" w:cs="Times New Roman"/>
                <w:color w:val="auto"/>
              </w:rPr>
            </w:pPr>
            <w:r>
              <w:rPr>
                <w:rFonts w:hint="default" w:ascii="Times New Roman" w:hAnsi="Times New Roman" w:cs="Times New Roman"/>
                <w:color w:val="auto"/>
              </w:rPr>
              <w:t>□技术改造</w:t>
            </w:r>
          </w:p>
        </w:tc>
        <w:tc>
          <w:tcPr>
            <w:tcW w:w="2074" w:type="dxa"/>
            <w:noWrap w:val="0"/>
            <w:vAlign w:val="center"/>
          </w:tcPr>
          <w:p w14:paraId="0D952E6A">
            <w:pPr>
              <w:pStyle w:val="18"/>
              <w:bidi w:val="0"/>
              <w:rPr>
                <w:rFonts w:hint="default" w:ascii="Times New Roman" w:hAnsi="Times New Roman" w:cs="Times New Roman"/>
                <w:color w:val="auto"/>
              </w:rPr>
            </w:pPr>
            <w:r>
              <w:rPr>
                <w:rFonts w:hint="default" w:ascii="Times New Roman" w:hAnsi="Times New Roman" w:cs="Times New Roman"/>
                <w:color w:val="auto"/>
              </w:rPr>
              <w:t>建设项目</w:t>
            </w:r>
          </w:p>
          <w:p w14:paraId="2F59AE1D">
            <w:pPr>
              <w:pStyle w:val="18"/>
              <w:bidi w:val="0"/>
              <w:rPr>
                <w:rFonts w:hint="default" w:ascii="Times New Roman" w:hAnsi="Times New Roman" w:cs="Times New Roman"/>
                <w:color w:val="auto"/>
              </w:rPr>
            </w:pPr>
            <w:r>
              <w:rPr>
                <w:rFonts w:hint="default" w:ascii="Times New Roman" w:hAnsi="Times New Roman" w:cs="Times New Roman"/>
                <w:color w:val="auto"/>
              </w:rPr>
              <w:t>申报情形</w:t>
            </w:r>
          </w:p>
        </w:tc>
        <w:tc>
          <w:tcPr>
            <w:tcW w:w="2895" w:type="dxa"/>
            <w:noWrap w:val="0"/>
            <w:vAlign w:val="center"/>
          </w:tcPr>
          <w:p w14:paraId="109DABB5">
            <w:pPr>
              <w:pStyle w:val="18"/>
              <w:bidi w:val="0"/>
              <w:rPr>
                <w:rFonts w:hint="default" w:ascii="Times New Roman" w:hAnsi="Times New Roman" w:cs="Times New Roman"/>
                <w:color w:val="auto"/>
              </w:rPr>
            </w:pPr>
            <w:r>
              <w:rPr>
                <w:rFonts w:hint="default" w:ascii="Times New Roman" w:hAnsi="Times New Roman" w:cs="Times New Roman"/>
                <w:color w:val="auto"/>
              </w:rPr>
              <w:sym w:font="Wingdings" w:char="00FE"/>
            </w:r>
            <w:r>
              <w:rPr>
                <w:rFonts w:hint="default" w:ascii="Times New Roman" w:hAnsi="Times New Roman" w:cs="Times New Roman"/>
                <w:color w:val="auto"/>
              </w:rPr>
              <w:t>首次申报项目</w:t>
            </w:r>
          </w:p>
          <w:p w14:paraId="3E5BCF79">
            <w:pPr>
              <w:pStyle w:val="18"/>
              <w:bidi w:val="0"/>
              <w:rPr>
                <w:rFonts w:hint="default" w:ascii="Times New Roman" w:hAnsi="Times New Roman" w:cs="Times New Roman"/>
                <w:color w:val="auto"/>
              </w:rPr>
            </w:pPr>
            <w:r>
              <w:rPr>
                <w:rFonts w:hint="default" w:ascii="Times New Roman" w:hAnsi="Times New Roman" w:cs="Times New Roman"/>
                <w:color w:val="auto"/>
              </w:rPr>
              <w:t>□不予批准后再次申报项目</w:t>
            </w:r>
          </w:p>
          <w:p w14:paraId="601ED2DE">
            <w:pPr>
              <w:pStyle w:val="18"/>
              <w:bidi w:val="0"/>
              <w:rPr>
                <w:rFonts w:hint="default" w:ascii="Times New Roman" w:hAnsi="Times New Roman" w:cs="Times New Roman"/>
                <w:color w:val="auto"/>
              </w:rPr>
            </w:pPr>
            <w:r>
              <w:rPr>
                <w:rFonts w:hint="default" w:ascii="Times New Roman" w:hAnsi="Times New Roman" w:cs="Times New Roman"/>
                <w:color w:val="auto"/>
              </w:rPr>
              <w:t>□超五年重新审核项目</w:t>
            </w:r>
          </w:p>
          <w:p w14:paraId="307C44F2">
            <w:pPr>
              <w:pStyle w:val="18"/>
              <w:bidi w:val="0"/>
              <w:rPr>
                <w:rFonts w:hint="default" w:ascii="Times New Roman" w:hAnsi="Times New Roman" w:cs="Times New Roman"/>
                <w:color w:val="auto"/>
              </w:rPr>
            </w:pPr>
            <w:r>
              <w:rPr>
                <w:rFonts w:hint="default" w:ascii="Times New Roman" w:hAnsi="Times New Roman" w:cs="Times New Roman"/>
                <w:color w:val="auto"/>
              </w:rPr>
              <w:t>□重大变动重新报批项目</w:t>
            </w:r>
          </w:p>
        </w:tc>
      </w:tr>
      <w:tr w14:paraId="483E81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29F1285A">
            <w:pPr>
              <w:pStyle w:val="18"/>
              <w:bidi w:val="0"/>
              <w:rPr>
                <w:rFonts w:hint="default" w:ascii="Times New Roman" w:hAnsi="Times New Roman" w:cs="Times New Roman"/>
                <w:color w:val="auto"/>
              </w:rPr>
            </w:pPr>
            <w:r>
              <w:rPr>
                <w:rFonts w:hint="default" w:ascii="Times New Roman" w:hAnsi="Times New Roman" w:cs="Times New Roman"/>
                <w:color w:val="auto"/>
              </w:rPr>
              <w:t>项目审批（核准/</w:t>
            </w:r>
          </w:p>
          <w:p w14:paraId="5E534B93">
            <w:pPr>
              <w:pStyle w:val="18"/>
              <w:bidi w:val="0"/>
              <w:rPr>
                <w:rFonts w:hint="default" w:ascii="Times New Roman" w:hAnsi="Times New Roman" w:cs="Times New Roman"/>
                <w:color w:val="auto"/>
              </w:rPr>
            </w:pPr>
            <w:r>
              <w:rPr>
                <w:rFonts w:hint="default" w:ascii="Times New Roman" w:hAnsi="Times New Roman" w:cs="Times New Roman"/>
                <w:color w:val="auto"/>
              </w:rPr>
              <w:t>备案）部门（选填）</w:t>
            </w:r>
          </w:p>
        </w:tc>
        <w:tc>
          <w:tcPr>
            <w:tcW w:w="2730" w:type="dxa"/>
            <w:noWrap w:val="0"/>
            <w:vAlign w:val="center"/>
          </w:tcPr>
          <w:p w14:paraId="2CFF4138">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云南省发展和改革委员会</w:t>
            </w:r>
          </w:p>
        </w:tc>
        <w:tc>
          <w:tcPr>
            <w:tcW w:w="2074" w:type="dxa"/>
            <w:noWrap w:val="0"/>
            <w:vAlign w:val="center"/>
          </w:tcPr>
          <w:p w14:paraId="4943F166">
            <w:pPr>
              <w:pStyle w:val="18"/>
              <w:bidi w:val="0"/>
              <w:rPr>
                <w:rFonts w:hint="default" w:ascii="Times New Roman" w:hAnsi="Times New Roman" w:cs="Times New Roman"/>
                <w:color w:val="auto"/>
              </w:rPr>
            </w:pPr>
            <w:r>
              <w:rPr>
                <w:rFonts w:hint="default" w:ascii="Times New Roman" w:hAnsi="Times New Roman" w:cs="Times New Roman"/>
                <w:color w:val="auto"/>
              </w:rPr>
              <w:t>项目审批（核准/</w:t>
            </w:r>
          </w:p>
          <w:p w14:paraId="0253D5E0">
            <w:pPr>
              <w:pStyle w:val="18"/>
              <w:bidi w:val="0"/>
              <w:rPr>
                <w:rFonts w:hint="default" w:ascii="Times New Roman" w:hAnsi="Times New Roman" w:cs="Times New Roman"/>
                <w:color w:val="auto"/>
              </w:rPr>
            </w:pPr>
            <w:r>
              <w:rPr>
                <w:rFonts w:hint="default" w:ascii="Times New Roman" w:hAnsi="Times New Roman" w:cs="Times New Roman"/>
                <w:color w:val="auto"/>
              </w:rPr>
              <w:t>备案）文号（选填）</w:t>
            </w:r>
          </w:p>
        </w:tc>
        <w:tc>
          <w:tcPr>
            <w:tcW w:w="2895" w:type="dxa"/>
            <w:noWrap w:val="0"/>
            <w:vAlign w:val="center"/>
          </w:tcPr>
          <w:p w14:paraId="407480A3">
            <w:pPr>
              <w:pStyle w:val="18"/>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2503-530381-04-01-849416</w:t>
            </w:r>
          </w:p>
        </w:tc>
      </w:tr>
      <w:tr w14:paraId="72CDF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4BF8038D">
            <w:pPr>
              <w:pStyle w:val="18"/>
              <w:bidi w:val="0"/>
              <w:rPr>
                <w:rFonts w:hint="default" w:ascii="Times New Roman" w:hAnsi="Times New Roman" w:cs="Times New Roman"/>
                <w:color w:val="auto"/>
              </w:rPr>
            </w:pPr>
            <w:r>
              <w:rPr>
                <w:rFonts w:hint="default" w:ascii="Times New Roman" w:hAnsi="Times New Roman" w:cs="Times New Roman"/>
                <w:color w:val="auto"/>
              </w:rPr>
              <w:t>总投资（万元）</w:t>
            </w:r>
          </w:p>
        </w:tc>
        <w:tc>
          <w:tcPr>
            <w:tcW w:w="2730" w:type="dxa"/>
            <w:noWrap w:val="0"/>
            <w:vAlign w:val="center"/>
          </w:tcPr>
          <w:p w14:paraId="130DECD8">
            <w:pPr>
              <w:pStyle w:val="18"/>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13576.51</w:t>
            </w:r>
          </w:p>
        </w:tc>
        <w:tc>
          <w:tcPr>
            <w:tcW w:w="2074" w:type="dxa"/>
            <w:noWrap w:val="0"/>
            <w:tcMar>
              <w:top w:w="16" w:type="dxa"/>
              <w:left w:w="16" w:type="dxa"/>
              <w:right w:w="16" w:type="dxa"/>
            </w:tcMar>
            <w:vAlign w:val="center"/>
          </w:tcPr>
          <w:p w14:paraId="4DFB846B">
            <w:pPr>
              <w:pStyle w:val="18"/>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环保投资（万元）</w:t>
            </w:r>
          </w:p>
        </w:tc>
        <w:tc>
          <w:tcPr>
            <w:tcW w:w="2895" w:type="dxa"/>
            <w:noWrap w:val="0"/>
            <w:vAlign w:val="center"/>
          </w:tcPr>
          <w:p w14:paraId="744403EF">
            <w:pPr>
              <w:pStyle w:val="18"/>
              <w:bidi w:val="0"/>
              <w:rPr>
                <w:rFonts w:hint="default" w:ascii="Times New Roman" w:hAnsi="Times New Roman" w:cs="Times New Roman"/>
                <w:color w:val="auto"/>
                <w:highlight w:val="none"/>
                <w:lang w:val="en-US"/>
              </w:rPr>
            </w:pPr>
            <w:r>
              <w:rPr>
                <w:rFonts w:hint="eastAsia" w:ascii="Times New Roman" w:hAnsi="Times New Roman" w:cs="Times New Roman"/>
                <w:color w:val="auto"/>
                <w:highlight w:val="none"/>
                <w:lang w:val="en-US" w:eastAsia="zh-CN"/>
              </w:rPr>
              <w:t>114.52</w:t>
            </w:r>
          </w:p>
        </w:tc>
      </w:tr>
      <w:tr w14:paraId="198613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7B705E8D">
            <w:pPr>
              <w:pStyle w:val="18"/>
              <w:bidi w:val="0"/>
              <w:rPr>
                <w:rFonts w:hint="default" w:ascii="Times New Roman" w:hAnsi="Times New Roman" w:cs="Times New Roman"/>
                <w:color w:val="auto"/>
              </w:rPr>
            </w:pPr>
            <w:r>
              <w:rPr>
                <w:rFonts w:hint="default" w:ascii="Times New Roman" w:hAnsi="Times New Roman" w:cs="Times New Roman"/>
                <w:color w:val="auto"/>
              </w:rPr>
              <w:t>环保投资占比（%）</w:t>
            </w:r>
          </w:p>
        </w:tc>
        <w:tc>
          <w:tcPr>
            <w:tcW w:w="2730" w:type="dxa"/>
            <w:noWrap w:val="0"/>
            <w:vAlign w:val="center"/>
          </w:tcPr>
          <w:p w14:paraId="68564798">
            <w:pPr>
              <w:pStyle w:val="18"/>
              <w:bidi w:val="0"/>
              <w:rPr>
                <w:rFonts w:hint="default" w:ascii="Times New Roman" w:hAnsi="Times New Roman" w:cs="Times New Roman"/>
                <w:color w:val="auto"/>
                <w:highlight w:val="none"/>
                <w:lang w:val="en-US" w:eastAsia="zh-CN"/>
              </w:rPr>
            </w:pPr>
            <w:r>
              <w:rPr>
                <w:rFonts w:hint="eastAsia" w:ascii="Times New Roman" w:hAnsi="Times New Roman" w:cs="Times New Roman"/>
                <w:color w:val="auto"/>
                <w:highlight w:val="none"/>
                <w:lang w:val="en-US" w:eastAsia="zh-CN"/>
              </w:rPr>
              <w:t>0.84</w:t>
            </w:r>
          </w:p>
        </w:tc>
        <w:tc>
          <w:tcPr>
            <w:tcW w:w="2074" w:type="dxa"/>
            <w:noWrap w:val="0"/>
            <w:tcMar>
              <w:top w:w="16" w:type="dxa"/>
              <w:left w:w="16" w:type="dxa"/>
              <w:right w:w="16" w:type="dxa"/>
            </w:tcMar>
            <w:vAlign w:val="center"/>
          </w:tcPr>
          <w:p w14:paraId="0F435600">
            <w:pPr>
              <w:pStyle w:val="18"/>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施工工期</w:t>
            </w:r>
          </w:p>
        </w:tc>
        <w:tc>
          <w:tcPr>
            <w:tcW w:w="2895" w:type="dxa"/>
            <w:noWrap w:val="0"/>
            <w:vAlign w:val="center"/>
          </w:tcPr>
          <w:p w14:paraId="36EFF082">
            <w:pPr>
              <w:pStyle w:val="18"/>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6</w:t>
            </w:r>
            <w:r>
              <w:rPr>
                <w:rFonts w:hint="default" w:ascii="Times New Roman" w:hAnsi="Times New Roman" w:cs="Times New Roman"/>
                <w:color w:val="auto"/>
                <w:highlight w:val="none"/>
              </w:rPr>
              <w:t>个月</w:t>
            </w:r>
          </w:p>
        </w:tc>
      </w:tr>
      <w:tr w14:paraId="6A461C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6B1D406B">
            <w:pPr>
              <w:pStyle w:val="18"/>
              <w:bidi w:val="0"/>
              <w:rPr>
                <w:rFonts w:hint="default" w:ascii="Times New Roman" w:hAnsi="Times New Roman" w:cs="Times New Roman"/>
                <w:color w:val="auto"/>
              </w:rPr>
            </w:pPr>
            <w:r>
              <w:rPr>
                <w:rFonts w:hint="default" w:ascii="Times New Roman" w:hAnsi="Times New Roman" w:cs="Times New Roman"/>
                <w:color w:val="auto"/>
              </w:rPr>
              <w:t>是否开工建设</w:t>
            </w:r>
          </w:p>
        </w:tc>
        <w:tc>
          <w:tcPr>
            <w:tcW w:w="7699" w:type="dxa"/>
            <w:gridSpan w:val="3"/>
            <w:noWrap w:val="0"/>
            <w:vAlign w:val="center"/>
          </w:tcPr>
          <w:p w14:paraId="19718368">
            <w:pPr>
              <w:pStyle w:val="18"/>
              <w:bidi w:val="0"/>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否</w:t>
            </w:r>
          </w:p>
          <w:p w14:paraId="045FA342">
            <w:pPr>
              <w:pStyle w:val="18"/>
              <w:bidi w:val="0"/>
              <w:rPr>
                <w:rFonts w:hint="default" w:ascii="Times New Roman" w:hAnsi="Times New Roman" w:cs="Times New Roman"/>
                <w:color w:val="auto"/>
                <w:lang w:eastAsia="zh-CN"/>
              </w:rPr>
            </w:pPr>
            <w:r>
              <w:rPr>
                <w:rFonts w:hint="default" w:ascii="Times New Roman" w:hAnsi="Times New Roman" w:cs="Times New Roman"/>
                <w:color w:val="auto"/>
              </w:rPr>
              <w:t>□是：</w:t>
            </w:r>
          </w:p>
        </w:tc>
      </w:tr>
      <w:tr w14:paraId="0872823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0E7F5523">
            <w:pPr>
              <w:pStyle w:val="18"/>
              <w:bidi w:val="0"/>
              <w:rPr>
                <w:rFonts w:hint="default" w:ascii="Times New Roman" w:hAnsi="Times New Roman" w:cs="Times New Roman"/>
                <w:color w:val="auto"/>
              </w:rPr>
            </w:pPr>
            <w:r>
              <w:rPr>
                <w:rFonts w:hint="default" w:ascii="Times New Roman" w:hAnsi="Times New Roman" w:cs="Times New Roman"/>
                <w:color w:val="auto"/>
              </w:rPr>
              <w:t>专项评价设置情况</w:t>
            </w:r>
          </w:p>
        </w:tc>
        <w:tc>
          <w:tcPr>
            <w:tcW w:w="7699" w:type="dxa"/>
            <w:gridSpan w:val="3"/>
            <w:noWrap w:val="0"/>
            <w:tcMar>
              <w:top w:w="16" w:type="dxa"/>
              <w:left w:w="16" w:type="dxa"/>
              <w:right w:w="16" w:type="dxa"/>
            </w:tcMar>
            <w:vAlign w:val="center"/>
          </w:tcPr>
          <w:p w14:paraId="72EFCFBF">
            <w:pPr>
              <w:keepNext w:val="0"/>
              <w:keepLines w:val="0"/>
              <w:pageBreakBefore w:val="0"/>
              <w:widowControl w:val="0"/>
              <w:kinsoku/>
              <w:wordWrap/>
              <w:overflowPunct/>
              <w:topLinePunct w:val="0"/>
              <w:autoSpaceDE/>
              <w:autoSpaceDN/>
              <w:bidi w:val="0"/>
              <w:adjustRightInd w:val="0"/>
              <w:snapToGrid/>
              <w:spacing w:line="360" w:lineRule="auto"/>
              <w:ind w:firstLine="480" w:firstLineChars="200"/>
              <w:textAlignment w:val="auto"/>
              <w:rPr>
                <w:rFonts w:hint="default" w:ascii="Times New Roman" w:hAnsi="Times New Roman" w:eastAsia="宋体" w:cs="Times New Roman"/>
                <w:b/>
                <w:bCs/>
                <w:caps w:val="0"/>
                <w:color w:val="auto"/>
                <w:sz w:val="24"/>
                <w:szCs w:val="32"/>
                <w:highlight w:val="none"/>
              </w:rPr>
            </w:pPr>
            <w:r>
              <w:rPr>
                <w:rFonts w:hint="default" w:ascii="Times New Roman" w:hAnsi="Times New Roman" w:eastAsia="宋体" w:cs="Times New Roman"/>
                <w:caps w:val="0"/>
                <w:color w:val="auto"/>
                <w:sz w:val="24"/>
                <w:szCs w:val="32"/>
                <w:highlight w:val="none"/>
              </w:rPr>
              <w:t>根据建设项目环境影响报告表编制技术指南（生态影响类）（试行），专项评价设置原则参照下表。</w:t>
            </w:r>
          </w:p>
          <w:p w14:paraId="15469799">
            <w:pPr>
              <w:pStyle w:val="27"/>
              <w:bidi w:val="0"/>
              <w:rPr>
                <w:rFonts w:hint="default"/>
                <w:color w:val="auto"/>
              </w:rPr>
            </w:pPr>
            <w:r>
              <w:rPr>
                <w:rFonts w:hint="default"/>
                <w:color w:val="auto"/>
              </w:rPr>
              <w:t>表1-1</w:t>
            </w:r>
            <w:r>
              <w:rPr>
                <w:rFonts w:hint="default"/>
                <w:color w:val="auto"/>
                <w:lang w:val="en-US" w:eastAsia="zh-CN"/>
              </w:rPr>
              <w:t xml:space="preserve">  </w:t>
            </w:r>
            <w:r>
              <w:rPr>
                <w:rFonts w:hint="default"/>
                <w:color w:val="auto"/>
              </w:rPr>
              <w:t>专项评价设置对照判别表</w:t>
            </w:r>
          </w:p>
          <w:tbl>
            <w:tblPr>
              <w:tblStyle w:val="20"/>
              <w:tblW w:w="0" w:type="auto"/>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03"/>
              <w:gridCol w:w="5188"/>
              <w:gridCol w:w="1331"/>
            </w:tblGrid>
            <w:tr w14:paraId="69CFA9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tcBorders>
                    <w:tl2br w:val="nil"/>
                    <w:tr2bl w:val="nil"/>
                  </w:tcBorders>
                  <w:noWrap w:val="0"/>
                  <w:vAlign w:val="center"/>
                </w:tcPr>
                <w:p w14:paraId="48693C9A">
                  <w:pPr>
                    <w:pStyle w:val="37"/>
                    <w:bidi w:val="0"/>
                    <w:rPr>
                      <w:rFonts w:hint="default"/>
                      <w:color w:val="auto"/>
                    </w:rPr>
                  </w:pPr>
                  <w:r>
                    <w:rPr>
                      <w:rFonts w:hint="default"/>
                      <w:color w:val="auto"/>
                    </w:rPr>
                    <w:t>专项评价的类别</w:t>
                  </w:r>
                </w:p>
              </w:tc>
              <w:tc>
                <w:tcPr>
                  <w:tcW w:w="5188" w:type="dxa"/>
                  <w:tcBorders>
                    <w:tl2br w:val="nil"/>
                    <w:tr2bl w:val="nil"/>
                  </w:tcBorders>
                  <w:noWrap w:val="0"/>
                  <w:vAlign w:val="center"/>
                </w:tcPr>
                <w:p w14:paraId="19AD79D8">
                  <w:pPr>
                    <w:pStyle w:val="37"/>
                    <w:bidi w:val="0"/>
                    <w:rPr>
                      <w:rFonts w:hint="default"/>
                      <w:color w:val="auto"/>
                    </w:rPr>
                  </w:pPr>
                  <w:r>
                    <w:rPr>
                      <w:rFonts w:hint="default"/>
                      <w:color w:val="auto"/>
                    </w:rPr>
                    <w:t>涉及项目类别</w:t>
                  </w:r>
                </w:p>
              </w:tc>
              <w:tc>
                <w:tcPr>
                  <w:tcW w:w="1331" w:type="dxa"/>
                  <w:tcBorders>
                    <w:tl2br w:val="nil"/>
                    <w:tr2bl w:val="nil"/>
                  </w:tcBorders>
                  <w:noWrap w:val="0"/>
                  <w:vAlign w:val="center"/>
                </w:tcPr>
                <w:p w14:paraId="196BC9BA">
                  <w:pPr>
                    <w:pStyle w:val="37"/>
                    <w:bidi w:val="0"/>
                    <w:rPr>
                      <w:rFonts w:hint="default"/>
                      <w:color w:val="auto"/>
                    </w:rPr>
                  </w:pPr>
                  <w:r>
                    <w:rPr>
                      <w:rFonts w:hint="default"/>
                      <w:color w:val="auto"/>
                    </w:rPr>
                    <w:t>本项目情况</w:t>
                  </w:r>
                </w:p>
              </w:tc>
            </w:tr>
            <w:tr w14:paraId="5B8F23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tcBorders>
                    <w:tl2br w:val="nil"/>
                    <w:tr2bl w:val="nil"/>
                  </w:tcBorders>
                  <w:noWrap w:val="0"/>
                  <w:vAlign w:val="center"/>
                </w:tcPr>
                <w:p w14:paraId="1E301EF1">
                  <w:pPr>
                    <w:pStyle w:val="37"/>
                    <w:bidi w:val="0"/>
                    <w:rPr>
                      <w:rFonts w:hint="default"/>
                      <w:color w:val="auto"/>
                    </w:rPr>
                  </w:pPr>
                  <w:r>
                    <w:rPr>
                      <w:rFonts w:hint="default"/>
                      <w:color w:val="auto"/>
                    </w:rPr>
                    <w:t>地表水</w:t>
                  </w:r>
                </w:p>
              </w:tc>
              <w:tc>
                <w:tcPr>
                  <w:tcW w:w="5188" w:type="dxa"/>
                  <w:tcBorders>
                    <w:tl2br w:val="nil"/>
                    <w:tr2bl w:val="nil"/>
                  </w:tcBorders>
                  <w:noWrap w:val="0"/>
                  <w:vAlign w:val="center"/>
                </w:tcPr>
                <w:p w14:paraId="5A78DDFE">
                  <w:pPr>
                    <w:pStyle w:val="37"/>
                    <w:bidi w:val="0"/>
                    <w:rPr>
                      <w:rFonts w:hint="default"/>
                      <w:color w:val="auto"/>
                    </w:rPr>
                  </w:pPr>
                  <w:r>
                    <w:rPr>
                      <w:rFonts w:hint="default"/>
                      <w:color w:val="auto"/>
                    </w:rPr>
                    <w:t>水力发电：引水式发电、涉及调峰发电的项目；人工湖、人工湿地：全部；</w:t>
                  </w:r>
                </w:p>
                <w:p w14:paraId="245A5856">
                  <w:pPr>
                    <w:pStyle w:val="37"/>
                    <w:bidi w:val="0"/>
                    <w:rPr>
                      <w:rFonts w:hint="default"/>
                      <w:color w:val="auto"/>
                    </w:rPr>
                  </w:pPr>
                  <w:r>
                    <w:rPr>
                      <w:rFonts w:hint="default"/>
                      <w:color w:val="auto"/>
                    </w:rPr>
                    <w:t>水库：全部；</w:t>
                  </w:r>
                </w:p>
                <w:p w14:paraId="6BB23B49">
                  <w:pPr>
                    <w:pStyle w:val="37"/>
                    <w:bidi w:val="0"/>
                    <w:rPr>
                      <w:rFonts w:hint="default"/>
                      <w:color w:val="auto"/>
                    </w:rPr>
                  </w:pPr>
                  <w:r>
                    <w:rPr>
                      <w:rFonts w:hint="default"/>
                      <w:color w:val="auto"/>
                    </w:rPr>
                    <w:t>引水工程：全部（配套的管线工程等除外）；</w:t>
                  </w:r>
                </w:p>
                <w:p w14:paraId="34503E7F">
                  <w:pPr>
                    <w:pStyle w:val="37"/>
                    <w:bidi w:val="0"/>
                    <w:rPr>
                      <w:rFonts w:hint="default"/>
                      <w:color w:val="auto"/>
                    </w:rPr>
                  </w:pPr>
                  <w:r>
                    <w:rPr>
                      <w:rFonts w:hint="default"/>
                      <w:color w:val="auto"/>
                    </w:rPr>
                    <w:t>防洪除涝工程：包含水库的项目；</w:t>
                  </w:r>
                </w:p>
                <w:p w14:paraId="5F6DFDFA">
                  <w:pPr>
                    <w:pStyle w:val="37"/>
                    <w:bidi w:val="0"/>
                    <w:rPr>
                      <w:rFonts w:hint="default"/>
                      <w:color w:val="auto"/>
                    </w:rPr>
                  </w:pPr>
                  <w:r>
                    <w:rPr>
                      <w:rFonts w:hint="default"/>
                      <w:color w:val="auto"/>
                    </w:rPr>
                    <w:t>河湖整治：涉及清淤且底泥存在重金属污染的项目</w:t>
                  </w:r>
                </w:p>
              </w:tc>
              <w:tc>
                <w:tcPr>
                  <w:tcW w:w="1331" w:type="dxa"/>
                  <w:tcBorders>
                    <w:tl2br w:val="nil"/>
                    <w:tr2bl w:val="nil"/>
                  </w:tcBorders>
                  <w:noWrap w:val="0"/>
                  <w:vAlign w:val="center"/>
                </w:tcPr>
                <w:p w14:paraId="28041E35">
                  <w:pPr>
                    <w:pStyle w:val="37"/>
                    <w:bidi w:val="0"/>
                    <w:rPr>
                      <w:rFonts w:hint="default"/>
                      <w:color w:val="auto"/>
                    </w:rPr>
                  </w:pPr>
                  <w:r>
                    <w:rPr>
                      <w:rFonts w:hint="default"/>
                      <w:color w:val="auto"/>
                    </w:rPr>
                    <w:t>不涉及</w:t>
                  </w:r>
                </w:p>
              </w:tc>
            </w:tr>
            <w:tr w14:paraId="4B6080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tcBorders>
                    <w:tl2br w:val="nil"/>
                    <w:tr2bl w:val="nil"/>
                  </w:tcBorders>
                  <w:noWrap w:val="0"/>
                  <w:vAlign w:val="center"/>
                </w:tcPr>
                <w:p w14:paraId="2F2AEFD0">
                  <w:pPr>
                    <w:pStyle w:val="37"/>
                    <w:bidi w:val="0"/>
                    <w:rPr>
                      <w:rFonts w:hint="default"/>
                      <w:color w:val="auto"/>
                    </w:rPr>
                  </w:pPr>
                  <w:r>
                    <w:rPr>
                      <w:rFonts w:hint="default"/>
                      <w:color w:val="auto"/>
                    </w:rPr>
                    <w:t>地下水</w:t>
                  </w:r>
                </w:p>
              </w:tc>
              <w:tc>
                <w:tcPr>
                  <w:tcW w:w="5188" w:type="dxa"/>
                  <w:tcBorders>
                    <w:tl2br w:val="nil"/>
                    <w:tr2bl w:val="nil"/>
                  </w:tcBorders>
                  <w:noWrap w:val="0"/>
                  <w:vAlign w:val="center"/>
                </w:tcPr>
                <w:p w14:paraId="3B3D4DBF">
                  <w:pPr>
                    <w:pStyle w:val="37"/>
                    <w:bidi w:val="0"/>
                    <w:rPr>
                      <w:rFonts w:hint="default"/>
                      <w:color w:val="auto"/>
                    </w:rPr>
                  </w:pPr>
                  <w:r>
                    <w:rPr>
                      <w:rFonts w:hint="default"/>
                      <w:color w:val="auto"/>
                    </w:rPr>
                    <w:t>陆地石油和天然气开采：全部；</w:t>
                  </w:r>
                </w:p>
                <w:p w14:paraId="7BEC92F1">
                  <w:pPr>
                    <w:pStyle w:val="37"/>
                    <w:bidi w:val="0"/>
                    <w:rPr>
                      <w:rFonts w:hint="default"/>
                      <w:color w:val="auto"/>
                    </w:rPr>
                  </w:pPr>
                  <w:r>
                    <w:rPr>
                      <w:rFonts w:hint="default"/>
                      <w:color w:val="auto"/>
                    </w:rPr>
                    <w:t>地下水（含矿泉水）开采：全部；</w:t>
                  </w:r>
                </w:p>
                <w:p w14:paraId="0EA5CBE0">
                  <w:pPr>
                    <w:pStyle w:val="37"/>
                    <w:bidi w:val="0"/>
                    <w:rPr>
                      <w:rFonts w:hint="default"/>
                      <w:color w:val="auto"/>
                    </w:rPr>
                  </w:pPr>
                  <w:r>
                    <w:rPr>
                      <w:rFonts w:hint="default"/>
                      <w:color w:val="auto"/>
                    </w:rPr>
                    <w:t>水利、水电、交通等：含穿越可溶岩地层隧道的项目</w:t>
                  </w:r>
                </w:p>
              </w:tc>
              <w:tc>
                <w:tcPr>
                  <w:tcW w:w="1331" w:type="dxa"/>
                  <w:tcBorders>
                    <w:tl2br w:val="nil"/>
                    <w:tr2bl w:val="nil"/>
                  </w:tcBorders>
                  <w:noWrap w:val="0"/>
                  <w:vAlign w:val="center"/>
                </w:tcPr>
                <w:p w14:paraId="308683CF">
                  <w:pPr>
                    <w:pStyle w:val="37"/>
                    <w:bidi w:val="0"/>
                    <w:rPr>
                      <w:rFonts w:hint="default"/>
                      <w:color w:val="auto"/>
                    </w:rPr>
                  </w:pPr>
                  <w:r>
                    <w:rPr>
                      <w:rFonts w:hint="default"/>
                      <w:color w:val="auto"/>
                    </w:rPr>
                    <w:t>不涉及</w:t>
                  </w:r>
                </w:p>
              </w:tc>
            </w:tr>
            <w:tr w14:paraId="6C71B5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tcBorders>
                    <w:tl2br w:val="nil"/>
                    <w:tr2bl w:val="nil"/>
                  </w:tcBorders>
                  <w:noWrap w:val="0"/>
                  <w:vAlign w:val="center"/>
                </w:tcPr>
                <w:p w14:paraId="1C5C4D12">
                  <w:pPr>
                    <w:pStyle w:val="37"/>
                    <w:bidi w:val="0"/>
                    <w:rPr>
                      <w:rFonts w:hint="default"/>
                      <w:color w:val="auto"/>
                    </w:rPr>
                  </w:pPr>
                  <w:r>
                    <w:rPr>
                      <w:rFonts w:hint="default"/>
                      <w:color w:val="auto"/>
                    </w:rPr>
                    <w:t>生态</w:t>
                  </w:r>
                </w:p>
              </w:tc>
              <w:tc>
                <w:tcPr>
                  <w:tcW w:w="5188" w:type="dxa"/>
                  <w:tcBorders>
                    <w:tl2br w:val="nil"/>
                    <w:tr2bl w:val="nil"/>
                  </w:tcBorders>
                  <w:noWrap w:val="0"/>
                  <w:vAlign w:val="center"/>
                </w:tcPr>
                <w:p w14:paraId="1C4257DB">
                  <w:pPr>
                    <w:pStyle w:val="37"/>
                    <w:bidi w:val="0"/>
                    <w:rPr>
                      <w:rFonts w:hint="default"/>
                      <w:color w:val="auto"/>
                    </w:rPr>
                  </w:pPr>
                  <w:r>
                    <w:rPr>
                      <w:rFonts w:hint="default"/>
                      <w:color w:val="auto"/>
                    </w:rPr>
                    <w:t>涉及环境敏感区（不包括饮用水水源保护区，以居住、医疗卫生、文化教育、科研、行政办公为主要功能的区域，以及文物保护单位）的项目</w:t>
                  </w:r>
                </w:p>
              </w:tc>
              <w:tc>
                <w:tcPr>
                  <w:tcW w:w="1331" w:type="dxa"/>
                  <w:tcBorders>
                    <w:tl2br w:val="nil"/>
                    <w:tr2bl w:val="nil"/>
                  </w:tcBorders>
                  <w:noWrap w:val="0"/>
                  <w:vAlign w:val="center"/>
                </w:tcPr>
                <w:p w14:paraId="3EF06F22">
                  <w:pPr>
                    <w:pStyle w:val="37"/>
                    <w:bidi w:val="0"/>
                    <w:rPr>
                      <w:rFonts w:hint="default"/>
                      <w:color w:val="auto"/>
                      <w:lang w:val="en-US" w:eastAsia="zh-CN"/>
                    </w:rPr>
                  </w:pPr>
                  <w:r>
                    <w:rPr>
                      <w:rFonts w:hint="eastAsia"/>
                      <w:color w:val="auto"/>
                      <w:lang w:val="en-US" w:eastAsia="zh-CN"/>
                    </w:rPr>
                    <w:t>评价范围内涉及生态保护红线</w:t>
                  </w:r>
                </w:p>
              </w:tc>
            </w:tr>
            <w:tr w14:paraId="56C9E9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tcBorders>
                    <w:tl2br w:val="nil"/>
                    <w:tr2bl w:val="nil"/>
                  </w:tcBorders>
                  <w:noWrap w:val="0"/>
                  <w:vAlign w:val="center"/>
                </w:tcPr>
                <w:p w14:paraId="4190A93C">
                  <w:pPr>
                    <w:pStyle w:val="37"/>
                    <w:bidi w:val="0"/>
                    <w:rPr>
                      <w:rFonts w:hint="default"/>
                      <w:color w:val="auto"/>
                    </w:rPr>
                  </w:pPr>
                  <w:r>
                    <w:rPr>
                      <w:rFonts w:hint="default"/>
                      <w:color w:val="auto"/>
                    </w:rPr>
                    <w:t>大气</w:t>
                  </w:r>
                </w:p>
              </w:tc>
              <w:tc>
                <w:tcPr>
                  <w:tcW w:w="5188" w:type="dxa"/>
                  <w:tcBorders>
                    <w:tl2br w:val="nil"/>
                    <w:tr2bl w:val="nil"/>
                  </w:tcBorders>
                  <w:noWrap w:val="0"/>
                  <w:vAlign w:val="center"/>
                </w:tcPr>
                <w:p w14:paraId="7E059E67">
                  <w:pPr>
                    <w:pStyle w:val="37"/>
                    <w:bidi w:val="0"/>
                    <w:rPr>
                      <w:rFonts w:hint="default"/>
                      <w:color w:val="auto"/>
                    </w:rPr>
                  </w:pPr>
                  <w:r>
                    <w:rPr>
                      <w:rFonts w:hint="default"/>
                      <w:color w:val="auto"/>
                    </w:rPr>
                    <w:t>油气、液体化工码头：全部；</w:t>
                  </w:r>
                </w:p>
                <w:p w14:paraId="3B9F05A8">
                  <w:pPr>
                    <w:pStyle w:val="37"/>
                    <w:bidi w:val="0"/>
                    <w:rPr>
                      <w:rFonts w:hint="default"/>
                      <w:color w:val="auto"/>
                    </w:rPr>
                  </w:pPr>
                  <w:r>
                    <w:rPr>
                      <w:rFonts w:hint="default"/>
                      <w:color w:val="auto"/>
                    </w:rPr>
                    <w:t>干散货（含煤炭、矿石）、件杂、多用途、通用码头：涉及粉尘、挥发性有机物排放的项目</w:t>
                  </w:r>
                </w:p>
              </w:tc>
              <w:tc>
                <w:tcPr>
                  <w:tcW w:w="1331" w:type="dxa"/>
                  <w:tcBorders>
                    <w:tl2br w:val="nil"/>
                    <w:tr2bl w:val="nil"/>
                  </w:tcBorders>
                  <w:noWrap w:val="0"/>
                  <w:vAlign w:val="center"/>
                </w:tcPr>
                <w:p w14:paraId="7347081A">
                  <w:pPr>
                    <w:pStyle w:val="37"/>
                    <w:bidi w:val="0"/>
                    <w:rPr>
                      <w:rFonts w:hint="default"/>
                      <w:color w:val="auto"/>
                    </w:rPr>
                  </w:pPr>
                  <w:r>
                    <w:rPr>
                      <w:rFonts w:hint="default"/>
                      <w:color w:val="auto"/>
                    </w:rPr>
                    <w:t>不涉及</w:t>
                  </w:r>
                </w:p>
              </w:tc>
            </w:tr>
            <w:tr w14:paraId="325611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tcBorders>
                    <w:tl2br w:val="nil"/>
                    <w:tr2bl w:val="nil"/>
                  </w:tcBorders>
                  <w:noWrap w:val="0"/>
                  <w:vAlign w:val="center"/>
                </w:tcPr>
                <w:p w14:paraId="63F65BF6">
                  <w:pPr>
                    <w:pStyle w:val="37"/>
                    <w:bidi w:val="0"/>
                    <w:rPr>
                      <w:rFonts w:hint="default"/>
                      <w:color w:val="auto"/>
                    </w:rPr>
                  </w:pPr>
                  <w:r>
                    <w:rPr>
                      <w:rFonts w:hint="default"/>
                      <w:color w:val="auto"/>
                    </w:rPr>
                    <w:t>噪声</w:t>
                  </w:r>
                </w:p>
              </w:tc>
              <w:tc>
                <w:tcPr>
                  <w:tcW w:w="5188" w:type="dxa"/>
                  <w:tcBorders>
                    <w:tl2br w:val="nil"/>
                    <w:tr2bl w:val="nil"/>
                  </w:tcBorders>
                  <w:noWrap w:val="0"/>
                  <w:vAlign w:val="center"/>
                </w:tcPr>
                <w:p w14:paraId="1FFA42B5">
                  <w:pPr>
                    <w:pStyle w:val="37"/>
                    <w:bidi w:val="0"/>
                    <w:rPr>
                      <w:rFonts w:hint="default"/>
                      <w:color w:val="auto"/>
                    </w:rPr>
                  </w:pPr>
                  <w:r>
                    <w:rPr>
                      <w:rFonts w:hint="default"/>
                      <w:color w:val="auto"/>
                    </w:rPr>
                    <w:t>公路、铁路、机场等交通运输业涉及环境敏感区（以居住、医疗卫生、文化教育、科研、行政办公为主要功能的区域）的项目；</w:t>
                  </w:r>
                </w:p>
                <w:p w14:paraId="3CB823DF">
                  <w:pPr>
                    <w:pStyle w:val="37"/>
                    <w:bidi w:val="0"/>
                    <w:rPr>
                      <w:rFonts w:hint="default"/>
                      <w:color w:val="auto"/>
                    </w:rPr>
                  </w:pPr>
                  <w:r>
                    <w:rPr>
                      <w:rFonts w:hint="default"/>
                      <w:color w:val="auto"/>
                    </w:rPr>
                    <w:t>城市道路（不含维护，不含支路、人行天桥、人行地道）：全部</w:t>
                  </w:r>
                </w:p>
              </w:tc>
              <w:tc>
                <w:tcPr>
                  <w:tcW w:w="1331" w:type="dxa"/>
                  <w:tcBorders>
                    <w:tl2br w:val="nil"/>
                    <w:tr2bl w:val="nil"/>
                  </w:tcBorders>
                  <w:noWrap w:val="0"/>
                  <w:vAlign w:val="center"/>
                </w:tcPr>
                <w:p w14:paraId="425AD6EF">
                  <w:pPr>
                    <w:pStyle w:val="37"/>
                    <w:bidi w:val="0"/>
                    <w:rPr>
                      <w:rFonts w:hint="default"/>
                      <w:color w:val="auto"/>
                    </w:rPr>
                  </w:pPr>
                  <w:r>
                    <w:rPr>
                      <w:rFonts w:hint="default"/>
                      <w:color w:val="auto"/>
                    </w:rPr>
                    <w:t>不涉及</w:t>
                  </w:r>
                </w:p>
              </w:tc>
            </w:tr>
            <w:tr w14:paraId="4BA3C78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jc w:val="center"/>
              </w:trPr>
              <w:tc>
                <w:tcPr>
                  <w:tcW w:w="903" w:type="dxa"/>
                  <w:tcBorders>
                    <w:tl2br w:val="nil"/>
                    <w:tr2bl w:val="nil"/>
                  </w:tcBorders>
                  <w:noWrap w:val="0"/>
                  <w:vAlign w:val="center"/>
                </w:tcPr>
                <w:p w14:paraId="169E0F5F">
                  <w:pPr>
                    <w:pStyle w:val="37"/>
                    <w:bidi w:val="0"/>
                    <w:rPr>
                      <w:rFonts w:hint="default"/>
                      <w:color w:val="auto"/>
                    </w:rPr>
                  </w:pPr>
                  <w:r>
                    <w:rPr>
                      <w:rFonts w:hint="default"/>
                      <w:color w:val="auto"/>
                    </w:rPr>
                    <w:t>环境风险</w:t>
                  </w:r>
                </w:p>
              </w:tc>
              <w:tc>
                <w:tcPr>
                  <w:tcW w:w="5188" w:type="dxa"/>
                  <w:tcBorders>
                    <w:tl2br w:val="nil"/>
                    <w:tr2bl w:val="nil"/>
                  </w:tcBorders>
                  <w:noWrap w:val="0"/>
                  <w:vAlign w:val="center"/>
                </w:tcPr>
                <w:p w14:paraId="326186F4">
                  <w:pPr>
                    <w:pStyle w:val="37"/>
                    <w:bidi w:val="0"/>
                    <w:rPr>
                      <w:rFonts w:hint="default"/>
                      <w:color w:val="auto"/>
                    </w:rPr>
                  </w:pPr>
                  <w:r>
                    <w:rPr>
                      <w:rFonts w:hint="default"/>
                      <w:color w:val="auto"/>
                    </w:rPr>
                    <w:t>石油和天然气开采：全部；</w:t>
                  </w:r>
                </w:p>
                <w:p w14:paraId="7A2DFDC6">
                  <w:pPr>
                    <w:pStyle w:val="37"/>
                    <w:bidi w:val="0"/>
                    <w:rPr>
                      <w:rFonts w:hint="default"/>
                      <w:color w:val="auto"/>
                    </w:rPr>
                  </w:pPr>
                  <w:r>
                    <w:rPr>
                      <w:rFonts w:hint="default"/>
                      <w:color w:val="auto"/>
                    </w:rPr>
                    <w:t>油气、液体化工码头：全部；</w:t>
                  </w:r>
                </w:p>
                <w:p w14:paraId="054773D1">
                  <w:pPr>
                    <w:pStyle w:val="37"/>
                    <w:bidi w:val="0"/>
                    <w:rPr>
                      <w:rFonts w:hint="default"/>
                      <w:color w:val="auto"/>
                    </w:rPr>
                  </w:pPr>
                  <w:r>
                    <w:rPr>
                      <w:rFonts w:hint="default"/>
                      <w:color w:val="auto"/>
                    </w:rPr>
                    <w:t>原油、成品油、天然气管线（不含城镇天然气管线、企业厂区内管线），危险化学品输送管线（不含企业厂区内管线）：全部</w:t>
                  </w:r>
                </w:p>
              </w:tc>
              <w:tc>
                <w:tcPr>
                  <w:tcW w:w="1331" w:type="dxa"/>
                  <w:tcBorders>
                    <w:tl2br w:val="nil"/>
                    <w:tr2bl w:val="nil"/>
                  </w:tcBorders>
                  <w:noWrap w:val="0"/>
                  <w:vAlign w:val="center"/>
                </w:tcPr>
                <w:p w14:paraId="70A50590">
                  <w:pPr>
                    <w:pStyle w:val="37"/>
                    <w:bidi w:val="0"/>
                    <w:rPr>
                      <w:rFonts w:hint="default"/>
                      <w:color w:val="auto"/>
                    </w:rPr>
                  </w:pPr>
                  <w:r>
                    <w:rPr>
                      <w:rFonts w:hint="default"/>
                      <w:color w:val="auto"/>
                    </w:rPr>
                    <w:t>不涉及</w:t>
                  </w:r>
                </w:p>
              </w:tc>
            </w:tr>
          </w:tbl>
          <w:p w14:paraId="11774A47">
            <w:pPr>
              <w:autoSpaceDE w:val="0"/>
              <w:autoSpaceDN w:val="0"/>
              <w:snapToGrid w:val="0"/>
              <w:ind w:firstLine="480"/>
              <w:contextualSpacing/>
              <w:rPr>
                <w:rFonts w:hint="default" w:ascii="Times New Roman" w:hAnsi="Times New Roman" w:eastAsia="宋体" w:cs="Times New Roman"/>
                <w:caps w:val="0"/>
                <w:color w:val="auto"/>
                <w:kern w:val="0"/>
                <w:sz w:val="21"/>
                <w:szCs w:val="21"/>
                <w:highlight w:val="none"/>
              </w:rPr>
            </w:pPr>
            <w:r>
              <w:rPr>
                <w:rFonts w:hint="default" w:ascii="Times New Roman" w:hAnsi="Times New Roman" w:eastAsia="宋体" w:cs="Times New Roman"/>
                <w:caps w:val="0"/>
                <w:color w:val="auto"/>
                <w:sz w:val="21"/>
                <w:szCs w:val="21"/>
                <w:highlight w:val="none"/>
              </w:rPr>
              <w:t>注：“涉及环境敏感区”是指建设项目位于、穿（跨）越（无害化通过的除外）环境敏感区，或环境影响范围涵盖环境敏感区。环境敏感区是指《建设项目环境影响评价分类管理名录》（2021年版）中针对该类项目所列的敏感区。</w:t>
            </w:r>
          </w:p>
          <w:p w14:paraId="2569B5FA">
            <w:pPr>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本项目新建一</w:t>
            </w:r>
            <w:r>
              <w:rPr>
                <w:rFonts w:hint="default" w:ascii="Times New Roman" w:hAnsi="Times New Roman" w:cs="Times New Roman"/>
                <w:color w:val="auto"/>
                <w:lang w:val="en-US" w:eastAsia="zh-CN"/>
              </w:rPr>
              <w:t>台</w:t>
            </w:r>
            <w:r>
              <w:rPr>
                <w:rFonts w:hint="default" w:ascii="Times New Roman" w:hAnsi="Times New Roman" w:cs="Times New Roman"/>
                <w:color w:val="auto"/>
                <w:lang w:eastAsia="zh-CN"/>
              </w:rPr>
              <w:t>220kV</w:t>
            </w:r>
            <w:r>
              <w:rPr>
                <w:rFonts w:hint="default" w:ascii="Times New Roman" w:hAnsi="Times New Roman" w:cs="Times New Roman"/>
                <w:color w:val="auto"/>
                <w:lang w:val="en-US" w:eastAsia="zh-CN"/>
              </w:rPr>
              <w:t>主变压器</w:t>
            </w:r>
            <w:r>
              <w:rPr>
                <w:rFonts w:hint="default" w:ascii="Times New Roman" w:hAnsi="Times New Roman" w:cs="Times New Roman"/>
                <w:color w:val="auto"/>
                <w:lang w:eastAsia="zh-CN"/>
              </w:rPr>
              <w:t>，根据《环境影响评价技术导则</w:t>
            </w:r>
            <w:r>
              <w:rPr>
                <w:rFonts w:hint="eastAsia" w:cs="Times New Roman"/>
                <w:color w:val="auto"/>
                <w:lang w:val="en-US" w:eastAsia="zh-CN"/>
              </w:rPr>
              <w:t xml:space="preserve"> </w:t>
            </w:r>
            <w:r>
              <w:rPr>
                <w:rFonts w:hint="default" w:ascii="Times New Roman" w:hAnsi="Times New Roman" w:cs="Times New Roman"/>
                <w:color w:val="auto"/>
                <w:lang w:eastAsia="zh-CN"/>
              </w:rPr>
              <w:t>输变电工程》，应开展电磁辐射影响</w:t>
            </w:r>
            <w:r>
              <w:rPr>
                <w:rFonts w:hint="eastAsia" w:cs="Times New Roman"/>
                <w:color w:val="auto"/>
                <w:lang w:val="en-US" w:eastAsia="zh-CN"/>
              </w:rPr>
              <w:t>评价</w:t>
            </w:r>
            <w:r>
              <w:rPr>
                <w:rFonts w:hint="default" w:ascii="Times New Roman" w:hAnsi="Times New Roman" w:cs="Times New Roman"/>
                <w:color w:val="auto"/>
                <w:lang w:eastAsia="zh-CN"/>
              </w:rPr>
              <w:t>，故设置电磁环境影响专项评价。</w:t>
            </w:r>
          </w:p>
          <w:p w14:paraId="4BC8F75E">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根据《云南省在适宜地区适度开发利用新能源规划环境影响篇章》对项目的要求，项目评价范围涉及环境敏感区（</w:t>
            </w:r>
            <w:r>
              <w:rPr>
                <w:rFonts w:hint="eastAsia" w:cs="Times New Roman"/>
                <w:color w:val="auto"/>
                <w:lang w:val="en-US" w:eastAsia="zh-CN"/>
              </w:rPr>
              <w:t>生态保护红线</w:t>
            </w:r>
            <w:r>
              <w:rPr>
                <w:rFonts w:hint="default" w:ascii="Times New Roman" w:hAnsi="Times New Roman" w:cs="Times New Roman"/>
                <w:color w:val="auto"/>
                <w:lang w:val="en-US" w:eastAsia="zh-CN"/>
              </w:rPr>
              <w:t>），需要设置陆生生态环境影响专项评价，因此项目开展生态评价专题。具体详见生态专题报告。</w:t>
            </w:r>
          </w:p>
        </w:tc>
      </w:tr>
      <w:tr w14:paraId="3BC44E2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016B62DB">
            <w:pPr>
              <w:pStyle w:val="18"/>
              <w:bidi w:val="0"/>
              <w:rPr>
                <w:rFonts w:hint="default" w:ascii="Times New Roman" w:hAnsi="Times New Roman" w:cs="Times New Roman"/>
                <w:color w:val="auto"/>
              </w:rPr>
            </w:pPr>
            <w:r>
              <w:rPr>
                <w:rFonts w:hint="default" w:ascii="Times New Roman" w:hAnsi="Times New Roman" w:cs="Times New Roman"/>
                <w:color w:val="auto"/>
              </w:rPr>
              <w:t>规划情况</w:t>
            </w:r>
          </w:p>
        </w:tc>
        <w:tc>
          <w:tcPr>
            <w:tcW w:w="7699" w:type="dxa"/>
            <w:gridSpan w:val="3"/>
            <w:noWrap w:val="0"/>
            <w:tcMar>
              <w:top w:w="16" w:type="dxa"/>
              <w:left w:w="16" w:type="dxa"/>
              <w:right w:w="16" w:type="dxa"/>
            </w:tcMar>
            <w:vAlign w:val="center"/>
          </w:tcPr>
          <w:p w14:paraId="50DFCA62">
            <w:pPr>
              <w:bidi w:val="0"/>
              <w:ind w:left="0" w:leftChars="0" w:firstLine="0" w:firstLineChars="0"/>
              <w:rPr>
                <w:rFonts w:hint="default"/>
                <w:b/>
                <w:bCs/>
                <w:color w:val="auto"/>
                <w:lang w:val="en-US" w:eastAsia="zh-CN"/>
              </w:rPr>
            </w:pPr>
            <w:r>
              <w:rPr>
                <w:rFonts w:hint="eastAsia"/>
                <w:b/>
                <w:bCs/>
                <w:color w:val="auto"/>
                <w:lang w:val="en-US" w:eastAsia="zh-CN"/>
              </w:rPr>
              <w:t>1.《</w:t>
            </w:r>
            <w:r>
              <w:rPr>
                <w:rFonts w:hint="default"/>
                <w:b/>
                <w:bCs/>
                <w:color w:val="auto"/>
                <w:lang w:val="en-US" w:eastAsia="zh-CN"/>
              </w:rPr>
              <w:t>云南省在适宜地区适度开发利用新能源规划</w:t>
            </w:r>
            <w:r>
              <w:rPr>
                <w:rFonts w:hint="eastAsia"/>
                <w:b/>
                <w:bCs/>
                <w:color w:val="auto"/>
                <w:lang w:val="en-US" w:eastAsia="zh-CN"/>
              </w:rPr>
              <w:t>（2020~2021）</w:t>
            </w:r>
            <w:r>
              <w:rPr>
                <w:rFonts w:hint="default"/>
                <w:b/>
                <w:bCs/>
                <w:color w:val="auto"/>
                <w:lang w:val="en-US" w:eastAsia="zh-CN"/>
              </w:rPr>
              <w:t>》</w:t>
            </w:r>
          </w:p>
          <w:p w14:paraId="1F26F944">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caps w:val="0"/>
                <w:color w:val="auto"/>
                <w:kern w:val="0"/>
                <w:sz w:val="24"/>
                <w:highlight w:val="none"/>
                <w:lang w:val="en-US" w:eastAsia="zh-CN"/>
              </w:rPr>
            </w:pPr>
            <w:r>
              <w:rPr>
                <w:rFonts w:hint="default" w:ascii="Times New Roman" w:hAnsi="Times New Roman" w:eastAsia="宋体" w:cs="Times New Roman"/>
                <w:caps w:val="0"/>
                <w:color w:val="auto"/>
                <w:kern w:val="0"/>
                <w:sz w:val="24"/>
                <w:highlight w:val="none"/>
                <w:lang w:val="en-US" w:eastAsia="zh-CN"/>
              </w:rPr>
              <w:t>文件情况：《云南省在适宜地区适度开发利用新能源规划环境影响篇章（2020~2021）》</w:t>
            </w:r>
          </w:p>
          <w:p w14:paraId="59488F4D">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caps w:val="0"/>
                <w:color w:val="auto"/>
                <w:kern w:val="0"/>
                <w:sz w:val="24"/>
                <w:highlight w:val="none"/>
                <w:lang w:val="en-US" w:eastAsia="zh-CN"/>
              </w:rPr>
            </w:pPr>
            <w:r>
              <w:rPr>
                <w:rFonts w:hint="default" w:ascii="Times New Roman" w:hAnsi="Times New Roman" w:eastAsia="宋体" w:cs="Times New Roman"/>
                <w:caps w:val="0"/>
                <w:color w:val="auto"/>
                <w:kern w:val="0"/>
                <w:sz w:val="24"/>
                <w:highlight w:val="none"/>
                <w:lang w:val="en-US" w:eastAsia="zh-CN"/>
              </w:rPr>
              <w:t>召集审查机关：云南省人民政府投资项目评审中心</w:t>
            </w:r>
          </w:p>
          <w:p w14:paraId="4C8FC545">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caps w:val="0"/>
                <w:color w:val="auto"/>
                <w:kern w:val="0"/>
                <w:sz w:val="24"/>
                <w:highlight w:val="none"/>
                <w:lang w:val="en-US" w:eastAsia="zh-CN"/>
              </w:rPr>
            </w:pPr>
            <w:r>
              <w:rPr>
                <w:rFonts w:hint="default" w:ascii="Times New Roman" w:hAnsi="Times New Roman" w:eastAsia="宋体" w:cs="Times New Roman"/>
                <w:caps w:val="0"/>
                <w:color w:val="auto"/>
                <w:kern w:val="0"/>
                <w:sz w:val="24"/>
                <w:highlight w:val="none"/>
                <w:lang w:val="en-US" w:eastAsia="zh-CN"/>
              </w:rPr>
              <w:t>审查文件名称及文号：云南省人民政府投资项目评审中心关于《云南省在适宜地区适度开发利用新能源规划（2020~2021）》的评估意见（云投审发</w:t>
            </w:r>
            <w:r>
              <w:rPr>
                <w:rFonts w:hint="eastAsia" w:cs="Times New Roman"/>
                <w:caps w:val="0"/>
                <w:color w:val="auto"/>
                <w:kern w:val="0"/>
                <w:sz w:val="24"/>
                <w:highlight w:val="none"/>
                <w:lang w:val="en-US" w:eastAsia="zh-CN"/>
              </w:rPr>
              <w:t>〔2020〕120号</w:t>
            </w:r>
            <w:r>
              <w:rPr>
                <w:rFonts w:hint="default" w:ascii="Times New Roman" w:hAnsi="Times New Roman" w:eastAsia="宋体" w:cs="Times New Roman"/>
                <w:caps w:val="0"/>
                <w:color w:val="auto"/>
                <w:kern w:val="0"/>
                <w:sz w:val="24"/>
                <w:highlight w:val="none"/>
                <w:lang w:val="en-US" w:eastAsia="zh-CN"/>
              </w:rPr>
              <w:t>）</w:t>
            </w:r>
          </w:p>
          <w:p w14:paraId="4970DDCF">
            <w:pPr>
              <w:keepNext w:val="0"/>
              <w:keepLines w:val="0"/>
              <w:pageBreakBefore w:val="0"/>
              <w:widowControl w:val="0"/>
              <w:kinsoku/>
              <w:wordWrap/>
              <w:overflowPunct/>
              <w:topLinePunct w:val="0"/>
              <w:autoSpaceDE w:val="0"/>
              <w:autoSpaceDN w:val="0"/>
              <w:bidi w:val="0"/>
              <w:adjustRightInd w:val="0"/>
              <w:snapToGrid w:val="0"/>
              <w:spacing w:line="360" w:lineRule="auto"/>
              <w:ind w:left="0" w:leftChars="0" w:firstLine="0" w:firstLineChars="0"/>
              <w:textAlignment w:val="auto"/>
              <w:rPr>
                <w:rFonts w:hint="default" w:ascii="Times New Roman" w:hAnsi="Times New Roman" w:eastAsia="宋体" w:cs="Times New Roman"/>
                <w:b/>
                <w:bCs/>
                <w:caps w:val="0"/>
                <w:color w:val="auto"/>
                <w:kern w:val="0"/>
                <w:sz w:val="24"/>
                <w:highlight w:val="none"/>
                <w:lang w:val="en-US" w:eastAsia="zh-CN"/>
              </w:rPr>
            </w:pPr>
            <w:r>
              <w:rPr>
                <w:rFonts w:hint="eastAsia" w:cs="Times New Roman"/>
                <w:b/>
                <w:bCs/>
                <w:caps w:val="0"/>
                <w:color w:val="auto"/>
                <w:kern w:val="0"/>
                <w:sz w:val="24"/>
                <w:highlight w:val="none"/>
                <w:lang w:val="en-US" w:eastAsia="zh-CN"/>
              </w:rPr>
              <w:t>2.</w:t>
            </w:r>
            <w:r>
              <w:rPr>
                <w:rFonts w:hint="default" w:ascii="Times New Roman" w:hAnsi="Times New Roman" w:eastAsia="宋体" w:cs="Times New Roman"/>
                <w:b/>
                <w:bCs/>
                <w:caps w:val="0"/>
                <w:color w:val="auto"/>
                <w:kern w:val="0"/>
                <w:sz w:val="24"/>
                <w:highlight w:val="none"/>
                <w:lang w:val="en-US" w:eastAsia="zh-CN"/>
              </w:rPr>
              <w:t>《云南省202</w:t>
            </w:r>
            <w:r>
              <w:rPr>
                <w:rFonts w:hint="default" w:ascii="Times New Roman" w:hAnsi="Times New Roman" w:cs="Times New Roman"/>
                <w:b/>
                <w:bCs/>
                <w:caps w:val="0"/>
                <w:color w:val="auto"/>
                <w:kern w:val="0"/>
                <w:sz w:val="24"/>
                <w:highlight w:val="none"/>
                <w:lang w:val="en-US" w:eastAsia="zh-CN"/>
              </w:rPr>
              <w:t>4</w:t>
            </w:r>
            <w:r>
              <w:rPr>
                <w:rFonts w:hint="default" w:ascii="Times New Roman" w:hAnsi="Times New Roman" w:eastAsia="宋体" w:cs="Times New Roman"/>
                <w:b/>
                <w:bCs/>
                <w:caps w:val="0"/>
                <w:color w:val="auto"/>
                <w:kern w:val="0"/>
                <w:sz w:val="24"/>
                <w:highlight w:val="none"/>
                <w:lang w:val="en-US" w:eastAsia="zh-CN"/>
              </w:rPr>
              <w:t>年第二批新能源项目开发建设方案》</w:t>
            </w:r>
          </w:p>
          <w:p w14:paraId="6689CA5C">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caps w:val="0"/>
                <w:color w:val="auto"/>
                <w:kern w:val="0"/>
                <w:sz w:val="24"/>
                <w:highlight w:val="none"/>
                <w:lang w:val="en-US" w:eastAsia="zh-CN"/>
              </w:rPr>
            </w:pPr>
            <w:r>
              <w:rPr>
                <w:rFonts w:hint="default" w:ascii="Times New Roman" w:hAnsi="Times New Roman" w:eastAsia="宋体" w:cs="Times New Roman"/>
                <w:caps w:val="0"/>
                <w:color w:val="auto"/>
                <w:kern w:val="0"/>
                <w:sz w:val="24"/>
                <w:highlight w:val="none"/>
                <w:lang w:val="en-US" w:eastAsia="zh-CN"/>
              </w:rPr>
              <w:t>文件情况：《云南省202</w:t>
            </w:r>
            <w:r>
              <w:rPr>
                <w:rFonts w:hint="default" w:ascii="Times New Roman" w:hAnsi="Times New Roman" w:cs="Times New Roman"/>
                <w:caps w:val="0"/>
                <w:color w:val="auto"/>
                <w:kern w:val="0"/>
                <w:sz w:val="24"/>
                <w:highlight w:val="none"/>
                <w:lang w:val="en-US" w:eastAsia="zh-CN"/>
              </w:rPr>
              <w:t>4</w:t>
            </w:r>
            <w:r>
              <w:rPr>
                <w:rFonts w:hint="default" w:ascii="Times New Roman" w:hAnsi="Times New Roman" w:eastAsia="宋体" w:cs="Times New Roman"/>
                <w:caps w:val="0"/>
                <w:color w:val="auto"/>
                <w:kern w:val="0"/>
                <w:sz w:val="24"/>
                <w:highlight w:val="none"/>
                <w:lang w:val="en-US" w:eastAsia="zh-CN"/>
              </w:rPr>
              <w:t>年第二批新能源项目开发建设方案》</w:t>
            </w:r>
          </w:p>
          <w:p w14:paraId="65744D96">
            <w:pPr>
              <w:keepNext w:val="0"/>
              <w:keepLines w:val="0"/>
              <w:pageBreakBefore w:val="0"/>
              <w:widowControl w:val="0"/>
              <w:kinsoku/>
              <w:wordWrap/>
              <w:overflowPunct/>
              <w:topLinePunct w:val="0"/>
              <w:autoSpaceDE w:val="0"/>
              <w:autoSpaceDN w:val="0"/>
              <w:bidi w:val="0"/>
              <w:adjustRightInd w:val="0"/>
              <w:snapToGrid w:val="0"/>
              <w:spacing w:line="360" w:lineRule="auto"/>
              <w:ind w:firstLine="480" w:firstLineChars="200"/>
              <w:textAlignment w:val="auto"/>
              <w:rPr>
                <w:rFonts w:hint="default" w:ascii="Times New Roman" w:hAnsi="Times New Roman" w:eastAsia="宋体" w:cs="Times New Roman"/>
                <w:caps w:val="0"/>
                <w:color w:val="auto"/>
                <w:kern w:val="0"/>
                <w:sz w:val="24"/>
                <w:highlight w:val="none"/>
                <w:lang w:val="en-US" w:eastAsia="zh-CN"/>
              </w:rPr>
            </w:pPr>
            <w:r>
              <w:rPr>
                <w:rFonts w:hint="default" w:ascii="Times New Roman" w:hAnsi="Times New Roman" w:eastAsia="宋体" w:cs="Times New Roman"/>
                <w:caps w:val="0"/>
                <w:color w:val="auto"/>
                <w:kern w:val="0"/>
                <w:sz w:val="24"/>
                <w:highlight w:val="none"/>
                <w:lang w:val="en-US" w:eastAsia="zh-CN"/>
              </w:rPr>
              <w:t>召集审查机关：云南省发展和改革委员会、云南省能源局</w:t>
            </w:r>
          </w:p>
          <w:p w14:paraId="56F7DD42">
            <w:pPr>
              <w:bidi w:val="0"/>
              <w:rPr>
                <w:rFonts w:hint="default" w:ascii="Times New Roman" w:hAnsi="Times New Roman" w:cs="Times New Roman"/>
                <w:color w:val="auto"/>
                <w:lang w:val="en-US" w:eastAsia="zh-CN"/>
              </w:rPr>
            </w:pPr>
            <w:r>
              <w:rPr>
                <w:rFonts w:hint="default" w:ascii="Times New Roman" w:hAnsi="Times New Roman" w:eastAsia="宋体" w:cs="Times New Roman"/>
                <w:caps w:val="0"/>
                <w:color w:val="auto"/>
                <w:kern w:val="0"/>
                <w:sz w:val="24"/>
                <w:highlight w:val="none"/>
                <w:lang w:val="en-US" w:eastAsia="zh-CN"/>
              </w:rPr>
              <w:t>审查文件名称及文号：《云南省202</w:t>
            </w:r>
            <w:r>
              <w:rPr>
                <w:rFonts w:hint="default" w:ascii="Times New Roman" w:hAnsi="Times New Roman" w:cs="Times New Roman"/>
                <w:caps w:val="0"/>
                <w:color w:val="auto"/>
                <w:kern w:val="0"/>
                <w:sz w:val="24"/>
                <w:highlight w:val="none"/>
                <w:lang w:val="en-US" w:eastAsia="zh-CN"/>
              </w:rPr>
              <w:t>4</w:t>
            </w:r>
            <w:r>
              <w:rPr>
                <w:rFonts w:hint="default" w:ascii="Times New Roman" w:hAnsi="Times New Roman" w:eastAsia="宋体" w:cs="Times New Roman"/>
                <w:caps w:val="0"/>
                <w:color w:val="auto"/>
                <w:kern w:val="0"/>
                <w:sz w:val="24"/>
                <w:highlight w:val="none"/>
                <w:lang w:val="en-US" w:eastAsia="zh-CN"/>
              </w:rPr>
              <w:t>年第二批新能源项目开发建设方案》（云能源</w:t>
            </w:r>
            <w:r>
              <w:rPr>
                <w:rFonts w:hint="default" w:ascii="Times New Roman" w:hAnsi="Times New Roman" w:cs="Times New Roman"/>
                <w:caps w:val="0"/>
                <w:color w:val="auto"/>
                <w:kern w:val="0"/>
                <w:sz w:val="24"/>
                <w:highlight w:val="none"/>
                <w:lang w:val="en-US" w:eastAsia="zh-CN"/>
              </w:rPr>
              <w:t>新能</w:t>
            </w:r>
            <w:r>
              <w:rPr>
                <w:rFonts w:hint="default" w:ascii="Times New Roman" w:hAnsi="Times New Roman" w:eastAsia="宋体" w:cs="Times New Roman"/>
                <w:caps w:val="0"/>
                <w:color w:val="auto"/>
                <w:kern w:val="0"/>
                <w:sz w:val="24"/>
                <w:highlight w:val="none"/>
                <w:lang w:val="en-US" w:eastAsia="zh-CN"/>
              </w:rPr>
              <w:t>〔202</w:t>
            </w:r>
            <w:r>
              <w:rPr>
                <w:rFonts w:hint="default" w:ascii="Times New Roman" w:hAnsi="Times New Roman" w:cs="Times New Roman"/>
                <w:caps w:val="0"/>
                <w:color w:val="auto"/>
                <w:kern w:val="0"/>
                <w:sz w:val="24"/>
                <w:highlight w:val="none"/>
                <w:lang w:val="en-US" w:eastAsia="zh-CN"/>
              </w:rPr>
              <w:t>4</w:t>
            </w:r>
            <w:r>
              <w:rPr>
                <w:rFonts w:hint="default" w:ascii="Times New Roman" w:hAnsi="Times New Roman" w:eastAsia="宋体" w:cs="Times New Roman"/>
                <w:caps w:val="0"/>
                <w:color w:val="auto"/>
                <w:kern w:val="0"/>
                <w:sz w:val="24"/>
                <w:highlight w:val="none"/>
                <w:lang w:val="en-US" w:eastAsia="zh-CN"/>
              </w:rPr>
              <w:t>〕</w:t>
            </w:r>
            <w:r>
              <w:rPr>
                <w:rFonts w:hint="default" w:ascii="Times New Roman" w:hAnsi="Times New Roman" w:cs="Times New Roman"/>
                <w:caps w:val="0"/>
                <w:color w:val="auto"/>
                <w:kern w:val="0"/>
                <w:sz w:val="24"/>
                <w:highlight w:val="none"/>
                <w:lang w:val="en-US" w:eastAsia="zh-CN"/>
              </w:rPr>
              <w:t>194</w:t>
            </w:r>
            <w:r>
              <w:rPr>
                <w:rFonts w:hint="default" w:ascii="Times New Roman" w:hAnsi="Times New Roman" w:eastAsia="宋体" w:cs="Times New Roman"/>
                <w:caps w:val="0"/>
                <w:color w:val="auto"/>
                <w:kern w:val="0"/>
                <w:sz w:val="24"/>
                <w:highlight w:val="none"/>
                <w:lang w:val="en-US" w:eastAsia="zh-CN"/>
              </w:rPr>
              <w:t>号）</w:t>
            </w:r>
          </w:p>
        </w:tc>
      </w:tr>
      <w:tr w14:paraId="0FA993C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0" w:hRule="atLeast"/>
        </w:trPr>
        <w:tc>
          <w:tcPr>
            <w:tcW w:w="1221" w:type="dxa"/>
            <w:noWrap w:val="0"/>
            <w:tcMar>
              <w:top w:w="16" w:type="dxa"/>
              <w:left w:w="16" w:type="dxa"/>
              <w:right w:w="16" w:type="dxa"/>
            </w:tcMar>
            <w:vAlign w:val="center"/>
          </w:tcPr>
          <w:p w14:paraId="0673D4D8">
            <w:pPr>
              <w:pStyle w:val="18"/>
              <w:bidi w:val="0"/>
              <w:rPr>
                <w:rFonts w:hint="default" w:ascii="Times New Roman" w:hAnsi="Times New Roman" w:cs="Times New Roman"/>
                <w:color w:val="auto"/>
              </w:rPr>
            </w:pPr>
            <w:r>
              <w:rPr>
                <w:rFonts w:hint="default" w:ascii="Times New Roman" w:hAnsi="Times New Roman" w:cs="Times New Roman"/>
                <w:color w:val="auto"/>
              </w:rPr>
              <w:t>规划环境影响评价情况</w:t>
            </w:r>
          </w:p>
        </w:tc>
        <w:tc>
          <w:tcPr>
            <w:tcW w:w="7699" w:type="dxa"/>
            <w:gridSpan w:val="3"/>
            <w:noWrap w:val="0"/>
            <w:tcMar>
              <w:top w:w="16" w:type="dxa"/>
              <w:left w:w="16" w:type="dxa"/>
              <w:right w:w="16" w:type="dxa"/>
            </w:tcMar>
            <w:vAlign w:val="center"/>
          </w:tcPr>
          <w:p w14:paraId="020317EA">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Times New Roman" w:hAnsi="Times New Roman" w:eastAsia="宋体" w:cs="Times New Roman"/>
                <w:b/>
                <w:bCs/>
                <w:caps w:val="0"/>
                <w:color w:val="auto"/>
                <w:kern w:val="0"/>
                <w:sz w:val="24"/>
                <w:highlight w:val="none"/>
              </w:rPr>
            </w:pPr>
            <w:r>
              <w:rPr>
                <w:rFonts w:hint="eastAsia" w:cs="Times New Roman"/>
                <w:b/>
                <w:bCs/>
                <w:caps w:val="0"/>
                <w:color w:val="auto"/>
                <w:kern w:val="0"/>
                <w:sz w:val="24"/>
                <w:highlight w:val="none"/>
                <w:lang w:val="en-US" w:eastAsia="zh-CN"/>
              </w:rPr>
              <w:t>1.</w:t>
            </w:r>
            <w:r>
              <w:rPr>
                <w:rFonts w:hint="default" w:ascii="Times New Roman" w:hAnsi="Times New Roman" w:eastAsia="宋体" w:cs="Times New Roman"/>
                <w:b/>
                <w:bCs/>
                <w:caps w:val="0"/>
                <w:color w:val="auto"/>
                <w:kern w:val="0"/>
                <w:sz w:val="24"/>
                <w:highlight w:val="none"/>
              </w:rPr>
              <w:t>《云南省在适宜地区适度开发利用新能源规划</w:t>
            </w:r>
            <w:r>
              <w:rPr>
                <w:rFonts w:hint="default"/>
                <w:b/>
                <w:bCs/>
                <w:color w:val="auto"/>
                <w:lang w:val="en-US" w:eastAsia="zh-CN"/>
              </w:rPr>
              <w:t>环境影响篇章</w:t>
            </w:r>
            <w:r>
              <w:rPr>
                <w:rFonts w:hint="default" w:ascii="Times New Roman" w:hAnsi="Times New Roman" w:eastAsia="宋体" w:cs="Times New Roman"/>
                <w:b/>
                <w:bCs/>
                <w:caps w:val="0"/>
                <w:color w:val="auto"/>
                <w:kern w:val="0"/>
                <w:sz w:val="24"/>
                <w:highlight w:val="none"/>
              </w:rPr>
              <w:t>》</w:t>
            </w:r>
          </w:p>
          <w:p w14:paraId="688DA0B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color w:val="auto"/>
              </w:rPr>
            </w:pPr>
            <w:r>
              <w:rPr>
                <w:rFonts w:hint="default" w:ascii="Times New Roman" w:hAnsi="Times New Roman" w:eastAsia="宋体" w:cs="Times New Roman"/>
                <w:caps w:val="0"/>
                <w:color w:val="auto"/>
                <w:kern w:val="0"/>
                <w:sz w:val="24"/>
              </w:rPr>
              <w:t>云南省发展和改革委员会、云南省能源局于2020年9月30日下发了《关于印发云南省在适宜地区适度开发利用新能源规划及配套文件的通知》</w:t>
            </w:r>
            <w:r>
              <w:rPr>
                <w:rFonts w:hint="default" w:ascii="Times New Roman" w:hAnsi="Times New Roman" w:eastAsia="宋体" w:cs="Times New Roman"/>
                <w:caps w:val="0"/>
                <w:color w:val="auto"/>
                <w:kern w:val="0"/>
                <w:sz w:val="24"/>
                <w:lang w:eastAsia="zh-CN"/>
              </w:rPr>
              <w:t>。</w:t>
            </w:r>
          </w:p>
        </w:tc>
      </w:tr>
      <w:tr w14:paraId="759ECB6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221" w:type="dxa"/>
            <w:noWrap w:val="0"/>
            <w:tcMar>
              <w:top w:w="16" w:type="dxa"/>
              <w:left w:w="16" w:type="dxa"/>
              <w:right w:w="16" w:type="dxa"/>
            </w:tcMar>
            <w:vAlign w:val="center"/>
          </w:tcPr>
          <w:p w14:paraId="43678A3A">
            <w:pPr>
              <w:pStyle w:val="18"/>
              <w:bidi w:val="0"/>
              <w:rPr>
                <w:rFonts w:hint="default" w:ascii="Times New Roman" w:hAnsi="Times New Roman" w:cs="Times New Roman"/>
                <w:color w:val="auto"/>
              </w:rPr>
            </w:pPr>
            <w:r>
              <w:rPr>
                <w:rFonts w:hint="default" w:ascii="Times New Roman" w:hAnsi="Times New Roman" w:cs="Times New Roman"/>
                <w:color w:val="auto"/>
              </w:rPr>
              <w:t>规划及规划环境影响评价符合性分析</w:t>
            </w:r>
          </w:p>
        </w:tc>
        <w:tc>
          <w:tcPr>
            <w:tcW w:w="7699" w:type="dxa"/>
            <w:gridSpan w:val="3"/>
            <w:noWrap w:val="0"/>
            <w:tcMar>
              <w:top w:w="16" w:type="dxa"/>
              <w:left w:w="16" w:type="dxa"/>
              <w:right w:w="16" w:type="dxa"/>
            </w:tcMar>
            <w:vAlign w:val="center"/>
          </w:tcPr>
          <w:p w14:paraId="6E25B454">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left"/>
              <w:textAlignment w:val="auto"/>
              <w:rPr>
                <w:rFonts w:hint="default" w:ascii="Times New Roman" w:hAnsi="Times New Roman" w:eastAsia="宋体" w:cs="Times New Roman"/>
                <w:b/>
                <w:bCs/>
                <w:caps w:val="0"/>
                <w:color w:val="auto"/>
                <w:kern w:val="0"/>
                <w:sz w:val="24"/>
                <w:highlight w:val="none"/>
              </w:rPr>
            </w:pPr>
            <w:r>
              <w:rPr>
                <w:rFonts w:hint="eastAsia" w:cs="Times New Roman"/>
                <w:b/>
                <w:bCs/>
                <w:caps w:val="0"/>
                <w:color w:val="auto"/>
                <w:kern w:val="0"/>
                <w:sz w:val="24"/>
                <w:highlight w:val="none"/>
                <w:lang w:val="en-US" w:eastAsia="zh-CN"/>
              </w:rPr>
              <w:t>1.</w:t>
            </w:r>
            <w:r>
              <w:rPr>
                <w:rFonts w:hint="default" w:ascii="Times New Roman" w:hAnsi="Times New Roman" w:eastAsia="宋体" w:cs="Times New Roman"/>
                <w:b/>
                <w:bCs/>
                <w:caps w:val="0"/>
                <w:color w:val="auto"/>
                <w:kern w:val="0"/>
                <w:sz w:val="24"/>
                <w:highlight w:val="none"/>
                <w:lang w:eastAsia="zh-CN"/>
              </w:rPr>
              <w:t>与</w:t>
            </w:r>
            <w:r>
              <w:rPr>
                <w:rFonts w:hint="default" w:ascii="Times New Roman" w:hAnsi="Times New Roman" w:eastAsia="宋体" w:cs="Times New Roman"/>
                <w:b/>
                <w:bCs/>
                <w:caps w:val="0"/>
                <w:color w:val="auto"/>
                <w:kern w:val="0"/>
                <w:sz w:val="24"/>
                <w:highlight w:val="none"/>
              </w:rPr>
              <w:t>《云南省在适宜地区适度开发利用新能源规划（2020~2021）》</w:t>
            </w:r>
            <w:r>
              <w:rPr>
                <w:rFonts w:hint="default" w:ascii="Times New Roman" w:hAnsi="Times New Roman" w:eastAsia="宋体" w:cs="Times New Roman"/>
                <w:b/>
                <w:bCs/>
                <w:caps w:val="0"/>
                <w:color w:val="auto"/>
                <w:kern w:val="0"/>
                <w:sz w:val="24"/>
                <w:highlight w:val="none"/>
                <w:lang w:eastAsia="zh-CN"/>
              </w:rPr>
              <w:t>符合性分析</w:t>
            </w:r>
          </w:p>
          <w:p w14:paraId="2827EBD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aps w:val="0"/>
                <w:color w:val="auto"/>
                <w:kern w:val="0"/>
                <w:sz w:val="24"/>
                <w:highlight w:val="none"/>
                <w:lang w:eastAsia="zh-CN"/>
              </w:rPr>
            </w:pPr>
            <w:r>
              <w:rPr>
                <w:rFonts w:hint="default" w:ascii="Times New Roman" w:hAnsi="Times New Roman" w:eastAsia="宋体" w:cs="Times New Roman"/>
                <w:caps w:val="0"/>
                <w:color w:val="auto"/>
                <w:kern w:val="0"/>
                <w:sz w:val="24"/>
              </w:rPr>
              <w:t>云南省发展和改革委员会、云南省能源局于2020年9月30日下发了《关于印发云南省在适宜地区适度开发利用新能源规划及配套文件的通知》</w:t>
            </w:r>
            <w:r>
              <w:rPr>
                <w:rFonts w:hint="default" w:ascii="Times New Roman" w:hAnsi="Times New Roman" w:eastAsia="宋体" w:cs="Times New Roman"/>
                <w:caps w:val="0"/>
                <w:color w:val="auto"/>
                <w:kern w:val="0"/>
                <w:sz w:val="24"/>
                <w:lang w:eastAsia="zh-CN"/>
              </w:rPr>
              <w:t>。</w:t>
            </w:r>
          </w:p>
          <w:p w14:paraId="59CAE09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aps w:val="0"/>
                <w:color w:val="auto"/>
                <w:kern w:val="0"/>
                <w:sz w:val="24"/>
                <w:highlight w:val="none"/>
              </w:rPr>
            </w:pPr>
            <w:r>
              <w:rPr>
                <w:rFonts w:hint="default" w:ascii="Times New Roman" w:hAnsi="Times New Roman" w:eastAsia="宋体" w:cs="Times New Roman"/>
                <w:caps w:val="0"/>
                <w:color w:val="auto"/>
                <w:kern w:val="0"/>
                <w:sz w:val="24"/>
                <w:highlight w:val="none"/>
              </w:rPr>
              <w:t>根据《云南省在适宜地区适度开发利用新能源规划》，在适宜地区适度开发利用新能源规划区域包括昆明、曲靖、昭通、红河、文山、楚雄6个州（市）的部分区域。区域内干旱少雨、土地贫瘠、石漠化土地面积占全省50%以上、环境敏感因素相对较低，同时区域内现役水电规模大、贫困人口基数大、太阳能、风能资源丰富、“十四五”新增用电量大，是我省适宜发展风电、光伏的重要区域。</w:t>
            </w:r>
          </w:p>
          <w:p w14:paraId="63AE045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aps w:val="0"/>
                <w:color w:val="auto"/>
                <w:kern w:val="0"/>
                <w:sz w:val="24"/>
                <w:highlight w:val="none"/>
              </w:rPr>
            </w:pPr>
            <w:r>
              <w:rPr>
                <w:rFonts w:hint="default" w:ascii="Times New Roman" w:hAnsi="Times New Roman" w:eastAsia="宋体" w:cs="Times New Roman"/>
                <w:caps w:val="0"/>
                <w:color w:val="auto"/>
                <w:kern w:val="0"/>
                <w:sz w:val="24"/>
                <w:highlight w:val="none"/>
              </w:rPr>
              <w:t>在我省东部及东南部石漠化、喀斯特地形地貌为主的区域，规划布局以近区消纳为目标的风电项目，风电规划装机目标为800万千瓦。</w:t>
            </w:r>
          </w:p>
          <w:p w14:paraId="7745BA9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eastAsia="宋体" w:cs="Times New Roman"/>
                <w:caps w:val="0"/>
                <w:color w:val="auto"/>
                <w:kern w:val="0"/>
                <w:sz w:val="24"/>
                <w:highlight w:val="none"/>
              </w:rPr>
            </w:pPr>
            <w:r>
              <w:rPr>
                <w:rFonts w:hint="default" w:ascii="Times New Roman" w:hAnsi="Times New Roman" w:eastAsia="宋体" w:cs="Times New Roman"/>
                <w:caps w:val="0"/>
                <w:color w:val="auto"/>
                <w:kern w:val="0"/>
                <w:sz w:val="24"/>
                <w:highlight w:val="none"/>
              </w:rPr>
              <w:t>根据规划区资源分布、环境敏感因素及项目建设条件，本规划区规划建设新能源基地31个、总装机容量1090万千瓦。全部规划项目年平均上网电量约252亿千瓦时，枯水期年平均上网电量约171亿千瓦时。</w:t>
            </w:r>
          </w:p>
          <w:p w14:paraId="5700F75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bCs/>
                <w:caps w:val="0"/>
                <w:color w:val="auto"/>
                <w:spacing w:val="-7"/>
                <w:szCs w:val="21"/>
              </w:rPr>
            </w:pPr>
            <w:r>
              <w:rPr>
                <w:rFonts w:hint="default" w:ascii="Times New Roman" w:hAnsi="Times New Roman" w:eastAsia="宋体" w:cs="Times New Roman"/>
                <w:caps w:val="0"/>
                <w:color w:val="auto"/>
                <w:kern w:val="0"/>
                <w:sz w:val="24"/>
                <w:highlight w:val="none"/>
              </w:rPr>
              <w:t>其中风电基地20个，总装机规模790万千瓦。</w:t>
            </w:r>
            <w:r>
              <w:rPr>
                <w:rFonts w:hint="default" w:ascii="Times New Roman" w:hAnsi="Times New Roman" w:eastAsia="宋体" w:cs="Times New Roman"/>
                <w:bCs/>
                <w:caps w:val="0"/>
                <w:color w:val="auto"/>
                <w:spacing w:val="-2"/>
                <w:sz w:val="24"/>
                <w:highlight w:val="none"/>
              </w:rPr>
              <w:t>本项目属于规划中的</w:t>
            </w:r>
            <w:r>
              <w:rPr>
                <w:rFonts w:hint="default" w:ascii="Times New Roman" w:hAnsi="Times New Roman" w:eastAsia="宋体" w:cs="Times New Roman"/>
                <w:bCs/>
                <w:caps w:val="0"/>
                <w:color w:val="auto"/>
                <w:spacing w:val="-2"/>
                <w:sz w:val="24"/>
                <w:highlight w:val="none"/>
                <w:lang w:val="en-US" w:eastAsia="zh-CN"/>
              </w:rPr>
              <w:t>西泽</w:t>
            </w:r>
            <w:r>
              <w:rPr>
                <w:rFonts w:hint="eastAsia" w:cs="Times New Roman"/>
                <w:bCs/>
                <w:caps w:val="0"/>
                <w:color w:val="auto"/>
                <w:spacing w:val="-2"/>
                <w:sz w:val="24"/>
                <w:highlight w:val="none"/>
                <w:lang w:val="en-US" w:eastAsia="zh-CN"/>
              </w:rPr>
              <w:t>风电场</w:t>
            </w:r>
            <w:r>
              <w:rPr>
                <w:rFonts w:hint="default" w:ascii="Times New Roman" w:hAnsi="Times New Roman" w:eastAsia="宋体" w:cs="Times New Roman"/>
                <w:bCs/>
                <w:caps w:val="0"/>
                <w:color w:val="auto"/>
                <w:spacing w:val="-2"/>
                <w:sz w:val="24"/>
                <w:highlight w:val="none"/>
                <w:lang w:val="en-US" w:eastAsia="zh-CN"/>
              </w:rPr>
              <w:t>的二期项目</w:t>
            </w:r>
            <w:r>
              <w:rPr>
                <w:rFonts w:hint="default" w:ascii="Times New Roman" w:hAnsi="Times New Roman" w:eastAsia="宋体" w:cs="Times New Roman"/>
                <w:bCs/>
                <w:caps w:val="0"/>
                <w:color w:val="auto"/>
                <w:spacing w:val="-2"/>
                <w:sz w:val="24"/>
                <w:highlight w:val="none"/>
              </w:rPr>
              <w:t>。</w:t>
            </w:r>
            <w:r>
              <w:rPr>
                <w:rFonts w:hint="default" w:ascii="Times New Roman" w:hAnsi="Times New Roman" w:eastAsia="宋体" w:cs="Times New Roman"/>
                <w:bCs/>
                <w:caps w:val="0"/>
                <w:color w:val="auto"/>
                <w:spacing w:val="-2"/>
                <w:sz w:val="24"/>
                <w:highlight w:val="none"/>
                <w:lang w:val="en-US" w:eastAsia="zh-CN"/>
              </w:rPr>
              <w:t>西泽风电场（二期）工程总装机规模</w:t>
            </w:r>
            <w:r>
              <w:rPr>
                <w:rFonts w:hint="default" w:ascii="Times New Roman" w:hAnsi="Times New Roman" w:eastAsia="宋体" w:cs="Times New Roman"/>
                <w:color w:val="auto"/>
                <w:lang w:val="en-US" w:eastAsia="zh-CN"/>
              </w:rPr>
              <w:t>30</w:t>
            </w:r>
            <w:r>
              <w:rPr>
                <w:rFonts w:hint="default" w:ascii="Times New Roman" w:hAnsi="Times New Roman" w:eastAsia="宋体" w:cs="Times New Roman"/>
                <w:bCs/>
                <w:caps w:val="0"/>
                <w:color w:val="auto"/>
                <w:spacing w:val="-2"/>
                <w:sz w:val="24"/>
                <w:highlight w:val="none"/>
                <w:lang w:val="en-US" w:eastAsia="zh-CN"/>
              </w:rPr>
              <w:t>MW，位于云南省曲靖市宣威市，位于已投产西泽风电场B片区西北部。</w:t>
            </w:r>
            <w:r>
              <w:rPr>
                <w:rFonts w:hint="default" w:ascii="Times New Roman" w:hAnsi="Times New Roman" w:eastAsia="宋体" w:cs="Times New Roman"/>
                <w:caps w:val="0"/>
                <w:color w:val="auto"/>
                <w:kern w:val="0"/>
                <w:sz w:val="24"/>
              </w:rPr>
              <w:t>项目与规划的符合性分析见下表。</w:t>
            </w:r>
          </w:p>
          <w:p w14:paraId="5A5C0EB4">
            <w:pPr>
              <w:spacing w:line="360" w:lineRule="auto"/>
              <w:jc w:val="center"/>
              <w:rPr>
                <w:rFonts w:hint="default" w:ascii="Times New Roman" w:hAnsi="Times New Roman" w:eastAsia="宋体" w:cs="Times New Roman"/>
                <w:b/>
                <w:bCs/>
                <w:caps w:val="0"/>
                <w:color w:val="auto"/>
                <w:spacing w:val="-7"/>
                <w:szCs w:val="21"/>
              </w:rPr>
            </w:pPr>
            <w:r>
              <w:rPr>
                <w:rFonts w:hint="default" w:ascii="Times New Roman" w:hAnsi="Times New Roman" w:eastAsia="宋体" w:cs="Times New Roman"/>
                <w:b/>
                <w:bCs/>
                <w:caps w:val="0"/>
                <w:color w:val="auto"/>
                <w:spacing w:val="-7"/>
                <w:szCs w:val="21"/>
              </w:rPr>
              <w:t>表1-</w:t>
            </w:r>
            <w:r>
              <w:rPr>
                <w:rFonts w:hint="eastAsia" w:cs="Times New Roman"/>
                <w:b/>
                <w:bCs/>
                <w:caps w:val="0"/>
                <w:color w:val="auto"/>
                <w:spacing w:val="-7"/>
                <w:szCs w:val="21"/>
                <w:lang w:val="en-US" w:eastAsia="zh-CN"/>
              </w:rPr>
              <w:t>2</w:t>
            </w:r>
            <w:r>
              <w:rPr>
                <w:rFonts w:hint="default" w:ascii="Times New Roman" w:hAnsi="Times New Roman" w:eastAsia="宋体" w:cs="Times New Roman"/>
                <w:b/>
                <w:bCs/>
                <w:caps w:val="0"/>
                <w:color w:val="auto"/>
                <w:spacing w:val="-7"/>
                <w:szCs w:val="21"/>
              </w:rPr>
              <w:t xml:space="preserve"> </w:t>
            </w:r>
            <w:r>
              <w:rPr>
                <w:rFonts w:hint="default" w:ascii="Times New Roman" w:hAnsi="Times New Roman" w:eastAsia="宋体" w:cs="Times New Roman"/>
                <w:b/>
                <w:bCs/>
                <w:caps w:val="0"/>
                <w:color w:val="auto"/>
                <w:spacing w:val="-7"/>
                <w:szCs w:val="21"/>
                <w:lang w:val="en-US" w:eastAsia="zh-CN"/>
              </w:rPr>
              <w:t xml:space="preserve"> </w:t>
            </w:r>
            <w:r>
              <w:rPr>
                <w:rFonts w:hint="default" w:ascii="Times New Roman" w:hAnsi="Times New Roman" w:eastAsia="宋体" w:cs="Times New Roman"/>
                <w:b/>
                <w:bCs/>
                <w:caps w:val="0"/>
                <w:color w:val="auto"/>
                <w:spacing w:val="-7"/>
                <w:szCs w:val="21"/>
              </w:rPr>
              <w:t>与《云南省在适宜地区适度开发利用新能源规划》符合性分析表</w:t>
            </w:r>
          </w:p>
          <w:tbl>
            <w:tblPr>
              <w:tblStyle w:val="20"/>
              <w:tblW w:w="743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684"/>
              <w:gridCol w:w="3572"/>
              <w:gridCol w:w="1181"/>
            </w:tblGrid>
            <w:tr w14:paraId="39D1CA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84" w:type="dxa"/>
                  <w:tcBorders>
                    <w:tl2br w:val="nil"/>
                    <w:tr2bl w:val="nil"/>
                  </w:tcBorders>
                  <w:noWrap w:val="0"/>
                  <w:vAlign w:val="center"/>
                </w:tcPr>
                <w:p w14:paraId="7B70098C">
                  <w:pPr>
                    <w:pStyle w:val="37"/>
                    <w:bidi w:val="0"/>
                    <w:rPr>
                      <w:rFonts w:hint="default"/>
                      <w:color w:val="auto"/>
                    </w:rPr>
                  </w:pPr>
                  <w:r>
                    <w:rPr>
                      <w:rFonts w:hint="default"/>
                      <w:color w:val="auto"/>
                    </w:rPr>
                    <w:t>相关内容</w:t>
                  </w:r>
                </w:p>
              </w:tc>
              <w:tc>
                <w:tcPr>
                  <w:tcW w:w="3572" w:type="dxa"/>
                  <w:tcBorders>
                    <w:tl2br w:val="nil"/>
                    <w:tr2bl w:val="nil"/>
                  </w:tcBorders>
                  <w:noWrap w:val="0"/>
                  <w:vAlign w:val="center"/>
                </w:tcPr>
                <w:p w14:paraId="3794ACED">
                  <w:pPr>
                    <w:pStyle w:val="37"/>
                    <w:bidi w:val="0"/>
                    <w:rPr>
                      <w:rFonts w:hint="default"/>
                      <w:color w:val="auto"/>
                    </w:rPr>
                  </w:pPr>
                  <w:r>
                    <w:rPr>
                      <w:rFonts w:hint="default"/>
                      <w:color w:val="auto"/>
                    </w:rPr>
                    <w:t>本项目情况</w:t>
                  </w:r>
                </w:p>
              </w:tc>
              <w:tc>
                <w:tcPr>
                  <w:tcW w:w="1181" w:type="dxa"/>
                  <w:tcBorders>
                    <w:tl2br w:val="nil"/>
                    <w:tr2bl w:val="nil"/>
                  </w:tcBorders>
                  <w:noWrap w:val="0"/>
                  <w:vAlign w:val="center"/>
                </w:tcPr>
                <w:p w14:paraId="5F4A1D5F">
                  <w:pPr>
                    <w:pStyle w:val="37"/>
                    <w:bidi w:val="0"/>
                    <w:rPr>
                      <w:rFonts w:hint="default"/>
                      <w:color w:val="auto"/>
                    </w:rPr>
                  </w:pPr>
                  <w:r>
                    <w:rPr>
                      <w:rFonts w:hint="default"/>
                      <w:color w:val="auto"/>
                    </w:rPr>
                    <w:t>符合性分析</w:t>
                  </w:r>
                </w:p>
              </w:tc>
            </w:tr>
            <w:tr w14:paraId="0FA99F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84" w:type="dxa"/>
                  <w:vMerge w:val="restart"/>
                  <w:tcBorders>
                    <w:tl2br w:val="nil"/>
                    <w:tr2bl w:val="nil"/>
                  </w:tcBorders>
                  <w:noWrap w:val="0"/>
                  <w:vAlign w:val="center"/>
                </w:tcPr>
                <w:p w14:paraId="4CCCCC5B">
                  <w:pPr>
                    <w:pStyle w:val="37"/>
                    <w:bidi w:val="0"/>
                    <w:rPr>
                      <w:rFonts w:hint="default"/>
                      <w:color w:val="auto"/>
                    </w:rPr>
                  </w:pPr>
                  <w:r>
                    <w:rPr>
                      <w:rFonts w:hint="default"/>
                      <w:color w:val="auto"/>
                    </w:rPr>
                    <w:t>项目选址应符合生态环境保护政策。应避让自然保护区、国家公园、风景名胜区、文物古迹、湿地保护区、饮用水水源保护区、集中式饮用水水源地、生物多样性保护区域、特殊生态环境及特有物种保护区域、鸟类迁徙重要通道及其栖息地、民俗保护区等生态保护红线和生态敏感区域。</w:t>
                  </w:r>
                </w:p>
              </w:tc>
              <w:tc>
                <w:tcPr>
                  <w:tcW w:w="3572" w:type="dxa"/>
                  <w:tcBorders>
                    <w:tl2br w:val="nil"/>
                    <w:tr2bl w:val="nil"/>
                  </w:tcBorders>
                  <w:noWrap w:val="0"/>
                  <w:vAlign w:val="center"/>
                </w:tcPr>
                <w:p w14:paraId="04218548">
                  <w:pPr>
                    <w:pStyle w:val="37"/>
                    <w:bidi w:val="0"/>
                    <w:rPr>
                      <w:rFonts w:hint="default" w:eastAsia="宋体"/>
                      <w:color w:val="auto"/>
                      <w:lang w:val="en-US" w:eastAsia="zh-CN"/>
                    </w:rPr>
                  </w:pPr>
                  <w:r>
                    <w:rPr>
                      <w:rFonts w:hint="default"/>
                      <w:color w:val="auto"/>
                    </w:rPr>
                    <w:t>根据</w:t>
                  </w:r>
                  <w:r>
                    <w:rPr>
                      <w:rFonts w:hint="default"/>
                      <w:color w:val="auto"/>
                      <w:lang w:val="en-US" w:eastAsia="zh-CN"/>
                    </w:rPr>
                    <w:t>宣威市</w:t>
                  </w:r>
                  <w:r>
                    <w:rPr>
                      <w:rFonts w:hint="default"/>
                      <w:color w:val="auto"/>
                    </w:rPr>
                    <w:t>林业和草原局出具的《宣威市林业和草原局关于西泽风电场（二期）是否符合用林、用草、用湿及自然保护地允许占用情形的意见》</w:t>
                  </w:r>
                  <w:r>
                    <w:rPr>
                      <w:rFonts w:hint="eastAsia"/>
                      <w:color w:val="auto"/>
                      <w:lang w:val="en-US" w:eastAsia="zh-CN"/>
                    </w:rPr>
                    <w:t>以及威市林业和草原局提供的数据与本项目用地范围线叠加，项目已</w:t>
                  </w:r>
                  <w:r>
                    <w:rPr>
                      <w:rFonts w:hint="default"/>
                      <w:color w:val="auto"/>
                    </w:rPr>
                    <w:t>避让自然保护区、国家公园、风景名胜区等生态敏感区域。</w:t>
                  </w:r>
                </w:p>
              </w:tc>
              <w:tc>
                <w:tcPr>
                  <w:tcW w:w="1181" w:type="dxa"/>
                  <w:vMerge w:val="restart"/>
                  <w:tcBorders>
                    <w:tl2br w:val="nil"/>
                    <w:tr2bl w:val="nil"/>
                  </w:tcBorders>
                  <w:noWrap w:val="0"/>
                  <w:vAlign w:val="center"/>
                </w:tcPr>
                <w:p w14:paraId="1A70E46D">
                  <w:pPr>
                    <w:pStyle w:val="37"/>
                    <w:bidi w:val="0"/>
                    <w:rPr>
                      <w:rFonts w:hint="default"/>
                      <w:color w:val="auto"/>
                    </w:rPr>
                  </w:pPr>
                  <w:r>
                    <w:rPr>
                      <w:rFonts w:hint="default"/>
                      <w:color w:val="auto"/>
                    </w:rPr>
                    <w:t>符合</w:t>
                  </w:r>
                </w:p>
              </w:tc>
            </w:tr>
            <w:tr w14:paraId="1B10ED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84" w:type="dxa"/>
                  <w:vMerge w:val="continue"/>
                  <w:tcBorders>
                    <w:tl2br w:val="nil"/>
                    <w:tr2bl w:val="nil"/>
                  </w:tcBorders>
                  <w:noWrap w:val="0"/>
                  <w:vAlign w:val="center"/>
                </w:tcPr>
                <w:p w14:paraId="28F62E9D">
                  <w:pPr>
                    <w:pStyle w:val="34"/>
                    <w:bidi w:val="0"/>
                    <w:jc w:val="center"/>
                    <w:rPr>
                      <w:rFonts w:hint="default"/>
                      <w:color w:val="auto"/>
                    </w:rPr>
                  </w:pPr>
                </w:p>
              </w:tc>
              <w:tc>
                <w:tcPr>
                  <w:tcW w:w="3572" w:type="dxa"/>
                  <w:tcBorders>
                    <w:tl2br w:val="nil"/>
                    <w:tr2bl w:val="nil"/>
                  </w:tcBorders>
                  <w:noWrap w:val="0"/>
                  <w:vAlign w:val="center"/>
                </w:tcPr>
                <w:p w14:paraId="6563FB39">
                  <w:pPr>
                    <w:pStyle w:val="37"/>
                    <w:bidi w:val="0"/>
                    <w:rPr>
                      <w:rFonts w:hint="default"/>
                      <w:color w:val="auto"/>
                      <w:lang w:eastAsia="zh-CN"/>
                    </w:rPr>
                  </w:pPr>
                  <w:r>
                    <w:rPr>
                      <w:rFonts w:hint="default"/>
                      <w:color w:val="auto"/>
                    </w:rPr>
                    <w:t>根据</w:t>
                  </w:r>
                  <w:r>
                    <w:rPr>
                      <w:rFonts w:hint="default"/>
                      <w:color w:val="auto"/>
                      <w:lang w:val="en-US" w:eastAsia="zh-CN"/>
                    </w:rPr>
                    <w:t>宣威市</w:t>
                  </w:r>
                  <w:r>
                    <w:rPr>
                      <w:rFonts w:hint="default"/>
                      <w:color w:val="auto"/>
                    </w:rPr>
                    <w:t>水务局关于</w:t>
                  </w:r>
                  <w:r>
                    <w:rPr>
                      <w:rFonts w:hint="default"/>
                      <w:color w:val="auto"/>
                      <w:lang w:val="en-US" w:eastAsia="zh-CN"/>
                    </w:rPr>
                    <w:t>西泽</w:t>
                  </w:r>
                  <w:r>
                    <w:rPr>
                      <w:rFonts w:hint="default"/>
                      <w:color w:val="auto"/>
                      <w:lang w:eastAsia="zh-CN"/>
                    </w:rPr>
                    <w:t>风电场</w:t>
                  </w:r>
                  <w:r>
                    <w:rPr>
                      <w:rFonts w:hint="default"/>
                      <w:color w:val="auto"/>
                      <w:lang w:val="en-US" w:eastAsia="zh-CN"/>
                    </w:rPr>
                    <w:t>（二期）</w:t>
                  </w:r>
                  <w:r>
                    <w:rPr>
                      <w:rFonts w:hint="default"/>
                      <w:color w:val="auto"/>
                    </w:rPr>
                    <w:t>选址的查询意见可知，本项目不涉及水源保护区</w:t>
                  </w:r>
                  <w:r>
                    <w:rPr>
                      <w:rFonts w:hint="default"/>
                      <w:color w:val="auto"/>
                      <w:lang w:eastAsia="zh-CN"/>
                    </w:rPr>
                    <w:t>。</w:t>
                  </w:r>
                </w:p>
              </w:tc>
              <w:tc>
                <w:tcPr>
                  <w:tcW w:w="1181" w:type="dxa"/>
                  <w:vMerge w:val="continue"/>
                  <w:tcBorders>
                    <w:tl2br w:val="nil"/>
                    <w:tr2bl w:val="nil"/>
                  </w:tcBorders>
                  <w:noWrap w:val="0"/>
                  <w:vAlign w:val="center"/>
                </w:tcPr>
                <w:p w14:paraId="7C79E5E5">
                  <w:pPr>
                    <w:pStyle w:val="34"/>
                    <w:bidi w:val="0"/>
                    <w:jc w:val="center"/>
                    <w:rPr>
                      <w:rFonts w:hint="default"/>
                      <w:color w:val="auto"/>
                    </w:rPr>
                  </w:pPr>
                </w:p>
              </w:tc>
            </w:tr>
            <w:tr w14:paraId="241B92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84" w:type="dxa"/>
                  <w:vMerge w:val="continue"/>
                  <w:tcBorders>
                    <w:tl2br w:val="nil"/>
                    <w:tr2bl w:val="nil"/>
                  </w:tcBorders>
                  <w:noWrap w:val="0"/>
                  <w:vAlign w:val="center"/>
                </w:tcPr>
                <w:p w14:paraId="52A95494">
                  <w:pPr>
                    <w:pStyle w:val="34"/>
                    <w:bidi w:val="0"/>
                    <w:jc w:val="center"/>
                    <w:rPr>
                      <w:rFonts w:hint="default"/>
                      <w:color w:val="auto"/>
                    </w:rPr>
                  </w:pPr>
                </w:p>
              </w:tc>
              <w:tc>
                <w:tcPr>
                  <w:tcW w:w="3572" w:type="dxa"/>
                  <w:tcBorders>
                    <w:tl2br w:val="nil"/>
                    <w:tr2bl w:val="nil"/>
                  </w:tcBorders>
                  <w:noWrap w:val="0"/>
                  <w:vAlign w:val="center"/>
                </w:tcPr>
                <w:p w14:paraId="0DC23E9C">
                  <w:pPr>
                    <w:pStyle w:val="37"/>
                    <w:bidi w:val="0"/>
                    <w:rPr>
                      <w:rFonts w:hint="default"/>
                      <w:color w:val="auto"/>
                      <w:lang w:val="en-US" w:eastAsia="zh-CN"/>
                    </w:rPr>
                  </w:pPr>
                  <w:r>
                    <w:rPr>
                      <w:rFonts w:hint="default"/>
                      <w:color w:val="auto"/>
                    </w:rPr>
                    <w:t>根据</w:t>
                  </w:r>
                  <w:r>
                    <w:rPr>
                      <w:rFonts w:hint="eastAsia"/>
                      <w:color w:val="auto"/>
                      <w:lang w:eastAsia="zh-CN"/>
                    </w:rPr>
                    <w:t>《宣威市自然资源局关于西泽风电场(二期)项</w:t>
                  </w:r>
                  <w:r>
                    <w:rPr>
                      <w:rFonts w:hint="eastAsia"/>
                      <w:color w:val="auto"/>
                      <w:lang w:val="en-US" w:eastAsia="zh-CN"/>
                    </w:rPr>
                    <w:t>目</w:t>
                  </w:r>
                  <w:r>
                    <w:rPr>
                      <w:rFonts w:hint="eastAsia"/>
                      <w:color w:val="auto"/>
                      <w:lang w:eastAsia="zh-CN"/>
                    </w:rPr>
                    <w:t>“三区三线”查询的意见》</w:t>
                  </w:r>
                  <w:r>
                    <w:rPr>
                      <w:rFonts w:hint="eastAsia"/>
                      <w:color w:val="auto"/>
                      <w:lang w:val="en-US" w:eastAsia="zh-CN"/>
                    </w:rPr>
                    <w:t>以及项目与曲靖市生态保护红线的叠图（附图15）</w:t>
                  </w:r>
                  <w:r>
                    <w:rPr>
                      <w:rFonts w:hint="default"/>
                      <w:color w:val="auto"/>
                    </w:rPr>
                    <w:t>，本项目</w:t>
                  </w:r>
                  <w:r>
                    <w:rPr>
                      <w:rFonts w:hint="default"/>
                      <w:color w:val="auto"/>
                      <w:lang w:val="en-US" w:eastAsia="zh-CN"/>
                    </w:rPr>
                    <w:t>永久占地</w:t>
                  </w:r>
                  <w:r>
                    <w:rPr>
                      <w:rFonts w:hint="default"/>
                      <w:color w:val="auto"/>
                    </w:rPr>
                    <w:t>不涉及不占用生态保护红线和永久基本农田，不在城镇开发边界内。</w:t>
                  </w:r>
                  <w:r>
                    <w:rPr>
                      <w:rFonts w:hint="default"/>
                      <w:color w:val="auto"/>
                      <w:lang w:val="en-US" w:eastAsia="zh-CN"/>
                    </w:rPr>
                    <w:t>根据</w:t>
                  </w:r>
                  <w:r>
                    <w:rPr>
                      <w:rFonts w:hint="eastAsia"/>
                      <w:color w:val="auto"/>
                      <w:lang w:val="en-US" w:eastAsia="zh-CN"/>
                    </w:rPr>
                    <w:t>“</w:t>
                  </w:r>
                  <w:r>
                    <w:rPr>
                      <w:rFonts w:hint="default"/>
                      <w:color w:val="auto"/>
                      <w:lang w:val="en-US" w:eastAsia="zh-CN"/>
                    </w:rPr>
                    <w:t>云南省</w:t>
                  </w:r>
                  <w:r>
                    <w:rPr>
                      <w:rFonts w:hint="eastAsia"/>
                      <w:color w:val="auto"/>
                      <w:lang w:val="en-US" w:eastAsia="zh-CN"/>
                    </w:rPr>
                    <w:t>生态环境分区管控</w:t>
                  </w:r>
                  <w:r>
                    <w:rPr>
                      <w:rFonts w:hint="default"/>
                      <w:color w:val="auto"/>
                      <w:lang w:val="en-US" w:eastAsia="zh-CN"/>
                    </w:rPr>
                    <w:t>公众端</w:t>
                  </w:r>
                  <w:r>
                    <w:rPr>
                      <w:rFonts w:hint="eastAsia"/>
                      <w:color w:val="auto"/>
                      <w:lang w:val="en-US" w:eastAsia="zh-CN"/>
                    </w:rPr>
                    <w:t>”</w:t>
                  </w:r>
                  <w:r>
                    <w:rPr>
                      <w:rFonts w:hint="default"/>
                      <w:color w:val="auto"/>
                      <w:lang w:val="en-US" w:eastAsia="zh-CN"/>
                    </w:rPr>
                    <w:t>查询可知，项目临时占地不</w:t>
                  </w:r>
                  <w:r>
                    <w:rPr>
                      <w:rFonts w:hint="eastAsia"/>
                      <w:color w:val="auto"/>
                      <w:lang w:val="en-US" w:eastAsia="zh-CN"/>
                    </w:rPr>
                    <w:t>占用</w:t>
                  </w:r>
                  <w:r>
                    <w:rPr>
                      <w:rFonts w:hint="default"/>
                      <w:color w:val="auto"/>
                      <w:lang w:val="en-US" w:eastAsia="zh-CN"/>
                    </w:rPr>
                    <w:t>生态保护红线。</w:t>
                  </w:r>
                </w:p>
              </w:tc>
              <w:tc>
                <w:tcPr>
                  <w:tcW w:w="1181" w:type="dxa"/>
                  <w:vMerge w:val="continue"/>
                  <w:tcBorders>
                    <w:tl2br w:val="nil"/>
                    <w:tr2bl w:val="nil"/>
                  </w:tcBorders>
                  <w:noWrap w:val="0"/>
                  <w:vAlign w:val="center"/>
                </w:tcPr>
                <w:p w14:paraId="7A5A8C6F">
                  <w:pPr>
                    <w:pStyle w:val="34"/>
                    <w:bidi w:val="0"/>
                    <w:jc w:val="center"/>
                    <w:rPr>
                      <w:rFonts w:hint="default"/>
                      <w:color w:val="auto"/>
                    </w:rPr>
                  </w:pPr>
                </w:p>
              </w:tc>
            </w:tr>
            <w:tr w14:paraId="74C192D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2684" w:type="dxa"/>
                  <w:vMerge w:val="continue"/>
                  <w:tcBorders>
                    <w:tl2br w:val="nil"/>
                    <w:tr2bl w:val="nil"/>
                  </w:tcBorders>
                  <w:noWrap w:val="0"/>
                  <w:vAlign w:val="center"/>
                </w:tcPr>
                <w:p w14:paraId="73D88C96">
                  <w:pPr>
                    <w:pStyle w:val="34"/>
                    <w:bidi w:val="0"/>
                    <w:jc w:val="center"/>
                    <w:rPr>
                      <w:rFonts w:hint="default"/>
                      <w:color w:val="auto"/>
                    </w:rPr>
                  </w:pPr>
                </w:p>
              </w:tc>
              <w:tc>
                <w:tcPr>
                  <w:tcW w:w="3572" w:type="dxa"/>
                  <w:tcBorders>
                    <w:tl2br w:val="nil"/>
                    <w:tr2bl w:val="nil"/>
                  </w:tcBorders>
                  <w:noWrap w:val="0"/>
                  <w:vAlign w:val="center"/>
                </w:tcPr>
                <w:p w14:paraId="68998CDB">
                  <w:pPr>
                    <w:pStyle w:val="37"/>
                    <w:bidi w:val="0"/>
                    <w:rPr>
                      <w:rFonts w:hint="eastAsia" w:eastAsia="宋体"/>
                      <w:color w:val="auto"/>
                      <w:lang w:eastAsia="zh-CN"/>
                    </w:rPr>
                  </w:pPr>
                  <w:r>
                    <w:rPr>
                      <w:rFonts w:hint="eastAsia"/>
                      <w:color w:val="auto"/>
                      <w:lang w:val="en-US" w:eastAsia="zh-CN"/>
                    </w:rPr>
                    <w:t>根据项目与云南省生物多样性保护区域的位置关系的叠图（附图14），</w:t>
                  </w:r>
                  <w:r>
                    <w:rPr>
                      <w:rFonts w:hint="default"/>
                      <w:color w:val="auto"/>
                    </w:rPr>
                    <w:t>本项目不涉及生物多样性保护区域、特殊生态环境及特有物种保护区域、民俗保护区</w:t>
                  </w:r>
                  <w:r>
                    <w:rPr>
                      <w:rFonts w:hint="eastAsia"/>
                      <w:color w:val="auto"/>
                      <w:lang w:eastAsia="zh-CN"/>
                    </w:rPr>
                    <w:t>。</w:t>
                  </w:r>
                </w:p>
              </w:tc>
              <w:tc>
                <w:tcPr>
                  <w:tcW w:w="1181" w:type="dxa"/>
                  <w:vMerge w:val="continue"/>
                  <w:tcBorders>
                    <w:tl2br w:val="nil"/>
                    <w:tr2bl w:val="nil"/>
                  </w:tcBorders>
                  <w:noWrap w:val="0"/>
                  <w:vAlign w:val="center"/>
                </w:tcPr>
                <w:p w14:paraId="55F0D912">
                  <w:pPr>
                    <w:pStyle w:val="34"/>
                    <w:bidi w:val="0"/>
                    <w:jc w:val="center"/>
                    <w:rPr>
                      <w:rFonts w:hint="default"/>
                      <w:color w:val="auto"/>
                    </w:rPr>
                  </w:pPr>
                </w:p>
              </w:tc>
            </w:tr>
            <w:tr w14:paraId="4088CE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84" w:type="dxa"/>
                  <w:tcBorders>
                    <w:tl2br w:val="nil"/>
                    <w:tr2bl w:val="nil"/>
                  </w:tcBorders>
                  <w:noWrap w:val="0"/>
                  <w:vAlign w:val="center"/>
                </w:tcPr>
                <w:p w14:paraId="2A15CA0B">
                  <w:pPr>
                    <w:pStyle w:val="37"/>
                    <w:bidi w:val="0"/>
                    <w:rPr>
                      <w:rFonts w:hint="default"/>
                      <w:color w:val="auto"/>
                    </w:rPr>
                  </w:pPr>
                  <w:r>
                    <w:rPr>
                      <w:rFonts w:hint="default"/>
                      <w:color w:val="auto"/>
                    </w:rPr>
                    <w:t>项目选址应符合国土用地政策。禁止占用基本农田，应避让坝区，应优先使用石漠化、荒漠化土地和未利用土地。</w:t>
                  </w:r>
                </w:p>
              </w:tc>
              <w:tc>
                <w:tcPr>
                  <w:tcW w:w="3572" w:type="dxa"/>
                  <w:tcBorders>
                    <w:tl2br w:val="nil"/>
                    <w:tr2bl w:val="nil"/>
                  </w:tcBorders>
                  <w:noWrap w:val="0"/>
                  <w:vAlign w:val="center"/>
                </w:tcPr>
                <w:p w14:paraId="653E747E">
                  <w:pPr>
                    <w:pStyle w:val="37"/>
                    <w:bidi w:val="0"/>
                    <w:rPr>
                      <w:rFonts w:hint="default"/>
                      <w:color w:val="auto"/>
                    </w:rPr>
                  </w:pPr>
                  <w:r>
                    <w:rPr>
                      <w:rFonts w:hint="default"/>
                      <w:color w:val="auto"/>
                    </w:rPr>
                    <w:t>根据</w:t>
                  </w:r>
                  <w:r>
                    <w:rPr>
                      <w:rFonts w:hint="eastAsia"/>
                      <w:color w:val="auto"/>
                      <w:lang w:eastAsia="zh-CN"/>
                    </w:rPr>
                    <w:t>《宣威市自然资源局关于西泽风电场(二期)项</w:t>
                  </w:r>
                  <w:r>
                    <w:rPr>
                      <w:rFonts w:hint="eastAsia"/>
                      <w:color w:val="auto"/>
                      <w:lang w:val="en-US" w:eastAsia="zh-CN"/>
                    </w:rPr>
                    <w:t>目</w:t>
                  </w:r>
                  <w:r>
                    <w:rPr>
                      <w:rFonts w:hint="eastAsia"/>
                      <w:color w:val="auto"/>
                      <w:lang w:eastAsia="zh-CN"/>
                    </w:rPr>
                    <w:t>“三区三线”查询的意见》</w:t>
                  </w:r>
                  <w:r>
                    <w:rPr>
                      <w:rFonts w:hint="eastAsia"/>
                      <w:color w:val="auto"/>
                      <w:lang w:val="en-US" w:eastAsia="zh-CN"/>
                    </w:rPr>
                    <w:t>以及项目与曲靖市生态保护红线的叠图（附图15）</w:t>
                  </w:r>
                  <w:r>
                    <w:rPr>
                      <w:rFonts w:hint="default"/>
                      <w:color w:val="auto"/>
                    </w:rPr>
                    <w:t>。项目</w:t>
                  </w:r>
                  <w:r>
                    <w:rPr>
                      <w:rFonts w:hint="eastAsia"/>
                      <w:color w:val="auto"/>
                      <w:lang w:val="en-US" w:eastAsia="zh-CN"/>
                    </w:rPr>
                    <w:t>不</w:t>
                  </w:r>
                  <w:r>
                    <w:rPr>
                      <w:rFonts w:hint="default"/>
                      <w:color w:val="auto"/>
                    </w:rPr>
                    <w:t>占用基本农田和</w:t>
                  </w:r>
                  <w:r>
                    <w:rPr>
                      <w:rFonts w:hint="eastAsia"/>
                      <w:color w:val="auto"/>
                      <w:lang w:eastAsia="zh-CN"/>
                    </w:rPr>
                    <w:t>生态保护红线</w:t>
                  </w:r>
                  <w:r>
                    <w:rPr>
                      <w:rFonts w:hint="default"/>
                      <w:color w:val="auto"/>
                    </w:rPr>
                    <w:t>，占地类型为</w:t>
                  </w:r>
                  <w:r>
                    <w:rPr>
                      <w:rFonts w:hint="default"/>
                      <w:color w:val="auto"/>
                      <w:lang w:val="en-US" w:eastAsia="zh-CN"/>
                    </w:rPr>
                    <w:t>坡耕地</w:t>
                  </w:r>
                  <w:r>
                    <w:rPr>
                      <w:rFonts w:hint="default"/>
                      <w:color w:val="auto"/>
                    </w:rPr>
                    <w:t>、林地、</w:t>
                  </w:r>
                  <w:r>
                    <w:rPr>
                      <w:rFonts w:hint="default"/>
                      <w:color w:val="auto"/>
                      <w:lang w:val="en-US" w:eastAsia="zh-CN"/>
                    </w:rPr>
                    <w:t>草地</w:t>
                  </w:r>
                  <w:r>
                    <w:rPr>
                      <w:rFonts w:hint="default"/>
                      <w:color w:val="auto"/>
                    </w:rPr>
                    <w:t>。</w:t>
                  </w:r>
                </w:p>
              </w:tc>
              <w:tc>
                <w:tcPr>
                  <w:tcW w:w="1181" w:type="dxa"/>
                  <w:tcBorders>
                    <w:tl2br w:val="nil"/>
                    <w:tr2bl w:val="nil"/>
                  </w:tcBorders>
                  <w:noWrap w:val="0"/>
                  <w:vAlign w:val="center"/>
                </w:tcPr>
                <w:p w14:paraId="35C06B69">
                  <w:pPr>
                    <w:pStyle w:val="37"/>
                    <w:bidi w:val="0"/>
                    <w:rPr>
                      <w:rFonts w:hint="default"/>
                      <w:color w:val="auto"/>
                    </w:rPr>
                  </w:pPr>
                  <w:r>
                    <w:rPr>
                      <w:rFonts w:hint="default"/>
                      <w:color w:val="auto"/>
                    </w:rPr>
                    <w:t>符合</w:t>
                  </w:r>
                </w:p>
              </w:tc>
            </w:tr>
            <w:tr w14:paraId="7F4400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84" w:type="dxa"/>
                  <w:tcBorders>
                    <w:tl2br w:val="nil"/>
                    <w:tr2bl w:val="nil"/>
                  </w:tcBorders>
                  <w:noWrap w:val="0"/>
                  <w:vAlign w:val="center"/>
                </w:tcPr>
                <w:p w14:paraId="3193A77E">
                  <w:pPr>
                    <w:pStyle w:val="37"/>
                    <w:bidi w:val="0"/>
                    <w:rPr>
                      <w:rFonts w:hint="default"/>
                      <w:color w:val="auto"/>
                      <w:highlight w:val="none"/>
                    </w:rPr>
                  </w:pPr>
                  <w:r>
                    <w:rPr>
                      <w:rFonts w:hint="default"/>
                      <w:color w:val="auto"/>
                    </w:rPr>
                    <w:t>项目选址应符合林业用地政策。风电项目应避让天然乔木林地、年降雨量400毫米以下区域的有林地、国家一级公益林和国家二级公益林中的有林地。</w:t>
                  </w:r>
                </w:p>
              </w:tc>
              <w:tc>
                <w:tcPr>
                  <w:tcW w:w="3572" w:type="dxa"/>
                  <w:tcBorders>
                    <w:tl2br w:val="nil"/>
                    <w:tr2bl w:val="nil"/>
                  </w:tcBorders>
                  <w:noWrap w:val="0"/>
                  <w:vAlign w:val="center"/>
                </w:tcPr>
                <w:p w14:paraId="681D7005">
                  <w:pPr>
                    <w:pStyle w:val="37"/>
                    <w:bidi w:val="0"/>
                    <w:rPr>
                      <w:rFonts w:hint="eastAsia" w:eastAsia="宋体"/>
                      <w:color w:val="auto"/>
                      <w:highlight w:val="none"/>
                      <w:lang w:val="en-US" w:eastAsia="zh-CN"/>
                    </w:rPr>
                  </w:pPr>
                  <w:r>
                    <w:rPr>
                      <w:rFonts w:hint="default"/>
                      <w:color w:val="auto"/>
                    </w:rPr>
                    <w:t>项目位于云南省曲靖市</w:t>
                  </w:r>
                  <w:r>
                    <w:rPr>
                      <w:rFonts w:hint="default"/>
                      <w:color w:val="auto"/>
                      <w:lang w:val="en-US" w:eastAsia="zh-CN"/>
                    </w:rPr>
                    <w:t>宣威市</w:t>
                  </w:r>
                  <w:r>
                    <w:rPr>
                      <w:rFonts w:hint="default"/>
                      <w:color w:val="auto"/>
                    </w:rPr>
                    <w:t>，当地多年平均降水量</w:t>
                  </w:r>
                  <w:r>
                    <w:rPr>
                      <w:rFonts w:hint="eastAsia"/>
                      <w:color w:val="auto"/>
                      <w:lang w:val="en-US" w:eastAsia="zh-CN"/>
                    </w:rPr>
                    <w:t>1050</w:t>
                  </w:r>
                  <w:r>
                    <w:rPr>
                      <w:rFonts w:hint="default"/>
                      <w:color w:val="auto"/>
                    </w:rPr>
                    <w:t>毫米，因此本项目不涉及年降雨量400毫米以下区域的有林地；依据</w:t>
                  </w:r>
                  <w:r>
                    <w:rPr>
                      <w:rFonts w:hint="eastAsia"/>
                      <w:color w:val="auto"/>
                      <w:lang w:val="en-US" w:eastAsia="zh-CN"/>
                    </w:rPr>
                    <w:t>宣威市林草局出具的《宣威市林业和草原局关于西泽风电场（二期）是否符合用林、用草、用湿及自然保护地允许占用情形的意见》，以及</w:t>
                  </w:r>
                  <w:r>
                    <w:rPr>
                      <w:rFonts w:hint="default"/>
                      <w:color w:val="auto"/>
                    </w:rPr>
                    <w:t>宣威市林业和草原局提供的数据与本项目用地范围线叠加，项目</w:t>
                  </w:r>
                  <w:r>
                    <w:rPr>
                      <w:rFonts w:hint="eastAsia"/>
                      <w:color w:val="auto"/>
                      <w:lang w:val="en-US" w:eastAsia="zh-CN"/>
                    </w:rPr>
                    <w:t>不占用</w:t>
                  </w:r>
                  <w:r>
                    <w:rPr>
                      <w:rFonts w:hint="default"/>
                      <w:color w:val="auto"/>
                    </w:rPr>
                    <w:t>天然乔木林地、年降雨量400毫米以下区域的有林地、国家一级公益林和国家二级公益林中的有林地。</w:t>
                  </w:r>
                </w:p>
              </w:tc>
              <w:tc>
                <w:tcPr>
                  <w:tcW w:w="1181" w:type="dxa"/>
                  <w:tcBorders>
                    <w:tl2br w:val="nil"/>
                    <w:tr2bl w:val="nil"/>
                  </w:tcBorders>
                  <w:noWrap w:val="0"/>
                  <w:vAlign w:val="center"/>
                </w:tcPr>
                <w:p w14:paraId="5103DC5C">
                  <w:pPr>
                    <w:pStyle w:val="37"/>
                    <w:bidi w:val="0"/>
                    <w:rPr>
                      <w:rFonts w:hint="default"/>
                      <w:color w:val="auto"/>
                      <w:highlight w:val="none"/>
                    </w:rPr>
                  </w:pPr>
                  <w:r>
                    <w:rPr>
                      <w:rFonts w:hint="default"/>
                      <w:color w:val="auto"/>
                    </w:rPr>
                    <w:t>符合</w:t>
                  </w:r>
                </w:p>
              </w:tc>
            </w:tr>
            <w:tr w14:paraId="64614A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84" w:type="dxa"/>
                  <w:vMerge w:val="restart"/>
                  <w:tcBorders>
                    <w:tl2br w:val="nil"/>
                    <w:tr2bl w:val="nil"/>
                  </w:tcBorders>
                  <w:noWrap w:val="0"/>
                  <w:vAlign w:val="center"/>
                </w:tcPr>
                <w:p w14:paraId="1C9212ED">
                  <w:pPr>
                    <w:pStyle w:val="37"/>
                    <w:bidi w:val="0"/>
                    <w:rPr>
                      <w:rFonts w:hint="default"/>
                      <w:color w:val="auto"/>
                    </w:rPr>
                  </w:pPr>
                  <w:r>
                    <w:rPr>
                      <w:rFonts w:hint="default"/>
                      <w:color w:val="auto"/>
                    </w:rPr>
                    <w:t>项目选址应符合国土空间规划、实现景观保护。应远离滇中城市群规划的主体城市、一般城市和新兴城镇，远离城市及城镇的面山区域。应远离金沙江及长江一级支流岸线保护范围。风电项目风机布置位置应避让高速公路、高速铁路的可视区域。</w:t>
                  </w:r>
                </w:p>
              </w:tc>
              <w:tc>
                <w:tcPr>
                  <w:tcW w:w="3572" w:type="dxa"/>
                  <w:tcBorders>
                    <w:tl2br w:val="nil"/>
                    <w:tr2bl w:val="nil"/>
                  </w:tcBorders>
                  <w:noWrap w:val="0"/>
                  <w:vAlign w:val="center"/>
                </w:tcPr>
                <w:p w14:paraId="370087C6">
                  <w:pPr>
                    <w:pStyle w:val="37"/>
                    <w:bidi w:val="0"/>
                    <w:rPr>
                      <w:rFonts w:hint="default"/>
                      <w:color w:val="auto"/>
                    </w:rPr>
                  </w:pPr>
                  <w:r>
                    <w:rPr>
                      <w:rFonts w:hint="default"/>
                      <w:color w:val="auto"/>
                    </w:rPr>
                    <w:t>本项目建设于</w:t>
                  </w:r>
                  <w:r>
                    <w:rPr>
                      <w:rFonts w:hint="default"/>
                      <w:color w:val="auto"/>
                      <w:lang w:val="en-US" w:eastAsia="zh-CN"/>
                    </w:rPr>
                    <w:t>曲靖市宣威市热水镇，距宣威市城区约45km</w:t>
                  </w:r>
                  <w:r>
                    <w:rPr>
                      <w:rFonts w:hint="default"/>
                      <w:color w:val="auto"/>
                    </w:rPr>
                    <w:t>，远离城市和城镇的面山区域。</w:t>
                  </w:r>
                  <w:r>
                    <w:rPr>
                      <w:rFonts w:hint="default"/>
                      <w:color w:val="auto"/>
                      <w:lang w:val="en-US" w:eastAsia="zh-CN"/>
                    </w:rPr>
                    <w:t>根据用地预审与选址意见书，项目建设符合</w:t>
                  </w:r>
                  <w:r>
                    <w:rPr>
                      <w:rFonts w:hint="default"/>
                      <w:color w:val="auto"/>
                    </w:rPr>
                    <w:t>国土空间规划</w:t>
                  </w:r>
                  <w:r>
                    <w:rPr>
                      <w:rFonts w:hint="default"/>
                      <w:color w:val="auto"/>
                      <w:lang w:eastAsia="zh-CN"/>
                    </w:rPr>
                    <w:t>；</w:t>
                  </w:r>
                  <w:r>
                    <w:rPr>
                      <w:rFonts w:hint="default"/>
                      <w:color w:val="auto"/>
                      <w:lang w:val="en-US" w:eastAsia="zh-CN"/>
                    </w:rPr>
                    <w:t>项目</w:t>
                  </w:r>
                  <w:r>
                    <w:rPr>
                      <w:rFonts w:hint="eastAsia"/>
                      <w:color w:val="auto"/>
                      <w:lang w:val="en-US" w:eastAsia="zh-CN"/>
                    </w:rPr>
                    <w:t>周边水系不发达，距离最近的金沙江80余公里，</w:t>
                  </w:r>
                  <w:r>
                    <w:rPr>
                      <w:rFonts w:hint="default"/>
                      <w:color w:val="auto"/>
                      <w:lang w:val="en-US" w:eastAsia="zh-CN"/>
                    </w:rPr>
                    <w:t>不涉及</w:t>
                  </w:r>
                  <w:r>
                    <w:rPr>
                      <w:rFonts w:hint="default"/>
                      <w:color w:val="auto"/>
                    </w:rPr>
                    <w:t>金沙江及长江一级支流岸线保护范围</w:t>
                  </w:r>
                  <w:r>
                    <w:rPr>
                      <w:rFonts w:hint="default"/>
                      <w:color w:val="auto"/>
                      <w:lang w:eastAsia="zh-CN"/>
                    </w:rPr>
                    <w:t>。</w:t>
                  </w:r>
                </w:p>
              </w:tc>
              <w:tc>
                <w:tcPr>
                  <w:tcW w:w="1181" w:type="dxa"/>
                  <w:tcBorders>
                    <w:tl2br w:val="nil"/>
                    <w:tr2bl w:val="nil"/>
                  </w:tcBorders>
                  <w:noWrap w:val="0"/>
                  <w:vAlign w:val="center"/>
                </w:tcPr>
                <w:p w14:paraId="0535394F">
                  <w:pPr>
                    <w:pStyle w:val="37"/>
                    <w:bidi w:val="0"/>
                    <w:rPr>
                      <w:rFonts w:hint="default"/>
                      <w:color w:val="auto"/>
                    </w:rPr>
                  </w:pPr>
                  <w:r>
                    <w:rPr>
                      <w:rFonts w:hint="default"/>
                      <w:color w:val="auto"/>
                    </w:rPr>
                    <w:t>符合</w:t>
                  </w:r>
                </w:p>
              </w:tc>
            </w:tr>
            <w:tr w14:paraId="150C76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84" w:type="dxa"/>
                  <w:vMerge w:val="continue"/>
                  <w:tcBorders>
                    <w:tl2br w:val="nil"/>
                    <w:tr2bl w:val="nil"/>
                  </w:tcBorders>
                  <w:noWrap w:val="0"/>
                  <w:vAlign w:val="center"/>
                </w:tcPr>
                <w:p w14:paraId="4864FBEF">
                  <w:pPr>
                    <w:pStyle w:val="34"/>
                    <w:bidi w:val="0"/>
                    <w:jc w:val="center"/>
                    <w:rPr>
                      <w:rFonts w:hint="default"/>
                      <w:color w:val="auto"/>
                    </w:rPr>
                  </w:pPr>
                </w:p>
              </w:tc>
              <w:tc>
                <w:tcPr>
                  <w:tcW w:w="3572" w:type="dxa"/>
                  <w:tcBorders>
                    <w:tl2br w:val="nil"/>
                    <w:tr2bl w:val="nil"/>
                  </w:tcBorders>
                  <w:noWrap w:val="0"/>
                  <w:vAlign w:val="center"/>
                </w:tcPr>
                <w:p w14:paraId="18EE1B12">
                  <w:pPr>
                    <w:pStyle w:val="37"/>
                    <w:bidi w:val="0"/>
                    <w:rPr>
                      <w:rFonts w:hint="default"/>
                      <w:color w:val="auto"/>
                    </w:rPr>
                  </w:pPr>
                  <w:r>
                    <w:rPr>
                      <w:rFonts w:hint="default"/>
                      <w:color w:val="auto"/>
                    </w:rPr>
                    <w:t>风电场与建设厂区外围留有足够空间距离，</w:t>
                  </w:r>
                  <w:r>
                    <w:rPr>
                      <w:rFonts w:hint="eastAsia"/>
                      <w:color w:val="auto"/>
                      <w:lang w:val="en-US" w:eastAsia="zh-CN"/>
                    </w:rPr>
                    <w:t>XZB16风机与最近的杭瑞高速（非隧道段）的距离约为1.2km，视觉上被大尖山分隔，不在杭瑞高速的可视范围内</w:t>
                  </w:r>
                  <w:r>
                    <w:rPr>
                      <w:rFonts w:hint="default"/>
                      <w:color w:val="auto"/>
                    </w:rPr>
                    <w:t>。</w:t>
                  </w:r>
                </w:p>
              </w:tc>
              <w:tc>
                <w:tcPr>
                  <w:tcW w:w="1181" w:type="dxa"/>
                  <w:tcBorders>
                    <w:tl2br w:val="nil"/>
                    <w:tr2bl w:val="nil"/>
                  </w:tcBorders>
                  <w:noWrap w:val="0"/>
                  <w:vAlign w:val="center"/>
                </w:tcPr>
                <w:p w14:paraId="6C20D3D1">
                  <w:pPr>
                    <w:pStyle w:val="37"/>
                    <w:bidi w:val="0"/>
                    <w:rPr>
                      <w:rFonts w:hint="default"/>
                      <w:color w:val="auto"/>
                    </w:rPr>
                  </w:pPr>
                  <w:r>
                    <w:rPr>
                      <w:rFonts w:hint="default"/>
                      <w:color w:val="auto"/>
                    </w:rPr>
                    <w:t>符合</w:t>
                  </w:r>
                </w:p>
              </w:tc>
            </w:tr>
            <w:tr w14:paraId="04E703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84" w:type="dxa"/>
                  <w:tcBorders>
                    <w:tl2br w:val="nil"/>
                    <w:tr2bl w:val="nil"/>
                  </w:tcBorders>
                  <w:noWrap w:val="0"/>
                  <w:vAlign w:val="center"/>
                </w:tcPr>
                <w:p w14:paraId="6D044377">
                  <w:pPr>
                    <w:pStyle w:val="37"/>
                    <w:bidi w:val="0"/>
                    <w:rPr>
                      <w:rFonts w:hint="default"/>
                      <w:color w:val="auto"/>
                    </w:rPr>
                  </w:pPr>
                  <w:r>
                    <w:rPr>
                      <w:rFonts w:hint="default"/>
                      <w:color w:val="auto"/>
                      <w:lang w:val="en-US" w:eastAsia="zh-CN"/>
                    </w:rPr>
                    <w:t>噪声影响防护：风电机组与居民居住点的布置间距应满足卫生防护要求，确保噪声污染得到有效控制。</w:t>
                  </w:r>
                </w:p>
              </w:tc>
              <w:tc>
                <w:tcPr>
                  <w:tcW w:w="3572" w:type="dxa"/>
                  <w:tcBorders>
                    <w:tl2br w:val="nil"/>
                    <w:tr2bl w:val="nil"/>
                  </w:tcBorders>
                  <w:noWrap w:val="0"/>
                  <w:vAlign w:val="center"/>
                </w:tcPr>
                <w:p w14:paraId="44145536">
                  <w:pPr>
                    <w:pStyle w:val="37"/>
                    <w:bidi w:val="0"/>
                    <w:rPr>
                      <w:rFonts w:hint="default"/>
                      <w:color w:val="auto"/>
                    </w:rPr>
                  </w:pPr>
                  <w:r>
                    <w:rPr>
                      <w:rFonts w:hint="default"/>
                      <w:color w:val="auto"/>
                      <w:lang w:val="en-US" w:eastAsia="zh-CN"/>
                    </w:rPr>
                    <w:t>由本次预测结果可知，当风机正常运行时，水平距离400m处昼间、夜间噪声满足《声环境质量标准》(GB3096-2008)1类标准</w:t>
                  </w:r>
                  <w:r>
                    <w:rPr>
                      <w:rFonts w:hint="eastAsia"/>
                      <w:color w:val="auto"/>
                      <w:lang w:val="en-US" w:eastAsia="zh-CN"/>
                    </w:rPr>
                    <w:t>；</w:t>
                  </w:r>
                  <w:r>
                    <w:rPr>
                      <w:rFonts w:hint="default"/>
                      <w:color w:val="auto"/>
                      <w:lang w:val="en-US" w:eastAsia="zh-CN"/>
                    </w:rPr>
                    <w:t>本项目</w:t>
                  </w:r>
                  <w:r>
                    <w:rPr>
                      <w:rFonts w:hint="eastAsia"/>
                      <w:color w:val="auto"/>
                      <w:lang w:val="en-US" w:eastAsia="zh-CN"/>
                    </w:rPr>
                    <w:t>风电机组700m范围内仅有1个村庄，为叠水箐，与项目最近距离约650m，经预测，项目风机在650m外声环境质量能够达到《声环境质量标准》(GB3096-2008)1类标准，</w:t>
                  </w:r>
                  <w:r>
                    <w:rPr>
                      <w:rFonts w:hint="default"/>
                      <w:color w:val="auto"/>
                      <w:lang w:val="en-US" w:eastAsia="zh-CN"/>
                    </w:rPr>
                    <w:t>因此风机运行噪声对当地居民点声环境影响很小。</w:t>
                  </w:r>
                </w:p>
              </w:tc>
              <w:tc>
                <w:tcPr>
                  <w:tcW w:w="1181" w:type="dxa"/>
                  <w:tcBorders>
                    <w:tl2br w:val="nil"/>
                    <w:tr2bl w:val="nil"/>
                  </w:tcBorders>
                  <w:noWrap w:val="0"/>
                  <w:vAlign w:val="center"/>
                </w:tcPr>
                <w:p w14:paraId="7D0B6D15">
                  <w:pPr>
                    <w:pStyle w:val="37"/>
                    <w:bidi w:val="0"/>
                    <w:rPr>
                      <w:rFonts w:hint="default"/>
                      <w:color w:val="auto"/>
                    </w:rPr>
                  </w:pPr>
                  <w:r>
                    <w:rPr>
                      <w:rFonts w:hint="default"/>
                      <w:color w:val="auto"/>
                      <w:lang w:val="en-US" w:eastAsia="zh-CN"/>
                    </w:rPr>
                    <w:t>符合</w:t>
                  </w:r>
                </w:p>
              </w:tc>
            </w:tr>
            <w:tr w14:paraId="24D525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84" w:type="dxa"/>
                  <w:tcBorders>
                    <w:tl2br w:val="nil"/>
                    <w:tr2bl w:val="nil"/>
                  </w:tcBorders>
                  <w:noWrap w:val="0"/>
                  <w:vAlign w:val="center"/>
                </w:tcPr>
                <w:p w14:paraId="0C1F9540">
                  <w:pPr>
                    <w:pStyle w:val="37"/>
                    <w:bidi w:val="0"/>
                    <w:rPr>
                      <w:rFonts w:hint="default"/>
                      <w:color w:val="auto"/>
                    </w:rPr>
                  </w:pPr>
                  <w:r>
                    <w:rPr>
                      <w:rFonts w:hint="default"/>
                      <w:color w:val="auto"/>
                      <w:lang w:val="en-US" w:eastAsia="zh-CN"/>
                    </w:rPr>
                    <w:t>电磁辐射防护：电气设备设计必须考虑防磁、防辐射要求，减少电磁辐射对环境的影响，</w:t>
                  </w:r>
                  <w:r>
                    <w:rPr>
                      <w:rFonts w:hint="eastAsia"/>
                      <w:color w:val="auto"/>
                      <w:lang w:val="en-US" w:eastAsia="zh-CN"/>
                    </w:rPr>
                    <w:t>电气设备及</w:t>
                  </w:r>
                  <w:r>
                    <w:rPr>
                      <w:rFonts w:hint="default"/>
                      <w:color w:val="auto"/>
                      <w:lang w:val="en-US" w:eastAsia="zh-CN"/>
                    </w:rPr>
                    <w:t>设施布置应满足电磁辐射对环境影响的防护距离要求。</w:t>
                  </w:r>
                </w:p>
              </w:tc>
              <w:tc>
                <w:tcPr>
                  <w:tcW w:w="3572" w:type="dxa"/>
                  <w:tcBorders>
                    <w:tl2br w:val="nil"/>
                    <w:tr2bl w:val="nil"/>
                  </w:tcBorders>
                  <w:noWrap w:val="0"/>
                  <w:vAlign w:val="center"/>
                </w:tcPr>
                <w:p w14:paraId="0A47B14A">
                  <w:pPr>
                    <w:pStyle w:val="37"/>
                    <w:bidi w:val="0"/>
                    <w:rPr>
                      <w:rFonts w:hint="default"/>
                      <w:color w:val="auto"/>
                    </w:rPr>
                  </w:pPr>
                  <w:r>
                    <w:rPr>
                      <w:rFonts w:hint="default"/>
                      <w:color w:val="auto"/>
                      <w:lang w:val="en-US" w:eastAsia="zh-CN"/>
                    </w:rPr>
                    <w:t>本次评价内容不包括升压站送出系统工程。可研阶段在35kV集电线路和升压站的电气设计时已经考虑防磁、防辐射要求。根据本评价类比分析，本项目拟设置的220kV升压站运营期周围环境工频电场强度和工频磁感应强度均低于《电磁环境控制限值》(GB8702-2014)要求，对周边环境影响很小，不设置电磁环境防护距离。</w:t>
                  </w:r>
                </w:p>
              </w:tc>
              <w:tc>
                <w:tcPr>
                  <w:tcW w:w="1181" w:type="dxa"/>
                  <w:tcBorders>
                    <w:tl2br w:val="nil"/>
                    <w:tr2bl w:val="nil"/>
                  </w:tcBorders>
                  <w:noWrap w:val="0"/>
                  <w:vAlign w:val="center"/>
                </w:tcPr>
                <w:p w14:paraId="62BA2BA4">
                  <w:pPr>
                    <w:pStyle w:val="37"/>
                    <w:bidi w:val="0"/>
                    <w:rPr>
                      <w:rFonts w:hint="default"/>
                      <w:color w:val="auto"/>
                    </w:rPr>
                  </w:pPr>
                  <w:r>
                    <w:rPr>
                      <w:rFonts w:hint="default"/>
                      <w:color w:val="auto"/>
                      <w:lang w:val="en-US" w:eastAsia="zh-CN"/>
                    </w:rPr>
                    <w:t>符合</w:t>
                  </w:r>
                </w:p>
              </w:tc>
            </w:tr>
            <w:tr w14:paraId="122798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84" w:type="dxa"/>
                  <w:tcBorders>
                    <w:tl2br w:val="nil"/>
                    <w:tr2bl w:val="nil"/>
                  </w:tcBorders>
                  <w:noWrap w:val="0"/>
                  <w:vAlign w:val="center"/>
                </w:tcPr>
                <w:p w14:paraId="02ADC98C">
                  <w:pPr>
                    <w:pStyle w:val="37"/>
                    <w:bidi w:val="0"/>
                    <w:rPr>
                      <w:rFonts w:hint="default"/>
                      <w:color w:val="auto"/>
                    </w:rPr>
                  </w:pPr>
                  <w:r>
                    <w:rPr>
                      <w:rFonts w:hint="default"/>
                      <w:color w:val="auto"/>
                      <w:lang w:val="en-US" w:eastAsia="zh-CN"/>
                    </w:rPr>
                    <w:t>鸟类飞行影响：风电机组布置应避让鸟类迁徙重要通道和鸟类栖息地，风电机组塔顶可设置警示标志或主动驱鸟设备，减少对鸟类飞行的影响。</w:t>
                  </w:r>
                </w:p>
              </w:tc>
              <w:tc>
                <w:tcPr>
                  <w:tcW w:w="3572" w:type="dxa"/>
                  <w:tcBorders>
                    <w:tl2br w:val="nil"/>
                    <w:tr2bl w:val="nil"/>
                  </w:tcBorders>
                  <w:noWrap w:val="0"/>
                  <w:vAlign w:val="center"/>
                </w:tcPr>
                <w:p w14:paraId="19FD76A0">
                  <w:pPr>
                    <w:pStyle w:val="37"/>
                    <w:bidi w:val="0"/>
                    <w:rPr>
                      <w:rFonts w:hint="default"/>
                      <w:color w:val="auto"/>
                    </w:rPr>
                  </w:pPr>
                  <w:r>
                    <w:rPr>
                      <w:rFonts w:hint="default"/>
                      <w:color w:val="auto"/>
                      <w:lang w:val="en-US" w:eastAsia="zh-CN"/>
                    </w:rPr>
                    <w:t>根据与云南省林业规划院提供的候鸟迁徙路线图比对，该项目选址范围均未涉及鸟类迁徙通道。此外，根据本次生态环境现状调查结果，评价区内未发现候鸟迁徙通道，项目区距已知的鸟类迁徙通道较远，风电场的运行对鸟类的迁徙基本没有影响。</w:t>
                  </w:r>
                </w:p>
              </w:tc>
              <w:tc>
                <w:tcPr>
                  <w:tcW w:w="1181" w:type="dxa"/>
                  <w:tcBorders>
                    <w:tl2br w:val="nil"/>
                    <w:tr2bl w:val="nil"/>
                  </w:tcBorders>
                  <w:noWrap w:val="0"/>
                  <w:vAlign w:val="center"/>
                </w:tcPr>
                <w:p w14:paraId="0E77D9B0">
                  <w:pPr>
                    <w:pStyle w:val="37"/>
                    <w:bidi w:val="0"/>
                    <w:rPr>
                      <w:rFonts w:hint="default"/>
                      <w:color w:val="auto"/>
                    </w:rPr>
                  </w:pPr>
                  <w:r>
                    <w:rPr>
                      <w:rFonts w:hint="default"/>
                      <w:color w:val="auto"/>
                      <w:lang w:val="en-US" w:eastAsia="zh-CN"/>
                    </w:rPr>
                    <w:t>符合</w:t>
                  </w:r>
                </w:p>
              </w:tc>
            </w:tr>
            <w:tr w14:paraId="6C68E4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684" w:type="dxa"/>
                  <w:tcBorders>
                    <w:tl2br w:val="nil"/>
                    <w:tr2bl w:val="nil"/>
                  </w:tcBorders>
                  <w:noWrap w:val="0"/>
                  <w:vAlign w:val="center"/>
                </w:tcPr>
                <w:p w14:paraId="0AA9A8E8">
                  <w:pPr>
                    <w:pStyle w:val="37"/>
                    <w:bidi w:val="0"/>
                    <w:rPr>
                      <w:rFonts w:hint="default"/>
                      <w:color w:val="auto"/>
                    </w:rPr>
                  </w:pPr>
                  <w:r>
                    <w:rPr>
                      <w:rFonts w:hint="default"/>
                      <w:color w:val="auto"/>
                      <w:lang w:val="en-US" w:eastAsia="zh-CN"/>
                    </w:rPr>
                    <w:t>水土及林地保护：规划项目实施过程中，应严格落实水保、环保措施。防治水土流失，提高原生植物移植率，确保水保、环保及植被恢复工程与主体工程“三同时”。</w:t>
                  </w:r>
                </w:p>
              </w:tc>
              <w:tc>
                <w:tcPr>
                  <w:tcW w:w="3572" w:type="dxa"/>
                  <w:tcBorders>
                    <w:tl2br w:val="nil"/>
                    <w:tr2bl w:val="nil"/>
                  </w:tcBorders>
                  <w:noWrap w:val="0"/>
                  <w:vAlign w:val="center"/>
                </w:tcPr>
                <w:p w14:paraId="19FBA619">
                  <w:pPr>
                    <w:pStyle w:val="37"/>
                    <w:bidi w:val="0"/>
                    <w:rPr>
                      <w:rFonts w:hint="default"/>
                      <w:color w:val="auto"/>
                    </w:rPr>
                  </w:pPr>
                  <w:r>
                    <w:rPr>
                      <w:rFonts w:hint="default"/>
                      <w:color w:val="auto"/>
                      <w:lang w:val="en-US" w:eastAsia="zh-CN"/>
                    </w:rPr>
                    <w:t>建设单位已委托相关水保单位编制了本项目水土保持方案。</w:t>
                  </w:r>
                  <w:r>
                    <w:rPr>
                      <w:rFonts w:hint="eastAsia"/>
                      <w:color w:val="auto"/>
                      <w:lang w:val="en-US" w:eastAsia="zh-CN"/>
                    </w:rPr>
                    <w:t>项目通过避让生态敏感区、居民区，优化集电线路布置，优化施工道路布置，</w:t>
                  </w:r>
                  <w:r>
                    <w:rPr>
                      <w:rFonts w:hint="default"/>
                      <w:color w:val="auto"/>
                      <w:lang w:val="en-US" w:eastAsia="zh-CN"/>
                    </w:rPr>
                    <w:t>施工期严格落实水保、环保及植被恢复工程与主体工程“三同时”制度</w:t>
                  </w:r>
                  <w:r>
                    <w:rPr>
                      <w:rFonts w:hint="eastAsia"/>
                      <w:color w:val="auto"/>
                      <w:lang w:val="en-US" w:eastAsia="zh-CN"/>
                    </w:rPr>
                    <w:t>，竣工后严格按环评及批复要求验收</w:t>
                  </w:r>
                  <w:r>
                    <w:rPr>
                      <w:rFonts w:hint="default"/>
                      <w:color w:val="auto"/>
                      <w:lang w:val="en-US" w:eastAsia="zh-CN"/>
                    </w:rPr>
                    <w:t>。</w:t>
                  </w:r>
                </w:p>
              </w:tc>
              <w:tc>
                <w:tcPr>
                  <w:tcW w:w="1181" w:type="dxa"/>
                  <w:tcBorders>
                    <w:tl2br w:val="nil"/>
                    <w:tr2bl w:val="nil"/>
                  </w:tcBorders>
                  <w:noWrap w:val="0"/>
                  <w:vAlign w:val="center"/>
                </w:tcPr>
                <w:p w14:paraId="4B22A7D2">
                  <w:pPr>
                    <w:pStyle w:val="37"/>
                    <w:bidi w:val="0"/>
                    <w:rPr>
                      <w:rFonts w:hint="default"/>
                      <w:color w:val="auto"/>
                    </w:rPr>
                  </w:pPr>
                  <w:r>
                    <w:rPr>
                      <w:rFonts w:hint="default"/>
                      <w:color w:val="auto"/>
                      <w:lang w:val="en-US" w:eastAsia="zh-CN"/>
                    </w:rPr>
                    <w:t>符合</w:t>
                  </w:r>
                </w:p>
              </w:tc>
            </w:tr>
          </w:tbl>
          <w:p w14:paraId="7CFAA7B3">
            <w:pPr>
              <w:pStyle w:val="8"/>
              <w:numPr>
                <w:ilvl w:val="0"/>
                <w:numId w:val="0"/>
              </w:numPr>
              <w:rPr>
                <w:rFonts w:hint="default" w:ascii="Times New Roman" w:hAnsi="Times New Roman" w:eastAsia="宋体" w:cs="Times New Roman"/>
                <w:caps w:val="0"/>
                <w:color w:val="auto"/>
                <w:kern w:val="0"/>
                <w:sz w:val="24"/>
              </w:rPr>
            </w:pPr>
            <w:r>
              <w:rPr>
                <w:rFonts w:hint="eastAsia" w:cs="Times New Roman"/>
                <w:b/>
                <w:bCs/>
                <w:caps w:val="0"/>
                <w:color w:val="auto"/>
                <w:sz w:val="24"/>
                <w:szCs w:val="24"/>
                <w:lang w:val="en-US" w:eastAsia="zh-CN"/>
              </w:rPr>
              <w:t>2.</w:t>
            </w:r>
            <w:r>
              <w:rPr>
                <w:rFonts w:hint="default" w:ascii="Times New Roman" w:hAnsi="Times New Roman" w:eastAsia="宋体" w:cs="Times New Roman"/>
                <w:b/>
                <w:bCs/>
                <w:caps w:val="0"/>
                <w:color w:val="auto"/>
                <w:sz w:val="24"/>
                <w:szCs w:val="24"/>
                <w:lang w:eastAsia="zh-CN"/>
              </w:rPr>
              <w:t>与</w:t>
            </w:r>
            <w:r>
              <w:rPr>
                <w:rFonts w:hint="default" w:ascii="Times New Roman" w:hAnsi="Times New Roman" w:eastAsia="宋体" w:cs="Times New Roman"/>
                <w:b/>
                <w:bCs/>
                <w:caps w:val="0"/>
                <w:color w:val="auto"/>
                <w:kern w:val="0"/>
                <w:sz w:val="24"/>
                <w:szCs w:val="24"/>
              </w:rPr>
              <w:t>《云南省在适宜地区适度开发利用新能源规划环境影响篇章》</w:t>
            </w:r>
            <w:r>
              <w:rPr>
                <w:rFonts w:hint="default" w:ascii="Times New Roman" w:hAnsi="Times New Roman" w:eastAsia="宋体" w:cs="Times New Roman"/>
                <w:b/>
                <w:bCs/>
                <w:caps w:val="0"/>
                <w:color w:val="auto"/>
                <w:kern w:val="0"/>
                <w:sz w:val="24"/>
                <w:szCs w:val="24"/>
                <w:lang w:eastAsia="zh-CN"/>
              </w:rPr>
              <w:t>的符合性分析</w:t>
            </w:r>
          </w:p>
          <w:p w14:paraId="4611D6C1">
            <w:pPr>
              <w:adjustRightInd w:val="0"/>
              <w:snapToGrid w:val="0"/>
              <w:spacing w:line="360" w:lineRule="auto"/>
              <w:ind w:firstLine="480" w:firstLineChars="200"/>
              <w:jc w:val="left"/>
              <w:rPr>
                <w:rFonts w:hint="default" w:ascii="Times New Roman" w:hAnsi="Times New Roman" w:eastAsia="宋体" w:cs="Times New Roman"/>
                <w:caps w:val="0"/>
                <w:color w:val="auto"/>
                <w:kern w:val="0"/>
                <w:sz w:val="24"/>
              </w:rPr>
            </w:pPr>
            <w:r>
              <w:rPr>
                <w:rFonts w:hint="default" w:ascii="Times New Roman" w:hAnsi="Times New Roman" w:eastAsia="宋体" w:cs="Times New Roman"/>
                <w:caps w:val="0"/>
                <w:color w:val="auto"/>
                <w:kern w:val="0"/>
                <w:sz w:val="24"/>
              </w:rPr>
              <w:t>（1）重视项目对敏感环境保护目标的影响评价尽量避让生态保护红线、《云南省主体功能区规划》中确定的禁止开发区域（自然保护区、风景名胜区、世界遗产地、国家森林公园、国家地质公园、文物古迹、集中式饮用水源地等）及原始天然林、候鸟迁徙通道、保护鸟类重要生境等环境敏感区，尽量减少对敏感区域的扰动，避免造成重大影响。</w:t>
            </w:r>
          </w:p>
          <w:p w14:paraId="35A409F8">
            <w:pPr>
              <w:adjustRightInd w:val="0"/>
              <w:snapToGrid w:val="0"/>
              <w:spacing w:line="360" w:lineRule="auto"/>
              <w:ind w:firstLine="480" w:firstLineChars="200"/>
              <w:jc w:val="left"/>
              <w:rPr>
                <w:rFonts w:hint="default" w:ascii="Times New Roman" w:hAnsi="Times New Roman" w:eastAsia="宋体" w:cs="Times New Roman"/>
                <w:caps w:val="0"/>
                <w:color w:val="auto"/>
                <w:kern w:val="0"/>
                <w:sz w:val="24"/>
              </w:rPr>
            </w:pPr>
            <w:r>
              <w:rPr>
                <w:rFonts w:hint="default" w:ascii="Times New Roman" w:hAnsi="Times New Roman" w:eastAsia="宋体" w:cs="Times New Roman"/>
                <w:caps w:val="0"/>
                <w:color w:val="auto"/>
                <w:kern w:val="0"/>
                <w:sz w:val="24"/>
              </w:rPr>
              <w:t>根据</w:t>
            </w:r>
            <w:r>
              <w:rPr>
                <w:rFonts w:hint="default" w:ascii="Times New Roman" w:hAnsi="Times New Roman" w:eastAsia="宋体" w:cs="Times New Roman"/>
                <w:caps w:val="0"/>
                <w:color w:val="auto"/>
                <w:kern w:val="0"/>
                <w:sz w:val="24"/>
                <w:lang w:val="en-US" w:eastAsia="zh-CN"/>
              </w:rPr>
              <w:t>宣威市</w:t>
            </w:r>
            <w:r>
              <w:rPr>
                <w:rFonts w:hint="default" w:ascii="Times New Roman" w:hAnsi="Times New Roman" w:eastAsia="宋体" w:cs="Times New Roman"/>
                <w:caps w:val="0"/>
                <w:color w:val="auto"/>
                <w:kern w:val="0"/>
                <w:sz w:val="24"/>
              </w:rPr>
              <w:t>自然资源局、生态环境局等有关单位对项目区域制约性因素查询结果，</w:t>
            </w:r>
            <w:r>
              <w:rPr>
                <w:rFonts w:hint="eastAsia" w:cs="Times New Roman"/>
                <w:caps w:val="0"/>
                <w:color w:val="auto"/>
                <w:kern w:val="0"/>
                <w:sz w:val="24"/>
                <w:lang w:val="en-US" w:eastAsia="zh-CN"/>
              </w:rPr>
              <w:t>以及本项目与各环境敏感因素的叠图成果，本项目</w:t>
            </w:r>
            <w:r>
              <w:rPr>
                <w:rFonts w:hint="default" w:ascii="Times New Roman" w:hAnsi="Times New Roman" w:eastAsia="宋体" w:cs="Times New Roman"/>
                <w:caps w:val="0"/>
                <w:color w:val="auto"/>
                <w:kern w:val="0"/>
                <w:sz w:val="24"/>
              </w:rPr>
              <w:t>不</w:t>
            </w:r>
            <w:r>
              <w:rPr>
                <w:rFonts w:hint="default" w:ascii="Times New Roman" w:hAnsi="Times New Roman" w:eastAsia="宋体" w:cs="Times New Roman"/>
                <w:caps w:val="0"/>
                <w:color w:val="auto"/>
                <w:kern w:val="0"/>
                <w:sz w:val="24"/>
                <w:lang w:val="en-US" w:eastAsia="zh-CN"/>
              </w:rPr>
              <w:t>占用</w:t>
            </w:r>
            <w:r>
              <w:rPr>
                <w:rFonts w:hint="default" w:ascii="Times New Roman" w:hAnsi="Times New Roman" w:eastAsia="宋体" w:cs="Times New Roman"/>
                <w:caps w:val="0"/>
                <w:color w:val="auto"/>
                <w:kern w:val="0"/>
                <w:sz w:val="24"/>
              </w:rPr>
              <w:t>生态保护红线</w:t>
            </w:r>
            <w:r>
              <w:rPr>
                <w:rFonts w:hint="eastAsia" w:cs="Times New Roman"/>
                <w:caps w:val="0"/>
                <w:color w:val="auto"/>
                <w:kern w:val="0"/>
                <w:sz w:val="24"/>
                <w:lang w:eastAsia="zh-CN"/>
              </w:rPr>
              <w:t>、</w:t>
            </w:r>
            <w:r>
              <w:rPr>
                <w:rFonts w:hint="eastAsia" w:cs="Times New Roman"/>
                <w:caps w:val="0"/>
                <w:color w:val="auto"/>
                <w:kern w:val="0"/>
                <w:sz w:val="24"/>
                <w:lang w:val="en-US" w:eastAsia="zh-CN"/>
              </w:rPr>
              <w:t>原始天然林</w:t>
            </w:r>
            <w:r>
              <w:rPr>
                <w:rFonts w:hint="default" w:ascii="Times New Roman" w:hAnsi="Times New Roman" w:eastAsia="宋体" w:cs="Times New Roman"/>
                <w:caps w:val="0"/>
                <w:color w:val="auto"/>
                <w:kern w:val="0"/>
                <w:sz w:val="24"/>
              </w:rPr>
              <w:t>及各类禁止开发区域，项目符合要求。</w:t>
            </w:r>
          </w:p>
          <w:p w14:paraId="41E694C3">
            <w:pPr>
              <w:adjustRightInd w:val="0"/>
              <w:snapToGrid w:val="0"/>
              <w:spacing w:line="360" w:lineRule="auto"/>
              <w:ind w:firstLine="480" w:firstLineChars="200"/>
              <w:jc w:val="left"/>
              <w:rPr>
                <w:rFonts w:hint="default" w:ascii="Times New Roman" w:hAnsi="Times New Roman" w:eastAsia="宋体" w:cs="Times New Roman"/>
                <w:caps w:val="0"/>
                <w:color w:val="auto"/>
                <w:kern w:val="0"/>
                <w:sz w:val="24"/>
              </w:rPr>
            </w:pPr>
            <w:r>
              <w:rPr>
                <w:rFonts w:hint="default" w:ascii="Times New Roman" w:hAnsi="Times New Roman" w:eastAsia="宋体" w:cs="Times New Roman"/>
                <w:caps w:val="0"/>
                <w:color w:val="auto"/>
                <w:kern w:val="0"/>
                <w:sz w:val="24"/>
              </w:rPr>
              <w:t>（2）重视项目区生态环境现状调查</w:t>
            </w:r>
          </w:p>
          <w:p w14:paraId="020DAAE3">
            <w:pPr>
              <w:adjustRightInd w:val="0"/>
              <w:snapToGrid w:val="0"/>
              <w:spacing w:line="360" w:lineRule="auto"/>
              <w:ind w:firstLine="480" w:firstLineChars="200"/>
              <w:jc w:val="left"/>
              <w:rPr>
                <w:rFonts w:hint="default" w:ascii="Times New Roman" w:hAnsi="Times New Roman" w:eastAsia="宋体" w:cs="Times New Roman"/>
                <w:caps w:val="0"/>
                <w:color w:val="auto"/>
                <w:kern w:val="0"/>
                <w:sz w:val="24"/>
                <w:highlight w:val="none"/>
              </w:rPr>
            </w:pPr>
            <w:r>
              <w:rPr>
                <w:rFonts w:hint="default" w:ascii="Times New Roman" w:hAnsi="Times New Roman" w:eastAsia="宋体" w:cs="Times New Roman"/>
                <w:caps w:val="0"/>
                <w:color w:val="auto"/>
                <w:kern w:val="0"/>
                <w:sz w:val="24"/>
              </w:rPr>
              <w:t>开展规划项目土地利用和植被植物影响的详细调查，邀请植物专家调查建设区是否存在极小种群、重点保护野生植物以及特殊（珍稀）植物群落</w:t>
            </w:r>
            <w:r>
              <w:rPr>
                <w:rFonts w:hint="default" w:ascii="Times New Roman" w:hAnsi="Times New Roman" w:eastAsia="宋体" w:cs="Times New Roman"/>
                <w:caps w:val="0"/>
                <w:color w:val="auto"/>
                <w:kern w:val="0"/>
                <w:sz w:val="24"/>
                <w:highlight w:val="none"/>
              </w:rPr>
              <w:t>等，并需特别关注环境敏感区域的调查，在项目环评中给予足够的重视。</w:t>
            </w:r>
          </w:p>
          <w:p w14:paraId="3D797143">
            <w:pPr>
              <w:adjustRightInd w:val="0"/>
              <w:snapToGrid w:val="0"/>
              <w:spacing w:line="360" w:lineRule="auto"/>
              <w:ind w:firstLine="480" w:firstLineChars="200"/>
              <w:jc w:val="left"/>
              <w:rPr>
                <w:rFonts w:hint="default" w:ascii="Times New Roman" w:hAnsi="Times New Roman" w:eastAsia="宋体" w:cs="Times New Roman"/>
                <w:caps w:val="0"/>
                <w:color w:val="auto"/>
                <w:kern w:val="0"/>
                <w:sz w:val="24"/>
                <w:highlight w:val="none"/>
              </w:rPr>
            </w:pPr>
            <w:r>
              <w:rPr>
                <w:rFonts w:hint="default" w:ascii="Times New Roman" w:hAnsi="Times New Roman" w:eastAsia="宋体" w:cs="Times New Roman"/>
                <w:caps w:val="0"/>
                <w:color w:val="auto"/>
                <w:kern w:val="0"/>
                <w:sz w:val="24"/>
                <w:highlight w:val="none"/>
              </w:rPr>
              <w:t>在本次环评过程中，</w:t>
            </w:r>
            <w:r>
              <w:rPr>
                <w:rFonts w:hint="default" w:ascii="Times New Roman" w:hAnsi="Times New Roman" w:eastAsia="宋体" w:cs="Times New Roman"/>
                <w:caps w:val="0"/>
                <w:color w:val="auto"/>
                <w:kern w:val="0"/>
                <w:sz w:val="24"/>
                <w:highlight w:val="none"/>
                <w:lang w:val="en-US" w:eastAsia="zh-CN"/>
              </w:rPr>
              <w:t>环评单位组织</w:t>
            </w:r>
            <w:r>
              <w:rPr>
                <w:rFonts w:hint="default" w:ascii="Times New Roman" w:hAnsi="Times New Roman" w:eastAsia="宋体" w:cs="Times New Roman"/>
                <w:caps w:val="0"/>
                <w:color w:val="auto"/>
                <w:kern w:val="0"/>
                <w:sz w:val="24"/>
                <w:highlight w:val="none"/>
              </w:rPr>
              <w:t>专业技术人员对项目生态影响区生态环境进行了详细的调查，并重点对保护动植物、鸟类等进行仔细核对</w:t>
            </w:r>
            <w:r>
              <w:rPr>
                <w:rFonts w:hint="default" w:ascii="Times New Roman" w:hAnsi="Times New Roman" w:eastAsia="宋体" w:cs="Times New Roman"/>
                <w:caps w:val="0"/>
                <w:color w:val="auto"/>
                <w:kern w:val="0"/>
                <w:sz w:val="24"/>
                <w:highlight w:val="none"/>
                <w:lang w:eastAsia="zh-CN"/>
              </w:rPr>
              <w:t>，</w:t>
            </w:r>
            <w:r>
              <w:rPr>
                <w:rFonts w:hint="default" w:ascii="Times New Roman" w:hAnsi="Times New Roman" w:eastAsia="宋体" w:cs="Times New Roman"/>
                <w:color w:val="auto"/>
                <w:sz w:val="24"/>
                <w:szCs w:val="28"/>
                <w:highlight w:val="none"/>
              </w:rPr>
              <w:t>评价区内分布有</w:t>
            </w:r>
            <w:r>
              <w:rPr>
                <w:rFonts w:hint="default" w:ascii="Times New Roman" w:hAnsi="Times New Roman" w:eastAsia="宋体" w:cs="Times New Roman"/>
                <w:color w:val="auto"/>
                <w:sz w:val="24"/>
                <w:highlight w:val="none"/>
                <w:lang w:val="en-US" w:eastAsia="zh-CN"/>
              </w:rPr>
              <w:t>调查区记录国家二级重点保护鸟类</w:t>
            </w:r>
            <w:r>
              <w:rPr>
                <w:rFonts w:hint="eastAsia" w:cs="Times New Roman"/>
                <w:color w:val="auto"/>
                <w:sz w:val="24"/>
                <w:highlight w:val="none"/>
                <w:lang w:val="en-US" w:eastAsia="zh-CN"/>
              </w:rPr>
              <w:t>10</w:t>
            </w:r>
            <w:r>
              <w:rPr>
                <w:rFonts w:hint="default" w:ascii="Times New Roman" w:hAnsi="Times New Roman" w:eastAsia="宋体" w:cs="Times New Roman"/>
                <w:color w:val="auto"/>
                <w:sz w:val="24"/>
                <w:highlight w:val="none"/>
                <w:lang w:val="en-US" w:eastAsia="zh-CN"/>
              </w:rPr>
              <w:t>种，分别为：白腹锦鸡、斑头鸺鹠、领角鸮、凤头鹰、白尾鹞、普通鵟、红隼、游隼、红嘴相思鸟、白领凤鹛。未发现国家一级重点保护鸟类。</w:t>
            </w:r>
          </w:p>
          <w:p w14:paraId="5AF47962">
            <w:pPr>
              <w:adjustRightInd w:val="0"/>
              <w:snapToGrid w:val="0"/>
              <w:spacing w:line="360" w:lineRule="auto"/>
              <w:ind w:firstLine="480" w:firstLineChars="200"/>
              <w:jc w:val="left"/>
              <w:rPr>
                <w:rFonts w:hint="default" w:ascii="Times New Roman" w:hAnsi="Times New Roman" w:eastAsia="宋体" w:cs="Times New Roman"/>
                <w:caps w:val="0"/>
                <w:color w:val="auto"/>
                <w:kern w:val="0"/>
                <w:sz w:val="24"/>
                <w:highlight w:val="none"/>
              </w:rPr>
            </w:pPr>
            <w:r>
              <w:rPr>
                <w:rFonts w:hint="default" w:ascii="Times New Roman" w:hAnsi="Times New Roman" w:eastAsia="宋体" w:cs="Times New Roman"/>
                <w:caps w:val="0"/>
                <w:color w:val="auto"/>
                <w:kern w:val="0"/>
                <w:sz w:val="24"/>
                <w:highlight w:val="none"/>
              </w:rPr>
              <w:t>（</w:t>
            </w:r>
            <w:r>
              <w:rPr>
                <w:rFonts w:hint="default" w:ascii="Times New Roman" w:hAnsi="Times New Roman" w:eastAsia="宋体" w:cs="Times New Roman"/>
                <w:caps w:val="0"/>
                <w:color w:val="auto"/>
                <w:kern w:val="0"/>
                <w:sz w:val="24"/>
                <w:highlight w:val="none"/>
                <w:lang w:val="en-US" w:eastAsia="zh-CN"/>
              </w:rPr>
              <w:t>3</w:t>
            </w:r>
            <w:r>
              <w:rPr>
                <w:rFonts w:hint="default" w:ascii="Times New Roman" w:hAnsi="Times New Roman" w:eastAsia="宋体" w:cs="Times New Roman"/>
                <w:caps w:val="0"/>
                <w:color w:val="auto"/>
                <w:kern w:val="0"/>
                <w:sz w:val="24"/>
                <w:highlight w:val="none"/>
              </w:rPr>
              <w:t>）复核生态保护红线和环境敏感区涉及情况</w:t>
            </w:r>
          </w:p>
          <w:p w14:paraId="23414412">
            <w:pPr>
              <w:adjustRightInd w:val="0"/>
              <w:snapToGrid w:val="0"/>
              <w:spacing w:line="360" w:lineRule="auto"/>
              <w:ind w:firstLine="480" w:firstLineChars="200"/>
              <w:jc w:val="left"/>
              <w:rPr>
                <w:rFonts w:hint="default" w:ascii="Times New Roman" w:hAnsi="Times New Roman" w:eastAsia="宋体" w:cs="Times New Roman"/>
                <w:caps w:val="0"/>
                <w:color w:val="auto"/>
                <w:kern w:val="0"/>
                <w:sz w:val="24"/>
                <w:highlight w:val="none"/>
              </w:rPr>
            </w:pPr>
            <w:r>
              <w:rPr>
                <w:rFonts w:hint="default" w:ascii="Times New Roman" w:hAnsi="Times New Roman" w:eastAsia="宋体" w:cs="Times New Roman"/>
                <w:caps w:val="0"/>
                <w:color w:val="auto"/>
                <w:kern w:val="0"/>
                <w:sz w:val="24"/>
                <w:highlight w:val="none"/>
              </w:rPr>
              <w:t>根据</w:t>
            </w:r>
            <w:r>
              <w:rPr>
                <w:rFonts w:hint="default" w:ascii="Times New Roman" w:hAnsi="Times New Roman" w:eastAsia="宋体" w:cs="Times New Roman"/>
                <w:caps w:val="0"/>
                <w:color w:val="auto"/>
                <w:kern w:val="0"/>
                <w:sz w:val="24"/>
                <w:highlight w:val="none"/>
                <w:lang w:val="en-US" w:eastAsia="zh-CN"/>
              </w:rPr>
              <w:t>宣威市</w:t>
            </w:r>
            <w:r>
              <w:rPr>
                <w:rFonts w:hint="default" w:ascii="Times New Roman" w:hAnsi="Times New Roman" w:eastAsia="宋体" w:cs="Times New Roman"/>
                <w:caps w:val="0"/>
                <w:color w:val="auto"/>
                <w:kern w:val="0"/>
                <w:sz w:val="24"/>
                <w:highlight w:val="none"/>
              </w:rPr>
              <w:t>林业和草原局出具的《关于</w:t>
            </w:r>
            <w:r>
              <w:rPr>
                <w:rFonts w:hint="default" w:ascii="Times New Roman" w:hAnsi="Times New Roman" w:eastAsia="宋体" w:cs="Times New Roman"/>
                <w:caps w:val="0"/>
                <w:color w:val="auto"/>
                <w:kern w:val="0"/>
                <w:sz w:val="24"/>
                <w:highlight w:val="none"/>
                <w:lang w:val="en-US" w:eastAsia="zh-CN"/>
              </w:rPr>
              <w:t>西泽风电场（二</w:t>
            </w:r>
            <w:r>
              <w:rPr>
                <w:rFonts w:hint="default" w:ascii="Times New Roman" w:hAnsi="Times New Roman" w:eastAsia="宋体" w:cs="Times New Roman"/>
                <w:caps w:val="0"/>
                <w:color w:val="auto"/>
                <w:kern w:val="0"/>
                <w:sz w:val="24"/>
                <w:highlight w:val="none"/>
              </w:rPr>
              <w:t>期</w:t>
            </w:r>
            <w:r>
              <w:rPr>
                <w:rFonts w:hint="default" w:ascii="Times New Roman" w:hAnsi="Times New Roman" w:eastAsia="宋体" w:cs="Times New Roman"/>
                <w:caps w:val="0"/>
                <w:color w:val="auto"/>
                <w:kern w:val="0"/>
                <w:sz w:val="24"/>
                <w:highlight w:val="none"/>
                <w:lang w:val="en-US" w:eastAsia="zh-CN"/>
              </w:rPr>
              <w:t>）</w:t>
            </w:r>
            <w:r>
              <w:rPr>
                <w:rFonts w:hint="default" w:ascii="Times New Roman" w:hAnsi="Times New Roman" w:eastAsia="宋体" w:cs="Times New Roman"/>
                <w:caps w:val="0"/>
                <w:color w:val="auto"/>
                <w:kern w:val="0"/>
                <w:sz w:val="24"/>
                <w:highlight w:val="none"/>
              </w:rPr>
              <w:t>涉及林地、草地的审查意见》以及宣威市林业和草原局提供的数据与本项目用地范围线叠加，</w:t>
            </w:r>
            <w:r>
              <w:rPr>
                <w:rFonts w:hint="eastAsia" w:cs="Times New Roman"/>
                <w:caps w:val="0"/>
                <w:color w:val="auto"/>
                <w:kern w:val="0"/>
                <w:sz w:val="24"/>
                <w:highlight w:val="none"/>
                <w:lang w:val="en-US" w:eastAsia="zh-CN"/>
              </w:rPr>
              <w:t>项目不涉及</w:t>
            </w:r>
            <w:r>
              <w:rPr>
                <w:rFonts w:hint="default"/>
                <w:color w:val="auto"/>
                <w:highlight w:val="none"/>
              </w:rPr>
              <w:t>天然乔木林地、年降雨量400毫米以下区域的有林地、国家一级公益林和国家二级公益林</w:t>
            </w:r>
            <w:r>
              <w:rPr>
                <w:rFonts w:hint="eastAsia"/>
                <w:color w:val="auto"/>
                <w:highlight w:val="none"/>
                <w:lang w:val="en-US" w:eastAsia="zh-CN"/>
              </w:rPr>
              <w:t>等环境敏感区</w:t>
            </w:r>
            <w:r>
              <w:rPr>
                <w:rFonts w:hint="default"/>
                <w:color w:val="auto"/>
                <w:highlight w:val="none"/>
              </w:rPr>
              <w:t>。</w:t>
            </w:r>
          </w:p>
          <w:p w14:paraId="4316F62D">
            <w:pPr>
              <w:adjustRightInd w:val="0"/>
              <w:snapToGrid w:val="0"/>
              <w:spacing w:line="360" w:lineRule="auto"/>
              <w:ind w:firstLine="480" w:firstLineChars="200"/>
              <w:jc w:val="left"/>
              <w:rPr>
                <w:rFonts w:hint="default" w:ascii="Times New Roman" w:hAnsi="Times New Roman" w:eastAsia="宋体" w:cs="Times New Roman"/>
                <w:caps w:val="0"/>
                <w:color w:val="auto"/>
                <w:kern w:val="0"/>
                <w:sz w:val="24"/>
                <w:highlight w:val="none"/>
              </w:rPr>
            </w:pPr>
            <w:r>
              <w:rPr>
                <w:rFonts w:hint="default" w:ascii="Times New Roman" w:hAnsi="Times New Roman" w:eastAsia="宋体" w:cs="Times New Roman"/>
                <w:caps w:val="0"/>
                <w:color w:val="auto"/>
                <w:kern w:val="0"/>
                <w:sz w:val="24"/>
                <w:highlight w:val="none"/>
              </w:rPr>
              <w:t>根据</w:t>
            </w:r>
            <w:r>
              <w:rPr>
                <w:rFonts w:hint="default" w:ascii="Times New Roman" w:hAnsi="Times New Roman" w:eastAsia="宋体" w:cs="Times New Roman"/>
                <w:caps w:val="0"/>
                <w:color w:val="auto"/>
                <w:kern w:val="0"/>
                <w:sz w:val="24"/>
                <w:highlight w:val="none"/>
                <w:lang w:val="en-US" w:eastAsia="zh-CN"/>
              </w:rPr>
              <w:t>宣威市</w:t>
            </w:r>
            <w:r>
              <w:rPr>
                <w:rFonts w:hint="default" w:ascii="Times New Roman" w:hAnsi="Times New Roman" w:eastAsia="宋体" w:cs="Times New Roman"/>
                <w:caps w:val="0"/>
                <w:color w:val="auto"/>
                <w:kern w:val="0"/>
                <w:sz w:val="24"/>
                <w:highlight w:val="none"/>
              </w:rPr>
              <w:t>水务局关于</w:t>
            </w:r>
            <w:r>
              <w:rPr>
                <w:rFonts w:hint="default" w:ascii="Times New Roman" w:hAnsi="Times New Roman" w:eastAsia="宋体" w:cs="Times New Roman"/>
                <w:caps w:val="0"/>
                <w:color w:val="auto"/>
                <w:kern w:val="0"/>
                <w:sz w:val="24"/>
                <w:highlight w:val="none"/>
                <w:lang w:val="en-US" w:eastAsia="zh-CN"/>
              </w:rPr>
              <w:t>西泽风电场（二</w:t>
            </w:r>
            <w:r>
              <w:rPr>
                <w:rFonts w:hint="default" w:ascii="Times New Roman" w:hAnsi="Times New Roman" w:eastAsia="宋体" w:cs="Times New Roman"/>
                <w:caps w:val="0"/>
                <w:color w:val="auto"/>
                <w:kern w:val="0"/>
                <w:sz w:val="24"/>
                <w:highlight w:val="none"/>
              </w:rPr>
              <w:t>期</w:t>
            </w:r>
            <w:r>
              <w:rPr>
                <w:rFonts w:hint="default" w:ascii="Times New Roman" w:hAnsi="Times New Roman" w:eastAsia="宋体" w:cs="Times New Roman"/>
                <w:caps w:val="0"/>
                <w:color w:val="auto"/>
                <w:kern w:val="0"/>
                <w:sz w:val="24"/>
                <w:highlight w:val="none"/>
                <w:lang w:val="en-US" w:eastAsia="zh-CN"/>
              </w:rPr>
              <w:t>）</w:t>
            </w:r>
            <w:r>
              <w:rPr>
                <w:rFonts w:hint="default" w:ascii="Times New Roman" w:hAnsi="Times New Roman" w:eastAsia="宋体" w:cs="Times New Roman"/>
                <w:caps w:val="0"/>
                <w:color w:val="auto"/>
                <w:kern w:val="0"/>
                <w:sz w:val="24"/>
                <w:highlight w:val="none"/>
              </w:rPr>
              <w:t>选址的查询意见</w:t>
            </w:r>
            <w:r>
              <w:rPr>
                <w:rFonts w:hint="eastAsia" w:cs="Times New Roman"/>
                <w:caps w:val="0"/>
                <w:color w:val="auto"/>
                <w:kern w:val="0"/>
                <w:sz w:val="24"/>
                <w:highlight w:val="none"/>
                <w:lang w:val="en-US" w:eastAsia="zh-CN"/>
              </w:rPr>
              <w:t>以及项目周边管控单元查询结果</w:t>
            </w:r>
            <w:r>
              <w:rPr>
                <w:rFonts w:hint="default" w:ascii="Times New Roman" w:hAnsi="Times New Roman" w:eastAsia="宋体" w:cs="Times New Roman"/>
                <w:caps w:val="0"/>
                <w:color w:val="auto"/>
                <w:kern w:val="0"/>
                <w:sz w:val="24"/>
                <w:highlight w:val="none"/>
              </w:rPr>
              <w:t>，本项目不涉及水源保护区</w:t>
            </w:r>
            <w:r>
              <w:rPr>
                <w:rFonts w:hint="default" w:ascii="Times New Roman" w:hAnsi="Times New Roman" w:eastAsia="宋体" w:cs="Times New Roman"/>
                <w:caps w:val="0"/>
                <w:color w:val="auto"/>
                <w:kern w:val="0"/>
                <w:sz w:val="24"/>
                <w:highlight w:val="none"/>
                <w:lang w:eastAsia="zh-CN"/>
              </w:rPr>
              <w:t>。</w:t>
            </w:r>
          </w:p>
          <w:p w14:paraId="7ACC9EB5">
            <w:pPr>
              <w:adjustRightInd w:val="0"/>
              <w:snapToGrid w:val="0"/>
              <w:spacing w:line="360" w:lineRule="auto"/>
              <w:ind w:firstLine="480" w:firstLineChars="200"/>
              <w:jc w:val="left"/>
              <w:rPr>
                <w:rFonts w:hint="default" w:ascii="Times New Roman" w:hAnsi="Times New Roman" w:eastAsia="宋体" w:cs="Times New Roman"/>
                <w:caps w:val="0"/>
                <w:color w:val="auto"/>
                <w:kern w:val="0"/>
                <w:sz w:val="24"/>
                <w:highlight w:val="none"/>
              </w:rPr>
            </w:pPr>
            <w:r>
              <w:rPr>
                <w:rFonts w:hint="eastAsia" w:cs="Times New Roman"/>
                <w:caps w:val="0"/>
                <w:color w:val="auto"/>
                <w:kern w:val="0"/>
                <w:sz w:val="24"/>
                <w:highlight w:val="none"/>
                <w:lang w:val="en-US" w:eastAsia="zh-CN"/>
              </w:rPr>
              <w:t>根据</w:t>
            </w:r>
            <w:r>
              <w:rPr>
                <w:rFonts w:hint="default" w:ascii="Times New Roman" w:hAnsi="Times New Roman" w:eastAsia="宋体" w:cs="Times New Roman"/>
                <w:caps w:val="0"/>
                <w:color w:val="auto"/>
                <w:kern w:val="0"/>
                <w:sz w:val="24"/>
                <w:highlight w:val="none"/>
                <w:lang w:val="en-US" w:eastAsia="zh-CN"/>
              </w:rPr>
              <w:t>宣威市自然资源局</w:t>
            </w:r>
            <w:r>
              <w:rPr>
                <w:rFonts w:hint="eastAsia" w:ascii="Times New Roman" w:hAnsi="Times New Roman" w:cs="Times New Roman"/>
                <w:caps w:val="0"/>
                <w:color w:val="auto"/>
                <w:kern w:val="0"/>
                <w:sz w:val="24"/>
                <w:highlight w:val="none"/>
                <w:lang w:val="en-US" w:eastAsia="zh-CN"/>
              </w:rPr>
              <w:t>出具的《宣威市自然资源局关于西泽风电场(二期)</w:t>
            </w:r>
            <w:r>
              <w:rPr>
                <w:rFonts w:hint="eastAsia" w:cs="Times New Roman"/>
                <w:caps w:val="0"/>
                <w:color w:val="auto"/>
                <w:kern w:val="0"/>
                <w:sz w:val="24"/>
                <w:highlight w:val="none"/>
                <w:lang w:val="en-US" w:eastAsia="zh-CN"/>
              </w:rPr>
              <w:t>项目</w:t>
            </w:r>
            <w:r>
              <w:rPr>
                <w:rFonts w:hint="eastAsia" w:ascii="Times New Roman" w:hAnsi="Times New Roman" w:cs="Times New Roman"/>
                <w:caps w:val="0"/>
                <w:color w:val="auto"/>
                <w:kern w:val="0"/>
                <w:sz w:val="24"/>
                <w:highlight w:val="none"/>
                <w:lang w:val="en-US" w:eastAsia="zh-CN"/>
              </w:rPr>
              <w:t>“三区三线”查询的意见》以及提供的矢量数据叠图分析</w:t>
            </w:r>
            <w:r>
              <w:rPr>
                <w:rFonts w:hint="default" w:ascii="Times New Roman" w:hAnsi="Times New Roman" w:eastAsia="宋体" w:cs="Times New Roman"/>
                <w:caps w:val="0"/>
                <w:color w:val="auto"/>
                <w:kern w:val="0"/>
                <w:sz w:val="24"/>
                <w:highlight w:val="none"/>
              </w:rPr>
              <w:t>，本项目不占用生态保护红线和永久基本农田，不在城镇开发边界内。</w:t>
            </w:r>
          </w:p>
          <w:p w14:paraId="592DD952">
            <w:pPr>
              <w:adjustRightInd w:val="0"/>
              <w:snapToGrid w:val="0"/>
              <w:spacing w:line="360" w:lineRule="auto"/>
              <w:ind w:firstLine="480" w:firstLineChars="200"/>
              <w:jc w:val="left"/>
              <w:rPr>
                <w:rFonts w:hint="default" w:ascii="Times New Roman" w:hAnsi="Times New Roman" w:eastAsia="宋体" w:cs="Times New Roman"/>
                <w:caps w:val="0"/>
                <w:color w:val="auto"/>
                <w:kern w:val="0"/>
                <w:sz w:val="24"/>
                <w:highlight w:val="none"/>
              </w:rPr>
            </w:pPr>
            <w:r>
              <w:rPr>
                <w:rFonts w:hint="default" w:ascii="Times New Roman" w:hAnsi="Times New Roman" w:eastAsia="宋体" w:cs="Times New Roman"/>
                <w:caps w:val="0"/>
                <w:color w:val="auto"/>
                <w:kern w:val="0"/>
                <w:sz w:val="24"/>
                <w:highlight w:val="none"/>
              </w:rPr>
              <w:t>（</w:t>
            </w:r>
            <w:r>
              <w:rPr>
                <w:rFonts w:hint="default" w:ascii="Times New Roman" w:hAnsi="Times New Roman" w:eastAsia="宋体" w:cs="Times New Roman"/>
                <w:caps w:val="0"/>
                <w:color w:val="auto"/>
                <w:kern w:val="0"/>
                <w:sz w:val="24"/>
                <w:highlight w:val="none"/>
                <w:lang w:val="en-US" w:eastAsia="zh-CN"/>
              </w:rPr>
              <w:t>4</w:t>
            </w:r>
            <w:r>
              <w:rPr>
                <w:rFonts w:hint="default" w:ascii="Times New Roman" w:hAnsi="Times New Roman" w:eastAsia="宋体" w:cs="Times New Roman"/>
                <w:caps w:val="0"/>
                <w:color w:val="auto"/>
                <w:kern w:val="0"/>
                <w:sz w:val="24"/>
                <w:highlight w:val="none"/>
              </w:rPr>
              <w:t>）开展陆生生态影响专题评价</w:t>
            </w:r>
          </w:p>
          <w:p w14:paraId="49681175">
            <w:pPr>
              <w:adjustRightInd w:val="0"/>
              <w:snapToGrid w:val="0"/>
              <w:spacing w:line="360" w:lineRule="auto"/>
              <w:ind w:firstLine="480" w:firstLineChars="200"/>
              <w:jc w:val="left"/>
              <w:rPr>
                <w:rFonts w:hint="default" w:ascii="Times New Roman" w:hAnsi="Times New Roman" w:eastAsia="宋体" w:cs="Times New Roman"/>
                <w:caps w:val="0"/>
                <w:color w:val="auto"/>
                <w:kern w:val="0"/>
                <w:sz w:val="24"/>
                <w:highlight w:val="none"/>
              </w:rPr>
            </w:pPr>
            <w:r>
              <w:rPr>
                <w:rFonts w:hint="eastAsia" w:cs="Times New Roman"/>
                <w:caps w:val="0"/>
                <w:color w:val="auto"/>
                <w:kern w:val="0"/>
                <w:sz w:val="24"/>
                <w:highlight w:val="none"/>
                <w:lang w:val="en-US" w:eastAsia="zh-CN"/>
              </w:rPr>
              <w:t>项目评价范围内涉及生态保护红线，</w:t>
            </w:r>
            <w:r>
              <w:rPr>
                <w:rFonts w:hint="default" w:ascii="Times New Roman" w:hAnsi="Times New Roman" w:eastAsia="宋体" w:cs="Times New Roman"/>
                <w:caps w:val="0"/>
                <w:color w:val="auto"/>
                <w:kern w:val="0"/>
                <w:sz w:val="24"/>
                <w:highlight w:val="none"/>
              </w:rPr>
              <w:t>开展了专项调查并编制了相关专题内容。</w:t>
            </w:r>
          </w:p>
          <w:p w14:paraId="40015CDC">
            <w:pPr>
              <w:numPr>
                <w:ilvl w:val="0"/>
                <w:numId w:val="1"/>
              </w:numPr>
              <w:adjustRightInd w:val="0"/>
              <w:snapToGrid w:val="0"/>
              <w:spacing w:line="360" w:lineRule="auto"/>
              <w:ind w:firstLine="480" w:firstLineChars="200"/>
              <w:jc w:val="left"/>
              <w:rPr>
                <w:rFonts w:hint="default" w:ascii="Times New Roman" w:hAnsi="Times New Roman" w:cs="Times New Roman"/>
                <w:color w:val="auto"/>
                <w:lang w:val="en-US" w:eastAsia="zh-CN"/>
              </w:rPr>
            </w:pPr>
            <w:r>
              <w:rPr>
                <w:rFonts w:hint="default" w:ascii="Times New Roman" w:hAnsi="Times New Roman" w:eastAsia="宋体" w:cs="Times New Roman"/>
                <w:caps w:val="0"/>
                <w:color w:val="auto"/>
                <w:kern w:val="0"/>
                <w:sz w:val="24"/>
                <w:highlight w:val="none"/>
              </w:rPr>
              <w:t>风机运行噪声影响对风机噪声影响进行了分析评价</w:t>
            </w:r>
            <w:r>
              <w:rPr>
                <w:rFonts w:hint="default" w:ascii="Times New Roman" w:hAnsi="Times New Roman" w:eastAsia="宋体" w:cs="Times New Roman"/>
                <w:caps w:val="0"/>
                <w:color w:val="auto"/>
                <w:kern w:val="0"/>
                <w:sz w:val="24"/>
                <w:highlight w:val="none"/>
                <w:lang w:eastAsia="zh-CN"/>
              </w:rPr>
              <w:t>。</w:t>
            </w:r>
          </w:p>
          <w:p w14:paraId="106CD8FB">
            <w:pPr>
              <w:bidi w:val="0"/>
              <w:ind w:left="0" w:leftChars="0" w:firstLine="0" w:firstLineChars="0"/>
              <w:rPr>
                <w:rFonts w:hint="default" w:ascii="Times New Roman" w:hAnsi="Times New Roman" w:eastAsia="宋体" w:cs="Times New Roman"/>
                <w:b/>
                <w:bCs/>
                <w:caps w:val="0"/>
                <w:color w:val="auto"/>
                <w:kern w:val="0"/>
                <w:sz w:val="24"/>
                <w:highlight w:val="none"/>
                <w:lang w:val="en-US" w:eastAsia="zh-CN"/>
              </w:rPr>
            </w:pPr>
            <w:r>
              <w:rPr>
                <w:rFonts w:hint="eastAsia" w:cs="Times New Roman"/>
                <w:b/>
                <w:bCs/>
                <w:color w:val="auto"/>
                <w:lang w:val="en-US" w:eastAsia="zh-CN"/>
              </w:rPr>
              <w:t>3.</w:t>
            </w:r>
            <w:r>
              <w:rPr>
                <w:rFonts w:hint="default" w:ascii="Times New Roman" w:hAnsi="Times New Roman" w:cs="Times New Roman"/>
                <w:b/>
                <w:bCs/>
                <w:color w:val="auto"/>
                <w:lang w:val="en-US" w:eastAsia="zh-CN"/>
              </w:rPr>
              <w:t>与</w:t>
            </w:r>
            <w:r>
              <w:rPr>
                <w:rFonts w:hint="default" w:ascii="Times New Roman" w:hAnsi="Times New Roman" w:eastAsia="宋体" w:cs="Times New Roman"/>
                <w:b/>
                <w:bCs/>
                <w:caps w:val="0"/>
                <w:color w:val="auto"/>
                <w:kern w:val="0"/>
                <w:sz w:val="24"/>
                <w:highlight w:val="none"/>
                <w:lang w:val="en-US" w:eastAsia="zh-CN"/>
              </w:rPr>
              <w:t>《云南省202</w:t>
            </w:r>
            <w:r>
              <w:rPr>
                <w:rFonts w:hint="default" w:ascii="Times New Roman" w:hAnsi="Times New Roman" w:cs="Times New Roman"/>
                <w:b/>
                <w:bCs/>
                <w:caps w:val="0"/>
                <w:color w:val="auto"/>
                <w:kern w:val="0"/>
                <w:sz w:val="24"/>
                <w:highlight w:val="none"/>
                <w:lang w:val="en-US" w:eastAsia="zh-CN"/>
              </w:rPr>
              <w:t>4</w:t>
            </w:r>
            <w:r>
              <w:rPr>
                <w:rFonts w:hint="default" w:ascii="Times New Roman" w:hAnsi="Times New Roman" w:eastAsia="宋体" w:cs="Times New Roman"/>
                <w:b/>
                <w:bCs/>
                <w:caps w:val="0"/>
                <w:color w:val="auto"/>
                <w:kern w:val="0"/>
                <w:sz w:val="24"/>
                <w:highlight w:val="none"/>
                <w:lang w:val="en-US" w:eastAsia="zh-CN"/>
              </w:rPr>
              <w:t>年第二批新能源项目开发建设方案》（云能源</w:t>
            </w:r>
            <w:r>
              <w:rPr>
                <w:rFonts w:hint="default" w:ascii="Times New Roman" w:hAnsi="Times New Roman" w:cs="Times New Roman"/>
                <w:b/>
                <w:bCs/>
                <w:caps w:val="0"/>
                <w:color w:val="auto"/>
                <w:kern w:val="0"/>
                <w:sz w:val="24"/>
                <w:highlight w:val="none"/>
                <w:lang w:val="en-US" w:eastAsia="zh-CN"/>
              </w:rPr>
              <w:t>新能</w:t>
            </w:r>
            <w:r>
              <w:rPr>
                <w:rFonts w:hint="default" w:ascii="Times New Roman" w:hAnsi="Times New Roman" w:eastAsia="宋体" w:cs="Times New Roman"/>
                <w:b/>
                <w:bCs/>
                <w:caps w:val="0"/>
                <w:color w:val="auto"/>
                <w:kern w:val="0"/>
                <w:sz w:val="24"/>
                <w:highlight w:val="none"/>
                <w:lang w:val="en-US" w:eastAsia="zh-CN"/>
              </w:rPr>
              <w:t>〔202</w:t>
            </w:r>
            <w:r>
              <w:rPr>
                <w:rFonts w:hint="default" w:ascii="Times New Roman" w:hAnsi="Times New Roman" w:cs="Times New Roman"/>
                <w:b/>
                <w:bCs/>
                <w:caps w:val="0"/>
                <w:color w:val="auto"/>
                <w:kern w:val="0"/>
                <w:sz w:val="24"/>
                <w:highlight w:val="none"/>
                <w:lang w:val="en-US" w:eastAsia="zh-CN"/>
              </w:rPr>
              <w:t>4</w:t>
            </w:r>
            <w:r>
              <w:rPr>
                <w:rFonts w:hint="default" w:ascii="Times New Roman" w:hAnsi="Times New Roman" w:eastAsia="宋体" w:cs="Times New Roman"/>
                <w:b/>
                <w:bCs/>
                <w:caps w:val="0"/>
                <w:color w:val="auto"/>
                <w:kern w:val="0"/>
                <w:sz w:val="24"/>
                <w:highlight w:val="none"/>
                <w:lang w:val="en-US" w:eastAsia="zh-CN"/>
              </w:rPr>
              <w:t>〕</w:t>
            </w:r>
            <w:r>
              <w:rPr>
                <w:rFonts w:hint="default" w:ascii="Times New Roman" w:hAnsi="Times New Roman" w:cs="Times New Roman"/>
                <w:b/>
                <w:bCs/>
                <w:caps w:val="0"/>
                <w:color w:val="auto"/>
                <w:kern w:val="0"/>
                <w:sz w:val="24"/>
                <w:highlight w:val="none"/>
                <w:lang w:val="en-US" w:eastAsia="zh-CN"/>
              </w:rPr>
              <w:t>194</w:t>
            </w:r>
            <w:r>
              <w:rPr>
                <w:rFonts w:hint="default" w:ascii="Times New Roman" w:hAnsi="Times New Roman" w:eastAsia="宋体" w:cs="Times New Roman"/>
                <w:b/>
                <w:bCs/>
                <w:caps w:val="0"/>
                <w:color w:val="auto"/>
                <w:kern w:val="0"/>
                <w:sz w:val="24"/>
                <w:highlight w:val="none"/>
                <w:lang w:val="en-US" w:eastAsia="zh-CN"/>
              </w:rPr>
              <w:t>号）符合性分析</w:t>
            </w:r>
          </w:p>
          <w:p w14:paraId="681A7D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aps w:val="0"/>
                <w:color w:val="auto"/>
                <w:kern w:val="0"/>
                <w:sz w:val="24"/>
                <w:highlight w:val="none"/>
                <w:lang w:val="en-US" w:eastAsia="zh-CN"/>
              </w:rPr>
            </w:pPr>
            <w:r>
              <w:rPr>
                <w:rFonts w:hint="eastAsia" w:ascii="Times New Roman" w:hAnsi="Times New Roman" w:eastAsia="宋体" w:cs="Times New Roman"/>
                <w:caps w:val="0"/>
                <w:color w:val="auto"/>
                <w:kern w:val="0"/>
                <w:sz w:val="24"/>
                <w:highlight w:val="none"/>
                <w:lang w:val="en-US" w:eastAsia="zh-CN"/>
              </w:rPr>
              <w:t>方案要求：</w:t>
            </w:r>
            <w:r>
              <w:rPr>
                <w:rFonts w:hint="default" w:ascii="Times New Roman" w:hAnsi="Times New Roman" w:eastAsia="宋体" w:cs="Times New Roman"/>
                <w:caps w:val="0"/>
                <w:color w:val="auto"/>
                <w:kern w:val="0"/>
                <w:sz w:val="24"/>
                <w:highlight w:val="none"/>
                <w:lang w:val="en-US" w:eastAsia="zh-CN"/>
              </w:rPr>
              <w:t>纳入云南省2024年第二批新能源项目开发建设方案实施的项目共108个，装机934.75万千瓦，其中，风电项目30个、装机容量242.26万千瓦，光伏项目78个、装机容量692.49万千瓦</w:t>
            </w:r>
            <w:r>
              <w:rPr>
                <w:rFonts w:hint="eastAsia" w:ascii="Times New Roman" w:hAnsi="Times New Roman" w:eastAsia="宋体" w:cs="Times New Roman"/>
                <w:caps w:val="0"/>
                <w:color w:val="auto"/>
                <w:kern w:val="0"/>
                <w:sz w:val="24"/>
                <w:highlight w:val="none"/>
                <w:lang w:val="en-US" w:eastAsia="zh-CN"/>
              </w:rPr>
              <w:t>。</w:t>
            </w:r>
          </w:p>
          <w:p w14:paraId="2DD609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aps w:val="0"/>
                <w:color w:val="auto"/>
                <w:kern w:val="0"/>
                <w:sz w:val="24"/>
                <w:highlight w:val="none"/>
                <w:lang w:val="en-US" w:eastAsia="zh-CN"/>
              </w:rPr>
            </w:pPr>
            <w:r>
              <w:rPr>
                <w:rFonts w:hint="eastAsia" w:ascii="Times New Roman" w:hAnsi="Times New Roman" w:eastAsia="宋体" w:cs="Times New Roman"/>
                <w:caps w:val="0"/>
                <w:color w:val="auto"/>
                <w:kern w:val="0"/>
                <w:sz w:val="24"/>
                <w:highlight w:val="none"/>
                <w:lang w:val="en-US" w:eastAsia="zh-CN"/>
              </w:rPr>
              <w:t>符合性分析：根据建设清单，项目属于风电项目30个中的西泽风电场（二期）。</w:t>
            </w:r>
          </w:p>
          <w:p w14:paraId="3C370D4D">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caps w:val="0"/>
                <w:color w:val="auto"/>
                <w:kern w:val="0"/>
                <w:sz w:val="21"/>
                <w:szCs w:val="21"/>
                <w:highlight w:val="none"/>
                <w:lang w:val="en-US" w:eastAsia="zh-CN"/>
              </w:rPr>
            </w:pPr>
            <w:r>
              <w:rPr>
                <w:color w:val="auto"/>
              </w:rPr>
              <w:drawing>
                <wp:inline distT="0" distB="0" distL="114300" distR="114300">
                  <wp:extent cx="4737100" cy="3175000"/>
                  <wp:effectExtent l="0" t="0" r="6350" b="635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33"/>
                          <a:stretch>
                            <a:fillRect/>
                          </a:stretch>
                        </pic:blipFill>
                        <pic:spPr>
                          <a:xfrm>
                            <a:off x="0" y="0"/>
                            <a:ext cx="4737100" cy="3175000"/>
                          </a:xfrm>
                          <a:prstGeom prst="rect">
                            <a:avLst/>
                          </a:prstGeom>
                          <a:noFill/>
                          <a:ln>
                            <a:noFill/>
                          </a:ln>
                        </pic:spPr>
                      </pic:pic>
                    </a:graphicData>
                  </a:graphic>
                </wp:inline>
              </w:drawing>
            </w:r>
          </w:p>
          <w:p w14:paraId="3476164F">
            <w:pPr>
              <w:pStyle w:val="27"/>
              <w:bidi w:val="0"/>
              <w:rPr>
                <w:rFonts w:hint="default"/>
                <w:color w:val="auto"/>
                <w:lang w:val="en-US" w:eastAsia="zh-CN"/>
              </w:rPr>
            </w:pPr>
            <w:r>
              <w:rPr>
                <w:rFonts w:hint="eastAsia"/>
                <w:color w:val="auto"/>
                <w:lang w:val="en-US" w:eastAsia="zh-CN"/>
              </w:rPr>
              <w:t xml:space="preserve">图1-1  </w:t>
            </w:r>
            <w:r>
              <w:rPr>
                <w:rFonts w:hint="default"/>
                <w:color w:val="auto"/>
                <w:lang w:val="en-US" w:eastAsia="zh-CN"/>
              </w:rPr>
              <w:t>云南省202</w:t>
            </w:r>
            <w:r>
              <w:rPr>
                <w:rFonts w:hint="eastAsia"/>
                <w:color w:val="auto"/>
                <w:lang w:val="en-US" w:eastAsia="zh-CN"/>
              </w:rPr>
              <w:t>4</w:t>
            </w:r>
            <w:r>
              <w:rPr>
                <w:rFonts w:hint="default"/>
                <w:color w:val="auto"/>
                <w:lang w:val="en-US" w:eastAsia="zh-CN"/>
              </w:rPr>
              <w:t>年第二批新能源项目建设</w:t>
            </w:r>
            <w:r>
              <w:rPr>
                <w:rFonts w:hint="eastAsia"/>
                <w:color w:val="auto"/>
                <w:lang w:val="en-US" w:eastAsia="zh-CN"/>
              </w:rPr>
              <w:t>清单（部分截图）</w:t>
            </w:r>
          </w:p>
        </w:tc>
      </w:tr>
      <w:tr w14:paraId="1F310FA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3173" w:hRule="atLeast"/>
        </w:trPr>
        <w:tc>
          <w:tcPr>
            <w:tcW w:w="1221" w:type="dxa"/>
            <w:noWrap w:val="0"/>
            <w:tcMar>
              <w:top w:w="16" w:type="dxa"/>
              <w:left w:w="16" w:type="dxa"/>
              <w:right w:w="16" w:type="dxa"/>
            </w:tcMar>
            <w:vAlign w:val="center"/>
          </w:tcPr>
          <w:p w14:paraId="5455C83D">
            <w:pPr>
              <w:pStyle w:val="18"/>
              <w:bidi w:val="0"/>
              <w:rPr>
                <w:rFonts w:hint="default" w:ascii="Times New Roman" w:hAnsi="Times New Roman" w:cs="Times New Roman"/>
                <w:color w:val="auto"/>
              </w:rPr>
            </w:pPr>
            <w:bookmarkStart w:id="15" w:name="_Hlk56690880"/>
            <w:r>
              <w:rPr>
                <w:rFonts w:hint="default" w:ascii="Times New Roman" w:hAnsi="Times New Roman" w:cs="Times New Roman"/>
                <w:color w:val="auto"/>
              </w:rPr>
              <w:t>其他符合性分析</w:t>
            </w:r>
            <w:bookmarkEnd w:id="15"/>
          </w:p>
        </w:tc>
        <w:tc>
          <w:tcPr>
            <w:tcW w:w="7699" w:type="dxa"/>
            <w:gridSpan w:val="3"/>
            <w:noWrap w:val="0"/>
            <w:tcMar>
              <w:top w:w="16" w:type="dxa"/>
              <w:left w:w="16" w:type="dxa"/>
              <w:right w:w="16" w:type="dxa"/>
            </w:tcMar>
            <w:vAlign w:val="center"/>
          </w:tcPr>
          <w:p w14:paraId="0FF0CD17">
            <w:pPr>
              <w:pStyle w:val="5"/>
              <w:bidi w:val="0"/>
              <w:rPr>
                <w:rFonts w:hint="default" w:ascii="Times New Roman" w:hAnsi="Times New Roman" w:cs="Times New Roman"/>
                <w:color w:val="auto"/>
              </w:rPr>
            </w:pPr>
            <w:r>
              <w:rPr>
                <w:rFonts w:hint="default" w:ascii="Times New Roman" w:hAnsi="Times New Roman" w:cs="Times New Roman"/>
                <w:color w:val="auto"/>
                <w:lang w:val="en-US" w:eastAsia="zh-CN"/>
              </w:rPr>
              <w:t>1.</w:t>
            </w:r>
            <w:r>
              <w:rPr>
                <w:rFonts w:hint="default" w:ascii="Times New Roman" w:hAnsi="Times New Roman" w:cs="Times New Roman"/>
                <w:color w:val="auto"/>
              </w:rPr>
              <w:t>产业政策符合性分析</w:t>
            </w:r>
          </w:p>
          <w:p w14:paraId="4DC5958A">
            <w:pPr>
              <w:bidi w:val="0"/>
              <w:rPr>
                <w:rFonts w:hint="default" w:ascii="Times New Roman" w:hAnsi="Times New Roman" w:cs="Times New Roman"/>
                <w:color w:val="auto"/>
              </w:rPr>
            </w:pPr>
            <w:r>
              <w:rPr>
                <w:rFonts w:hint="default" w:ascii="Times New Roman" w:hAnsi="Times New Roman" w:cs="Times New Roman"/>
                <w:color w:val="auto"/>
              </w:rPr>
              <w:t>根据</w:t>
            </w:r>
            <w:r>
              <w:rPr>
                <w:rFonts w:hint="eastAsia" w:cs="Times New Roman"/>
                <w:color w:val="auto"/>
                <w:lang w:eastAsia="zh-CN"/>
              </w:rPr>
              <w:t>《产业结构调整指导目录（2024年本）》</w:t>
            </w:r>
            <w:r>
              <w:rPr>
                <w:rFonts w:hint="default" w:ascii="Times New Roman" w:hAnsi="Times New Roman" w:cs="Times New Roman"/>
                <w:color w:val="auto"/>
                <w:lang w:eastAsia="zh-CN"/>
              </w:rPr>
              <w:t>，</w:t>
            </w:r>
            <w:r>
              <w:rPr>
                <w:rFonts w:hint="default" w:ascii="Times New Roman" w:hAnsi="Times New Roman" w:cs="Times New Roman"/>
                <w:color w:val="auto"/>
              </w:rPr>
              <w:t>风力发电是目录中鼓励类投资项目，属于新能源行业。同时，风力发电属于《中华人民共和国可再生能源法修正案》</w:t>
            </w:r>
            <w:r>
              <w:rPr>
                <w:rFonts w:hint="default" w:ascii="Times New Roman" w:hAnsi="Times New Roman" w:cs="Times New Roman"/>
                <w:color w:val="auto"/>
                <w:lang w:eastAsia="zh-CN"/>
              </w:rPr>
              <w:t>（</w:t>
            </w:r>
            <w:r>
              <w:rPr>
                <w:rFonts w:hint="default" w:ascii="Times New Roman" w:hAnsi="Times New Roman" w:cs="Times New Roman"/>
                <w:color w:val="auto"/>
              </w:rPr>
              <w:t>2010年4月1</w:t>
            </w:r>
            <w:r>
              <w:rPr>
                <w:rFonts w:hint="eastAsia" w:cs="Times New Roman"/>
                <w:color w:val="auto"/>
                <w:lang w:eastAsia="zh-CN"/>
              </w:rPr>
              <w:t>日起正式实施</w:t>
            </w:r>
            <w:r>
              <w:rPr>
                <w:rFonts w:hint="default" w:ascii="Times New Roman" w:hAnsi="Times New Roman" w:cs="Times New Roman"/>
                <w:color w:val="auto"/>
                <w:lang w:eastAsia="zh-CN"/>
              </w:rPr>
              <w:t>）</w:t>
            </w:r>
            <w:r>
              <w:rPr>
                <w:rFonts w:hint="default" w:ascii="Times New Roman" w:hAnsi="Times New Roman" w:cs="Times New Roman"/>
                <w:color w:val="auto"/>
              </w:rPr>
              <w:t>中的可再生能源。西泽风电场（二期）工程为清洁的可再生能源发电工程，项目的建设符合我国产业政策及可持续发展战略。</w:t>
            </w:r>
          </w:p>
          <w:p w14:paraId="1EB9782F">
            <w:pPr>
              <w:pStyle w:val="5"/>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2</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与</w:t>
            </w:r>
            <w:r>
              <w:rPr>
                <w:rFonts w:hint="eastAsia" w:cs="Times New Roman"/>
                <w:color w:val="auto"/>
                <w:highlight w:val="none"/>
                <w:lang w:eastAsia="zh-CN"/>
              </w:rPr>
              <w:t>《</w:t>
            </w:r>
            <w:r>
              <w:rPr>
                <w:rFonts w:hint="default" w:ascii="Times New Roman" w:hAnsi="Times New Roman" w:cs="Times New Roman"/>
                <w:color w:val="auto"/>
                <w:highlight w:val="none"/>
              </w:rPr>
              <w:t>曲靖市生态环境分区管控动态更新方案（2023年）</w:t>
            </w:r>
            <w:r>
              <w:rPr>
                <w:rFonts w:hint="eastAsia" w:cs="Times New Roman"/>
                <w:color w:val="auto"/>
                <w:highlight w:val="none"/>
                <w:lang w:eastAsia="zh-CN"/>
              </w:rPr>
              <w:t>》</w:t>
            </w:r>
            <w:r>
              <w:rPr>
                <w:rFonts w:hint="default" w:ascii="Times New Roman" w:hAnsi="Times New Roman" w:cs="Times New Roman"/>
                <w:color w:val="auto"/>
                <w:highlight w:val="none"/>
              </w:rPr>
              <w:t>符合性分析</w:t>
            </w:r>
          </w:p>
          <w:p w14:paraId="6947D7C4">
            <w:pPr>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项目的建设与《曲靖市生态环境分区管控动态更新方案（2023年）》符合性分析详见表</w:t>
            </w:r>
            <w:r>
              <w:rPr>
                <w:rFonts w:hint="eastAsia" w:cs="Times New Roman"/>
                <w:color w:val="auto"/>
                <w:lang w:val="en-US" w:eastAsia="zh-CN"/>
              </w:rPr>
              <w:t>1-3，表1-4</w:t>
            </w:r>
            <w:r>
              <w:rPr>
                <w:rFonts w:hint="default" w:ascii="Times New Roman" w:hAnsi="Times New Roman" w:cs="Times New Roman"/>
                <w:color w:val="auto"/>
                <w:lang w:val="en-US" w:eastAsia="zh-CN"/>
              </w:rPr>
              <w:t>。</w:t>
            </w:r>
          </w:p>
          <w:p w14:paraId="633CBB8D">
            <w:pPr>
              <w:pStyle w:val="27"/>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表1-3  本项目</w:t>
            </w:r>
            <w:r>
              <w:rPr>
                <w:rFonts w:hint="eastAsia" w:cs="Times New Roman"/>
                <w:color w:val="auto"/>
                <w:lang w:val="en-US" w:eastAsia="zh-CN"/>
              </w:rPr>
              <w:t>与曲靖市区域管控要求的</w:t>
            </w:r>
            <w:r>
              <w:rPr>
                <w:rFonts w:hint="default" w:ascii="Times New Roman" w:hAnsi="Times New Roman" w:cs="Times New Roman"/>
                <w:color w:val="auto"/>
                <w:lang w:val="en-US" w:eastAsia="zh-CN"/>
              </w:rPr>
              <w:t>符合性分析</w:t>
            </w:r>
          </w:p>
          <w:tbl>
            <w:tblPr>
              <w:tblStyle w:val="21"/>
              <w:tblW w:w="4954"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31"/>
              <w:gridCol w:w="3929"/>
              <w:gridCol w:w="2540"/>
              <w:gridCol w:w="726"/>
            </w:tblGrid>
            <w:tr w14:paraId="3FB643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2939" w:type="pct"/>
                  <w:gridSpan w:val="2"/>
                  <w:tcBorders>
                    <w:tl2br w:val="nil"/>
                    <w:tr2bl w:val="nil"/>
                  </w:tcBorders>
                  <w:vAlign w:val="center"/>
                </w:tcPr>
                <w:p w14:paraId="2E31D085">
                  <w:pPr>
                    <w:pStyle w:val="37"/>
                    <w:bidi w:val="0"/>
                    <w:rPr>
                      <w:rFonts w:hint="default"/>
                      <w:color w:val="auto"/>
                      <w:lang w:val="en-US" w:eastAsia="zh-CN"/>
                    </w:rPr>
                  </w:pPr>
                  <w:r>
                    <w:rPr>
                      <w:rFonts w:hint="eastAsia"/>
                      <w:color w:val="auto"/>
                      <w:lang w:val="en-US" w:eastAsia="zh-CN"/>
                    </w:rPr>
                    <w:t>准入要求</w:t>
                  </w:r>
                </w:p>
              </w:tc>
              <w:tc>
                <w:tcPr>
                  <w:tcW w:w="1602" w:type="pct"/>
                  <w:tcBorders>
                    <w:tl2br w:val="nil"/>
                    <w:tr2bl w:val="nil"/>
                  </w:tcBorders>
                  <w:vAlign w:val="center"/>
                </w:tcPr>
                <w:p w14:paraId="2F91BD69">
                  <w:pPr>
                    <w:pStyle w:val="37"/>
                    <w:bidi w:val="0"/>
                    <w:rPr>
                      <w:rFonts w:hint="default"/>
                      <w:color w:val="auto"/>
                      <w:lang w:val="en-US" w:eastAsia="zh-CN"/>
                    </w:rPr>
                  </w:pPr>
                  <w:r>
                    <w:rPr>
                      <w:rFonts w:hint="eastAsia"/>
                      <w:color w:val="auto"/>
                      <w:lang w:val="en-US" w:eastAsia="zh-CN"/>
                    </w:rPr>
                    <w:t>本项目情况</w:t>
                  </w:r>
                </w:p>
              </w:tc>
              <w:tc>
                <w:tcPr>
                  <w:tcW w:w="458" w:type="pct"/>
                  <w:tcBorders>
                    <w:tl2br w:val="nil"/>
                    <w:tr2bl w:val="nil"/>
                  </w:tcBorders>
                  <w:vAlign w:val="center"/>
                </w:tcPr>
                <w:p w14:paraId="10052137">
                  <w:pPr>
                    <w:pStyle w:val="37"/>
                    <w:bidi w:val="0"/>
                    <w:rPr>
                      <w:rFonts w:hint="default"/>
                      <w:color w:val="auto"/>
                      <w:lang w:val="en-US" w:eastAsia="zh-CN"/>
                    </w:rPr>
                  </w:pPr>
                  <w:r>
                    <w:rPr>
                      <w:rFonts w:hint="eastAsia"/>
                      <w:color w:val="auto"/>
                      <w:lang w:val="en-US" w:eastAsia="zh-CN"/>
                    </w:rPr>
                    <w:t>符合性</w:t>
                  </w:r>
                </w:p>
              </w:tc>
            </w:tr>
            <w:tr w14:paraId="59017A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461" w:type="pct"/>
                  <w:vMerge w:val="restart"/>
                  <w:tcBorders>
                    <w:tl2br w:val="nil"/>
                    <w:tr2bl w:val="nil"/>
                  </w:tcBorders>
                  <w:vAlign w:val="center"/>
                </w:tcPr>
                <w:p w14:paraId="62DD77D7">
                  <w:pPr>
                    <w:pStyle w:val="37"/>
                    <w:bidi w:val="0"/>
                    <w:rPr>
                      <w:rFonts w:hint="default"/>
                      <w:color w:val="auto"/>
                      <w:lang w:val="en-US" w:eastAsia="zh-CN"/>
                    </w:rPr>
                  </w:pPr>
                  <w:r>
                    <w:rPr>
                      <w:rFonts w:hint="default"/>
                      <w:color w:val="auto"/>
                      <w:lang w:val="en-US" w:eastAsia="zh-CN"/>
                    </w:rPr>
                    <w:t>空间布局约束</w:t>
                  </w:r>
                </w:p>
              </w:tc>
              <w:tc>
                <w:tcPr>
                  <w:tcW w:w="2477" w:type="pct"/>
                  <w:tcBorders>
                    <w:tl2br w:val="nil"/>
                    <w:tr2bl w:val="nil"/>
                  </w:tcBorders>
                  <w:vAlign w:val="center"/>
                </w:tcPr>
                <w:p w14:paraId="249F8781">
                  <w:pPr>
                    <w:pStyle w:val="37"/>
                    <w:bidi w:val="0"/>
                    <w:rPr>
                      <w:rFonts w:hint="default"/>
                      <w:color w:val="auto"/>
                      <w:lang w:val="en-US" w:eastAsia="zh-CN"/>
                    </w:rPr>
                  </w:pPr>
                  <w:r>
                    <w:rPr>
                      <w:rFonts w:hint="default"/>
                      <w:color w:val="auto"/>
                      <w:lang w:val="en-US" w:eastAsia="zh-CN"/>
                    </w:rPr>
                    <w:t>严格执行《长江经济带发展负面清单指南（试行，2022年版）》《云南省长江经济带发展负面清单指南实施细则（试行）》等产业准入有关要求。</w:t>
                  </w:r>
                </w:p>
              </w:tc>
              <w:tc>
                <w:tcPr>
                  <w:tcW w:w="1602" w:type="pct"/>
                  <w:tcBorders>
                    <w:tl2br w:val="nil"/>
                    <w:tr2bl w:val="nil"/>
                  </w:tcBorders>
                  <w:vAlign w:val="center"/>
                </w:tcPr>
                <w:p w14:paraId="2EB3C594">
                  <w:pPr>
                    <w:pStyle w:val="37"/>
                    <w:bidi w:val="0"/>
                    <w:rPr>
                      <w:rFonts w:hint="default"/>
                      <w:color w:val="auto"/>
                      <w:lang w:val="en-US" w:eastAsia="zh-CN"/>
                    </w:rPr>
                  </w:pPr>
                  <w:r>
                    <w:rPr>
                      <w:rFonts w:hint="eastAsia"/>
                      <w:color w:val="auto"/>
                      <w:lang w:val="en-US" w:eastAsia="zh-CN"/>
                    </w:rPr>
                    <w:t>项目符合《长江经济带发展负面清单指南（试行，2022年版）》《云南省长江经济带发展负面清单指南实施细则（试行）》等产业准入有关要求。</w:t>
                  </w:r>
                </w:p>
              </w:tc>
              <w:tc>
                <w:tcPr>
                  <w:tcW w:w="458" w:type="pct"/>
                  <w:tcBorders>
                    <w:tl2br w:val="nil"/>
                    <w:tr2bl w:val="nil"/>
                  </w:tcBorders>
                  <w:vAlign w:val="center"/>
                </w:tcPr>
                <w:p w14:paraId="29570FB3">
                  <w:pPr>
                    <w:pStyle w:val="37"/>
                    <w:bidi w:val="0"/>
                    <w:rPr>
                      <w:rFonts w:hint="default"/>
                      <w:color w:val="auto"/>
                      <w:lang w:val="en-US" w:eastAsia="zh-CN"/>
                    </w:rPr>
                  </w:pPr>
                  <w:r>
                    <w:rPr>
                      <w:rFonts w:hint="eastAsia"/>
                      <w:color w:val="auto"/>
                      <w:lang w:val="en-US" w:eastAsia="zh-CN"/>
                    </w:rPr>
                    <w:t>符合</w:t>
                  </w:r>
                </w:p>
              </w:tc>
            </w:tr>
            <w:tr w14:paraId="5FC927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461" w:type="pct"/>
                  <w:vMerge w:val="continue"/>
                  <w:tcBorders>
                    <w:tl2br w:val="nil"/>
                    <w:tr2bl w:val="nil"/>
                  </w:tcBorders>
                  <w:vAlign w:val="center"/>
                </w:tcPr>
                <w:p w14:paraId="42380185">
                  <w:pPr>
                    <w:bidi w:val="0"/>
                    <w:jc w:val="center"/>
                    <w:rPr>
                      <w:rFonts w:hint="default"/>
                      <w:color w:val="auto"/>
                      <w:lang w:val="en-US" w:eastAsia="zh-CN"/>
                    </w:rPr>
                  </w:pPr>
                </w:p>
              </w:tc>
              <w:tc>
                <w:tcPr>
                  <w:tcW w:w="2477" w:type="pct"/>
                  <w:tcBorders>
                    <w:tl2br w:val="nil"/>
                    <w:tr2bl w:val="nil"/>
                  </w:tcBorders>
                  <w:vAlign w:val="center"/>
                </w:tcPr>
                <w:p w14:paraId="0527C625">
                  <w:pPr>
                    <w:pStyle w:val="37"/>
                    <w:bidi w:val="0"/>
                    <w:rPr>
                      <w:rFonts w:hint="default"/>
                      <w:color w:val="auto"/>
                      <w:lang w:val="en-US" w:eastAsia="zh-CN"/>
                    </w:rPr>
                  </w:pPr>
                  <w:r>
                    <w:rPr>
                      <w:rFonts w:hint="default"/>
                      <w:color w:val="auto"/>
                      <w:lang w:val="en-US" w:eastAsia="zh-CN"/>
                    </w:rPr>
                    <w:t>严格实施化解过剩产能和淘汰落后产能，制定产能过剩行业淘汰计划，确保国家、省下达的淘汰落后产能目标任务全面完成</w:t>
                  </w:r>
                  <w:r>
                    <w:rPr>
                      <w:rFonts w:hint="eastAsia"/>
                      <w:color w:val="auto"/>
                      <w:lang w:val="en-US" w:eastAsia="zh-CN"/>
                    </w:rPr>
                    <w:t>。</w:t>
                  </w:r>
                </w:p>
              </w:tc>
              <w:tc>
                <w:tcPr>
                  <w:tcW w:w="1602" w:type="pct"/>
                  <w:tcBorders>
                    <w:tl2br w:val="nil"/>
                    <w:tr2bl w:val="nil"/>
                  </w:tcBorders>
                  <w:vAlign w:val="center"/>
                </w:tcPr>
                <w:p w14:paraId="3B36703A">
                  <w:pPr>
                    <w:pStyle w:val="37"/>
                    <w:bidi w:val="0"/>
                    <w:rPr>
                      <w:rFonts w:hint="default"/>
                      <w:color w:val="auto"/>
                      <w:lang w:val="en-US" w:eastAsia="zh-CN"/>
                    </w:rPr>
                  </w:pPr>
                  <w:r>
                    <w:rPr>
                      <w:rFonts w:hint="eastAsia"/>
                      <w:color w:val="auto"/>
                      <w:lang w:val="en-US" w:eastAsia="zh-CN"/>
                    </w:rPr>
                    <w:t>项目属于鼓励类项目，不在淘汰落后产能目标任务中。</w:t>
                  </w:r>
                </w:p>
              </w:tc>
              <w:tc>
                <w:tcPr>
                  <w:tcW w:w="458" w:type="pct"/>
                  <w:tcBorders>
                    <w:tl2br w:val="nil"/>
                    <w:tr2bl w:val="nil"/>
                  </w:tcBorders>
                  <w:vAlign w:val="center"/>
                </w:tcPr>
                <w:p w14:paraId="5DB262A1">
                  <w:pPr>
                    <w:pStyle w:val="37"/>
                    <w:bidi w:val="0"/>
                    <w:rPr>
                      <w:rFonts w:hint="default"/>
                      <w:color w:val="auto"/>
                      <w:lang w:val="en-US" w:eastAsia="zh-CN"/>
                    </w:rPr>
                  </w:pPr>
                  <w:r>
                    <w:rPr>
                      <w:rFonts w:hint="eastAsia"/>
                      <w:color w:val="auto"/>
                      <w:lang w:val="en-US" w:eastAsia="zh-CN"/>
                    </w:rPr>
                    <w:t>符合</w:t>
                  </w:r>
                </w:p>
              </w:tc>
            </w:tr>
            <w:tr w14:paraId="45D048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461" w:type="pct"/>
                  <w:vMerge w:val="continue"/>
                  <w:tcBorders>
                    <w:tl2br w:val="nil"/>
                    <w:tr2bl w:val="nil"/>
                  </w:tcBorders>
                  <w:vAlign w:val="center"/>
                </w:tcPr>
                <w:p w14:paraId="539BF035">
                  <w:pPr>
                    <w:bidi w:val="0"/>
                    <w:jc w:val="center"/>
                    <w:rPr>
                      <w:rFonts w:hint="default"/>
                      <w:color w:val="auto"/>
                      <w:lang w:val="en-US" w:eastAsia="zh-CN"/>
                    </w:rPr>
                  </w:pPr>
                </w:p>
              </w:tc>
              <w:tc>
                <w:tcPr>
                  <w:tcW w:w="2477" w:type="pct"/>
                  <w:tcBorders>
                    <w:tl2br w:val="nil"/>
                    <w:tr2bl w:val="nil"/>
                  </w:tcBorders>
                  <w:vAlign w:val="center"/>
                </w:tcPr>
                <w:p w14:paraId="461B2CAE">
                  <w:pPr>
                    <w:pStyle w:val="37"/>
                    <w:bidi w:val="0"/>
                    <w:rPr>
                      <w:rFonts w:hint="default"/>
                      <w:color w:val="auto"/>
                      <w:lang w:val="en-US" w:eastAsia="zh-CN"/>
                    </w:rPr>
                  </w:pPr>
                  <w:r>
                    <w:rPr>
                      <w:rFonts w:hint="default"/>
                      <w:color w:val="auto"/>
                      <w:lang w:val="en-US" w:eastAsia="zh-CN"/>
                    </w:rPr>
                    <w:t>将资源承载能力、生态环境</w:t>
                  </w:r>
                  <w:r>
                    <w:rPr>
                      <w:rFonts w:hint="eastAsia"/>
                      <w:color w:val="auto"/>
                      <w:lang w:val="en-US" w:eastAsia="zh-CN"/>
                    </w:rPr>
                    <w:t>容量</w:t>
                  </w:r>
                  <w:r>
                    <w:rPr>
                      <w:rFonts w:hint="default"/>
                      <w:color w:val="auto"/>
                      <w:lang w:val="en-US" w:eastAsia="zh-CN"/>
                    </w:rPr>
                    <w:t>作为承接产业转移的基础和前提，合理确定承接产业转移重点，禁止引进环境污染大、资源消耗高、技术落后的生产能力。</w:t>
                  </w:r>
                </w:p>
              </w:tc>
              <w:tc>
                <w:tcPr>
                  <w:tcW w:w="1602" w:type="pct"/>
                  <w:tcBorders>
                    <w:tl2br w:val="nil"/>
                    <w:tr2bl w:val="nil"/>
                  </w:tcBorders>
                  <w:vAlign w:val="center"/>
                </w:tcPr>
                <w:p w14:paraId="07D0CE75">
                  <w:pPr>
                    <w:pStyle w:val="37"/>
                    <w:bidi w:val="0"/>
                    <w:rPr>
                      <w:rFonts w:hint="default"/>
                      <w:color w:val="auto"/>
                      <w:lang w:val="en-US" w:eastAsia="zh-CN"/>
                    </w:rPr>
                  </w:pPr>
                  <w:r>
                    <w:rPr>
                      <w:rFonts w:hint="eastAsia"/>
                      <w:color w:val="auto"/>
                      <w:lang w:val="en-US" w:eastAsia="zh-CN"/>
                    </w:rPr>
                    <w:t>项目属于鼓励类项目，不属于环境污染大、资源消耗高、技术落后的生产能力。</w:t>
                  </w:r>
                </w:p>
              </w:tc>
              <w:tc>
                <w:tcPr>
                  <w:tcW w:w="458" w:type="pct"/>
                  <w:tcBorders>
                    <w:tl2br w:val="nil"/>
                    <w:tr2bl w:val="nil"/>
                  </w:tcBorders>
                  <w:vAlign w:val="center"/>
                </w:tcPr>
                <w:p w14:paraId="14E76C5D">
                  <w:pPr>
                    <w:pStyle w:val="37"/>
                    <w:bidi w:val="0"/>
                    <w:rPr>
                      <w:rFonts w:hint="default"/>
                      <w:color w:val="auto"/>
                      <w:lang w:val="en-US" w:eastAsia="zh-CN"/>
                    </w:rPr>
                  </w:pPr>
                  <w:r>
                    <w:rPr>
                      <w:rFonts w:hint="eastAsia"/>
                      <w:color w:val="auto"/>
                      <w:lang w:val="en-US" w:eastAsia="zh-CN"/>
                    </w:rPr>
                    <w:t>符合</w:t>
                  </w:r>
                </w:p>
              </w:tc>
            </w:tr>
            <w:tr w14:paraId="3CD5F3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461" w:type="pct"/>
                  <w:vMerge w:val="continue"/>
                  <w:tcBorders>
                    <w:tl2br w:val="nil"/>
                    <w:tr2bl w:val="nil"/>
                  </w:tcBorders>
                  <w:vAlign w:val="center"/>
                </w:tcPr>
                <w:p w14:paraId="09172363">
                  <w:pPr>
                    <w:bidi w:val="0"/>
                    <w:jc w:val="center"/>
                    <w:rPr>
                      <w:rFonts w:hint="default"/>
                      <w:color w:val="auto"/>
                      <w:lang w:val="en-US" w:eastAsia="zh-CN"/>
                    </w:rPr>
                  </w:pPr>
                </w:p>
              </w:tc>
              <w:tc>
                <w:tcPr>
                  <w:tcW w:w="2477" w:type="pct"/>
                  <w:tcBorders>
                    <w:tl2br w:val="nil"/>
                    <w:tr2bl w:val="nil"/>
                  </w:tcBorders>
                  <w:vAlign w:val="center"/>
                </w:tcPr>
                <w:p w14:paraId="39CAB43F">
                  <w:pPr>
                    <w:pStyle w:val="37"/>
                    <w:bidi w:val="0"/>
                    <w:rPr>
                      <w:rFonts w:hint="default"/>
                      <w:color w:val="auto"/>
                      <w:lang w:val="en-US" w:eastAsia="zh-CN"/>
                    </w:rPr>
                  </w:pPr>
                  <w:r>
                    <w:rPr>
                      <w:rFonts w:hint="default"/>
                      <w:color w:val="auto"/>
                      <w:lang w:val="en-US" w:eastAsia="zh-CN"/>
                    </w:rPr>
                    <w:t>支持现有各类产业园区有供热需求的实施热电联产或者集中供热改造，具备条件的工业园区实现集中供热。</w:t>
                  </w:r>
                </w:p>
              </w:tc>
              <w:tc>
                <w:tcPr>
                  <w:tcW w:w="1602" w:type="pct"/>
                  <w:tcBorders>
                    <w:tl2br w:val="nil"/>
                    <w:tr2bl w:val="nil"/>
                  </w:tcBorders>
                  <w:vAlign w:val="center"/>
                </w:tcPr>
                <w:p w14:paraId="246911C3">
                  <w:pPr>
                    <w:pStyle w:val="37"/>
                    <w:bidi w:val="0"/>
                    <w:rPr>
                      <w:rFonts w:hint="default"/>
                      <w:color w:val="auto"/>
                      <w:lang w:val="en-US" w:eastAsia="zh-CN"/>
                    </w:rPr>
                  </w:pPr>
                  <w:r>
                    <w:rPr>
                      <w:rFonts w:hint="eastAsia"/>
                      <w:color w:val="auto"/>
                      <w:lang w:val="en-US" w:eastAsia="zh-CN"/>
                    </w:rPr>
                    <w:t>项目不涉及产业园区</w:t>
                  </w:r>
                </w:p>
              </w:tc>
              <w:tc>
                <w:tcPr>
                  <w:tcW w:w="458" w:type="pct"/>
                  <w:tcBorders>
                    <w:tl2br w:val="nil"/>
                    <w:tr2bl w:val="nil"/>
                  </w:tcBorders>
                  <w:vAlign w:val="center"/>
                </w:tcPr>
                <w:p w14:paraId="463ED9EE">
                  <w:pPr>
                    <w:pStyle w:val="37"/>
                    <w:bidi w:val="0"/>
                    <w:rPr>
                      <w:rFonts w:hint="default"/>
                      <w:color w:val="auto"/>
                      <w:lang w:val="en-US" w:eastAsia="zh-CN"/>
                    </w:rPr>
                  </w:pPr>
                  <w:r>
                    <w:rPr>
                      <w:rFonts w:hint="eastAsia"/>
                      <w:color w:val="auto"/>
                      <w:lang w:val="en-US" w:eastAsia="zh-CN"/>
                    </w:rPr>
                    <w:t>符合</w:t>
                  </w:r>
                </w:p>
              </w:tc>
            </w:tr>
            <w:tr w14:paraId="58064D8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461" w:type="pct"/>
                  <w:vMerge w:val="continue"/>
                  <w:tcBorders>
                    <w:tl2br w:val="nil"/>
                    <w:tr2bl w:val="nil"/>
                  </w:tcBorders>
                  <w:vAlign w:val="center"/>
                </w:tcPr>
                <w:p w14:paraId="55B12094">
                  <w:pPr>
                    <w:bidi w:val="0"/>
                    <w:jc w:val="center"/>
                    <w:rPr>
                      <w:rFonts w:hint="default"/>
                      <w:color w:val="auto"/>
                      <w:lang w:val="en-US" w:eastAsia="zh-CN"/>
                    </w:rPr>
                  </w:pPr>
                </w:p>
              </w:tc>
              <w:tc>
                <w:tcPr>
                  <w:tcW w:w="2477" w:type="pct"/>
                  <w:tcBorders>
                    <w:tl2br w:val="nil"/>
                    <w:tr2bl w:val="nil"/>
                  </w:tcBorders>
                  <w:vAlign w:val="center"/>
                </w:tcPr>
                <w:p w14:paraId="35154469">
                  <w:pPr>
                    <w:pStyle w:val="37"/>
                    <w:bidi w:val="0"/>
                    <w:rPr>
                      <w:rFonts w:hint="default"/>
                      <w:color w:val="auto"/>
                      <w:lang w:val="en-US" w:eastAsia="zh-CN"/>
                    </w:rPr>
                  </w:pPr>
                  <w:r>
                    <w:rPr>
                      <w:rFonts w:hint="default"/>
                      <w:color w:val="auto"/>
                      <w:lang w:val="en-US" w:eastAsia="zh-CN"/>
                    </w:rPr>
                    <w:t>严格控制在生态脆弱或环境敏感地区建设《环境保护综合名录》中“高污染、高环境风险”行业项目。</w:t>
                  </w:r>
                </w:p>
              </w:tc>
              <w:tc>
                <w:tcPr>
                  <w:tcW w:w="1602" w:type="pct"/>
                  <w:tcBorders>
                    <w:tl2br w:val="nil"/>
                    <w:tr2bl w:val="nil"/>
                  </w:tcBorders>
                  <w:vAlign w:val="center"/>
                </w:tcPr>
                <w:p w14:paraId="0D6480F0">
                  <w:pPr>
                    <w:pStyle w:val="37"/>
                    <w:bidi w:val="0"/>
                    <w:rPr>
                      <w:rFonts w:hint="default"/>
                      <w:color w:val="auto"/>
                      <w:lang w:val="en-US" w:eastAsia="zh-CN"/>
                    </w:rPr>
                  </w:pPr>
                  <w:r>
                    <w:rPr>
                      <w:rFonts w:hint="eastAsia"/>
                      <w:color w:val="auto"/>
                      <w:lang w:val="en-US" w:eastAsia="zh-CN"/>
                    </w:rPr>
                    <w:t>项目不属于“高污染、高环境风险”行业项目</w:t>
                  </w:r>
                </w:p>
              </w:tc>
              <w:tc>
                <w:tcPr>
                  <w:tcW w:w="458" w:type="pct"/>
                  <w:tcBorders>
                    <w:tl2br w:val="nil"/>
                    <w:tr2bl w:val="nil"/>
                  </w:tcBorders>
                  <w:vAlign w:val="center"/>
                </w:tcPr>
                <w:p w14:paraId="14C0C4A4">
                  <w:pPr>
                    <w:pStyle w:val="37"/>
                    <w:bidi w:val="0"/>
                    <w:rPr>
                      <w:rFonts w:hint="default"/>
                      <w:color w:val="auto"/>
                      <w:lang w:val="en-US" w:eastAsia="zh-CN"/>
                    </w:rPr>
                  </w:pPr>
                  <w:r>
                    <w:rPr>
                      <w:rFonts w:hint="eastAsia"/>
                      <w:color w:val="auto"/>
                      <w:lang w:val="en-US" w:eastAsia="zh-CN"/>
                    </w:rPr>
                    <w:t>符合</w:t>
                  </w:r>
                </w:p>
              </w:tc>
            </w:tr>
            <w:tr w14:paraId="70AF6B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461" w:type="pct"/>
                  <w:vMerge w:val="continue"/>
                  <w:tcBorders>
                    <w:tl2br w:val="nil"/>
                    <w:tr2bl w:val="nil"/>
                  </w:tcBorders>
                  <w:vAlign w:val="center"/>
                </w:tcPr>
                <w:p w14:paraId="50079154">
                  <w:pPr>
                    <w:bidi w:val="0"/>
                    <w:jc w:val="center"/>
                    <w:rPr>
                      <w:rFonts w:hint="default"/>
                      <w:color w:val="auto"/>
                      <w:lang w:val="en-US" w:eastAsia="zh-CN"/>
                    </w:rPr>
                  </w:pPr>
                </w:p>
              </w:tc>
              <w:tc>
                <w:tcPr>
                  <w:tcW w:w="2477" w:type="pct"/>
                  <w:tcBorders>
                    <w:tl2br w:val="nil"/>
                    <w:tr2bl w:val="nil"/>
                  </w:tcBorders>
                  <w:vAlign w:val="center"/>
                </w:tcPr>
                <w:p w14:paraId="6626AD6A">
                  <w:pPr>
                    <w:pStyle w:val="37"/>
                    <w:bidi w:val="0"/>
                    <w:rPr>
                      <w:rFonts w:hint="default"/>
                      <w:color w:val="auto"/>
                      <w:lang w:val="en-US" w:eastAsia="zh-CN"/>
                    </w:rPr>
                  </w:pPr>
                  <w:r>
                    <w:rPr>
                      <w:rFonts w:hint="default"/>
                      <w:color w:val="auto"/>
                      <w:lang w:val="en-US" w:eastAsia="zh-CN"/>
                    </w:rPr>
                    <w:t>禁止在合规园区外新建、扩建钢铁、石化、化工、焦化、建材、有色行业中的高污染项目。</w:t>
                  </w:r>
                </w:p>
              </w:tc>
              <w:tc>
                <w:tcPr>
                  <w:tcW w:w="1602" w:type="pct"/>
                  <w:tcBorders>
                    <w:tl2br w:val="nil"/>
                    <w:tr2bl w:val="nil"/>
                  </w:tcBorders>
                  <w:vAlign w:val="center"/>
                </w:tcPr>
                <w:p w14:paraId="2CC57CD8">
                  <w:pPr>
                    <w:pStyle w:val="37"/>
                    <w:bidi w:val="0"/>
                    <w:rPr>
                      <w:rFonts w:hint="default"/>
                      <w:color w:val="auto"/>
                      <w:lang w:val="en-US" w:eastAsia="zh-CN"/>
                    </w:rPr>
                  </w:pPr>
                  <w:r>
                    <w:rPr>
                      <w:rFonts w:hint="eastAsia"/>
                      <w:color w:val="auto"/>
                      <w:lang w:val="en-US" w:eastAsia="zh-CN"/>
                    </w:rPr>
                    <w:t>项目不属于</w:t>
                  </w:r>
                  <w:r>
                    <w:rPr>
                      <w:rFonts w:hint="default"/>
                      <w:color w:val="auto"/>
                      <w:lang w:val="en-US" w:eastAsia="zh-CN"/>
                    </w:rPr>
                    <w:t>钢铁、石化、化工、焦化、建材、有色行业中的高污染项目。</w:t>
                  </w:r>
                </w:p>
              </w:tc>
              <w:tc>
                <w:tcPr>
                  <w:tcW w:w="458" w:type="pct"/>
                  <w:tcBorders>
                    <w:tl2br w:val="nil"/>
                    <w:tr2bl w:val="nil"/>
                  </w:tcBorders>
                  <w:vAlign w:val="center"/>
                </w:tcPr>
                <w:p w14:paraId="7EF11B89">
                  <w:pPr>
                    <w:pStyle w:val="37"/>
                    <w:bidi w:val="0"/>
                    <w:rPr>
                      <w:rFonts w:hint="default"/>
                      <w:color w:val="auto"/>
                      <w:lang w:val="en-US" w:eastAsia="zh-CN"/>
                    </w:rPr>
                  </w:pPr>
                  <w:r>
                    <w:rPr>
                      <w:rFonts w:hint="eastAsia"/>
                      <w:color w:val="auto"/>
                      <w:lang w:val="en-US" w:eastAsia="zh-CN"/>
                    </w:rPr>
                    <w:t>符合</w:t>
                  </w:r>
                </w:p>
              </w:tc>
            </w:tr>
            <w:tr w14:paraId="2B1B8C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461" w:type="pct"/>
                  <w:vMerge w:val="continue"/>
                  <w:tcBorders>
                    <w:tl2br w:val="nil"/>
                    <w:tr2bl w:val="nil"/>
                  </w:tcBorders>
                  <w:vAlign w:val="center"/>
                </w:tcPr>
                <w:p w14:paraId="46FE5D9A">
                  <w:pPr>
                    <w:bidi w:val="0"/>
                    <w:jc w:val="center"/>
                    <w:rPr>
                      <w:rFonts w:hint="default"/>
                      <w:color w:val="auto"/>
                      <w:lang w:val="en-US" w:eastAsia="zh-CN"/>
                    </w:rPr>
                  </w:pPr>
                </w:p>
              </w:tc>
              <w:tc>
                <w:tcPr>
                  <w:tcW w:w="2477" w:type="pct"/>
                  <w:tcBorders>
                    <w:tl2br w:val="nil"/>
                    <w:tr2bl w:val="nil"/>
                  </w:tcBorders>
                  <w:vAlign w:val="center"/>
                </w:tcPr>
                <w:p w14:paraId="4819C21E">
                  <w:pPr>
                    <w:pStyle w:val="37"/>
                    <w:bidi w:val="0"/>
                    <w:rPr>
                      <w:rFonts w:hint="default"/>
                      <w:color w:val="auto"/>
                      <w:lang w:val="en-US" w:eastAsia="zh-CN"/>
                    </w:rPr>
                  </w:pPr>
                  <w:r>
                    <w:rPr>
                      <w:rFonts w:hint="default"/>
                      <w:color w:val="auto"/>
                      <w:lang w:val="en-US" w:eastAsia="zh-CN"/>
                    </w:rPr>
                    <w:t>集中式饮用水水源地严格执行《中华人民共和国水污染防治法》《地下水管理条例》《饮用水水源保护区污染防治管理规定》《云南省牛栏江保护条例》《曲靖市集中式饮用水水源地保护条例》《云南省曲靖独木水库保护条例》，水源地内城镇开发边界范围已开发区域强化环境基础设施建设与运行维护。</w:t>
                  </w:r>
                </w:p>
              </w:tc>
              <w:tc>
                <w:tcPr>
                  <w:tcW w:w="1602" w:type="pct"/>
                  <w:tcBorders>
                    <w:tl2br w:val="nil"/>
                    <w:tr2bl w:val="nil"/>
                  </w:tcBorders>
                  <w:vAlign w:val="center"/>
                </w:tcPr>
                <w:p w14:paraId="21785845">
                  <w:pPr>
                    <w:pStyle w:val="37"/>
                    <w:bidi w:val="0"/>
                    <w:rPr>
                      <w:rFonts w:hint="default"/>
                      <w:color w:val="auto"/>
                      <w:lang w:val="en-US" w:eastAsia="zh-CN"/>
                    </w:rPr>
                  </w:pPr>
                  <w:r>
                    <w:rPr>
                      <w:rFonts w:hint="eastAsia"/>
                      <w:color w:val="auto"/>
                      <w:lang w:val="en-US" w:eastAsia="zh-CN"/>
                    </w:rPr>
                    <w:t>项目不涉及</w:t>
                  </w:r>
                  <w:r>
                    <w:rPr>
                      <w:rFonts w:hint="default"/>
                      <w:color w:val="auto"/>
                      <w:lang w:val="en-US" w:eastAsia="zh-CN"/>
                    </w:rPr>
                    <w:t>饮用水水源地</w:t>
                  </w:r>
                  <w:r>
                    <w:rPr>
                      <w:rFonts w:hint="eastAsia"/>
                      <w:color w:val="auto"/>
                      <w:lang w:val="en-US" w:eastAsia="zh-CN"/>
                    </w:rPr>
                    <w:t>。</w:t>
                  </w:r>
                </w:p>
              </w:tc>
              <w:tc>
                <w:tcPr>
                  <w:tcW w:w="458" w:type="pct"/>
                  <w:tcBorders>
                    <w:tl2br w:val="nil"/>
                    <w:tr2bl w:val="nil"/>
                  </w:tcBorders>
                  <w:vAlign w:val="center"/>
                </w:tcPr>
                <w:p w14:paraId="55DEA5E8">
                  <w:pPr>
                    <w:pStyle w:val="37"/>
                    <w:bidi w:val="0"/>
                    <w:rPr>
                      <w:rFonts w:hint="default"/>
                      <w:color w:val="auto"/>
                      <w:lang w:val="en-US" w:eastAsia="zh-CN"/>
                    </w:rPr>
                  </w:pPr>
                  <w:r>
                    <w:rPr>
                      <w:rFonts w:hint="eastAsia"/>
                      <w:color w:val="auto"/>
                      <w:lang w:val="en-US" w:eastAsia="zh-CN"/>
                    </w:rPr>
                    <w:t>符合</w:t>
                  </w:r>
                </w:p>
              </w:tc>
            </w:tr>
            <w:tr w14:paraId="5D5E0E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3" w:hRule="atLeast"/>
                <w:jc w:val="center"/>
              </w:trPr>
              <w:tc>
                <w:tcPr>
                  <w:tcW w:w="461" w:type="pct"/>
                  <w:vMerge w:val="continue"/>
                  <w:tcBorders>
                    <w:tl2br w:val="nil"/>
                    <w:tr2bl w:val="nil"/>
                  </w:tcBorders>
                  <w:vAlign w:val="center"/>
                </w:tcPr>
                <w:p w14:paraId="6D99EBB9">
                  <w:pPr>
                    <w:bidi w:val="0"/>
                    <w:jc w:val="center"/>
                    <w:rPr>
                      <w:rFonts w:hint="default"/>
                      <w:color w:val="auto"/>
                      <w:lang w:val="en-US" w:eastAsia="zh-CN"/>
                    </w:rPr>
                  </w:pPr>
                </w:p>
              </w:tc>
              <w:tc>
                <w:tcPr>
                  <w:tcW w:w="2477" w:type="pct"/>
                  <w:tcBorders>
                    <w:tl2br w:val="nil"/>
                    <w:tr2bl w:val="nil"/>
                  </w:tcBorders>
                  <w:vAlign w:val="center"/>
                </w:tcPr>
                <w:p w14:paraId="08A30EB0">
                  <w:pPr>
                    <w:pStyle w:val="37"/>
                    <w:bidi w:val="0"/>
                    <w:rPr>
                      <w:rFonts w:hint="default"/>
                      <w:color w:val="auto"/>
                      <w:lang w:val="en-US" w:eastAsia="zh-CN"/>
                    </w:rPr>
                  </w:pPr>
                  <w:r>
                    <w:rPr>
                      <w:rFonts w:hint="default"/>
                      <w:color w:val="auto"/>
                      <w:lang w:val="en-US" w:eastAsia="zh-CN"/>
                    </w:rPr>
                    <w:t>各县（市、区）产业园区重点管控单元、曲靖经济开发区重点管控单元、曲靖高新技术产业开发区重点管控单元、宣威市经济技术开发区重点管控单元空间布局约束、污染物排放管控、环境风险防控、资源利用效率四个维度严格执行现行有效的园区规划、规划环评及其审查意见。</w:t>
                  </w:r>
                </w:p>
              </w:tc>
              <w:tc>
                <w:tcPr>
                  <w:tcW w:w="1602" w:type="pct"/>
                  <w:tcBorders>
                    <w:tl2br w:val="nil"/>
                    <w:tr2bl w:val="nil"/>
                  </w:tcBorders>
                  <w:vAlign w:val="center"/>
                </w:tcPr>
                <w:p w14:paraId="53AB6F7E">
                  <w:pPr>
                    <w:pStyle w:val="37"/>
                    <w:bidi w:val="0"/>
                    <w:rPr>
                      <w:rFonts w:hint="default"/>
                      <w:color w:val="auto"/>
                      <w:lang w:val="en-US" w:eastAsia="zh-CN"/>
                    </w:rPr>
                  </w:pPr>
                  <w:r>
                    <w:rPr>
                      <w:rFonts w:hint="eastAsia"/>
                      <w:color w:val="auto"/>
                      <w:lang w:val="en-US" w:eastAsia="zh-CN"/>
                    </w:rPr>
                    <w:t>项目不涉及重点管控单元。</w:t>
                  </w:r>
                </w:p>
              </w:tc>
              <w:tc>
                <w:tcPr>
                  <w:tcW w:w="458" w:type="pct"/>
                  <w:tcBorders>
                    <w:tl2br w:val="nil"/>
                    <w:tr2bl w:val="nil"/>
                  </w:tcBorders>
                  <w:vAlign w:val="center"/>
                </w:tcPr>
                <w:p w14:paraId="4559C092">
                  <w:pPr>
                    <w:pStyle w:val="37"/>
                    <w:bidi w:val="0"/>
                    <w:rPr>
                      <w:rFonts w:hint="default"/>
                      <w:color w:val="auto"/>
                      <w:lang w:val="en-US" w:eastAsia="zh-CN"/>
                    </w:rPr>
                  </w:pPr>
                  <w:r>
                    <w:rPr>
                      <w:rFonts w:hint="eastAsia"/>
                      <w:color w:val="auto"/>
                      <w:lang w:val="en-US" w:eastAsia="zh-CN"/>
                    </w:rPr>
                    <w:t>符合</w:t>
                  </w:r>
                </w:p>
              </w:tc>
            </w:tr>
            <w:tr w14:paraId="5929C3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36" w:hRule="atLeast"/>
                <w:jc w:val="center"/>
              </w:trPr>
              <w:tc>
                <w:tcPr>
                  <w:tcW w:w="461" w:type="pct"/>
                  <w:vMerge w:val="restart"/>
                  <w:tcBorders>
                    <w:tl2br w:val="nil"/>
                    <w:tr2bl w:val="nil"/>
                  </w:tcBorders>
                  <w:vAlign w:val="center"/>
                </w:tcPr>
                <w:p w14:paraId="0FE3C6A8">
                  <w:pPr>
                    <w:pStyle w:val="37"/>
                    <w:bidi w:val="0"/>
                    <w:rPr>
                      <w:rFonts w:hint="default"/>
                      <w:color w:val="auto"/>
                      <w:lang w:val="en-US" w:eastAsia="zh-CN"/>
                    </w:rPr>
                  </w:pPr>
                  <w:r>
                    <w:rPr>
                      <w:color w:val="auto"/>
                    </w:rPr>
                    <w:t>污染物排放管控</w:t>
                  </w:r>
                </w:p>
              </w:tc>
              <w:tc>
                <w:tcPr>
                  <w:tcW w:w="2477" w:type="pct"/>
                  <w:tcBorders>
                    <w:tl2br w:val="nil"/>
                    <w:tr2bl w:val="nil"/>
                  </w:tcBorders>
                  <w:vAlign w:val="center"/>
                </w:tcPr>
                <w:p w14:paraId="198A3176">
                  <w:pPr>
                    <w:pStyle w:val="37"/>
                    <w:bidi w:val="0"/>
                    <w:rPr>
                      <w:rFonts w:hint="default"/>
                      <w:color w:val="auto"/>
                      <w:lang w:val="en-US" w:eastAsia="zh-CN"/>
                    </w:rPr>
                  </w:pPr>
                  <w:r>
                    <w:rPr>
                      <w:rFonts w:hint="default"/>
                      <w:color w:val="auto"/>
                      <w:lang w:val="en-US" w:eastAsia="zh-CN"/>
                    </w:rPr>
                    <w:t>推进以能源、化工、冶金、建材、造纸、农副食品加工、工业涂装和包装印刷等行业为重点的清洁生产审核工作，具体行业包括但不限于煤矿、火力发电，甲醇、焦化、氮肥、磷肥、氯碱、电石、制药、农药、黄磷、铬盐生产，钢铁、铁合金铅锌铝冶炼及再生，水泥、石灰、建筑陶瓷、平板玻璃、沥青防水材料，纸浆造纸，酿造、味精、柠檬酸、酶制剂、酵母，新能源电池(正负极材料)，多晶硅、单晶硅、有机硅，工业涂装和包装印刷等行业。</w:t>
                  </w:r>
                </w:p>
              </w:tc>
              <w:tc>
                <w:tcPr>
                  <w:tcW w:w="1602" w:type="pct"/>
                  <w:tcBorders>
                    <w:tl2br w:val="nil"/>
                    <w:tr2bl w:val="nil"/>
                  </w:tcBorders>
                  <w:vAlign w:val="center"/>
                </w:tcPr>
                <w:p w14:paraId="40518B4C">
                  <w:pPr>
                    <w:pStyle w:val="37"/>
                    <w:bidi w:val="0"/>
                    <w:rPr>
                      <w:rFonts w:hint="default"/>
                      <w:color w:val="auto"/>
                      <w:lang w:val="en-US" w:eastAsia="zh-CN"/>
                    </w:rPr>
                  </w:pPr>
                  <w:r>
                    <w:rPr>
                      <w:rFonts w:hint="eastAsia"/>
                      <w:color w:val="auto"/>
                      <w:lang w:val="en-US" w:eastAsia="zh-CN"/>
                    </w:rPr>
                    <w:t>本项目为风力发电项目，属于清洁能源生产的一种。</w:t>
                  </w:r>
                </w:p>
              </w:tc>
              <w:tc>
                <w:tcPr>
                  <w:tcW w:w="458" w:type="pct"/>
                  <w:tcBorders>
                    <w:tl2br w:val="nil"/>
                    <w:tr2bl w:val="nil"/>
                  </w:tcBorders>
                  <w:vAlign w:val="center"/>
                </w:tcPr>
                <w:p w14:paraId="499D21F7">
                  <w:pPr>
                    <w:pStyle w:val="37"/>
                    <w:bidi w:val="0"/>
                    <w:rPr>
                      <w:rFonts w:hint="default"/>
                      <w:color w:val="auto"/>
                      <w:lang w:val="en-US" w:eastAsia="zh-CN"/>
                    </w:rPr>
                  </w:pPr>
                  <w:r>
                    <w:rPr>
                      <w:rFonts w:hint="eastAsia"/>
                      <w:color w:val="auto"/>
                      <w:lang w:val="en-US" w:eastAsia="zh-CN"/>
                    </w:rPr>
                    <w:t>符合</w:t>
                  </w:r>
                </w:p>
              </w:tc>
            </w:tr>
            <w:tr w14:paraId="17EC4F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461" w:type="pct"/>
                  <w:vMerge w:val="continue"/>
                  <w:tcBorders>
                    <w:tl2br w:val="nil"/>
                    <w:tr2bl w:val="nil"/>
                  </w:tcBorders>
                  <w:vAlign w:val="center"/>
                </w:tcPr>
                <w:p w14:paraId="42444879">
                  <w:pPr>
                    <w:bidi w:val="0"/>
                    <w:jc w:val="center"/>
                    <w:rPr>
                      <w:rFonts w:hint="default"/>
                      <w:color w:val="auto"/>
                      <w:lang w:val="en-US" w:eastAsia="zh-CN"/>
                    </w:rPr>
                  </w:pPr>
                </w:p>
              </w:tc>
              <w:tc>
                <w:tcPr>
                  <w:tcW w:w="2477" w:type="pct"/>
                  <w:tcBorders>
                    <w:tl2br w:val="nil"/>
                    <w:tr2bl w:val="nil"/>
                  </w:tcBorders>
                  <w:vAlign w:val="center"/>
                </w:tcPr>
                <w:p w14:paraId="4B1CF2E6">
                  <w:pPr>
                    <w:pStyle w:val="37"/>
                    <w:bidi w:val="0"/>
                    <w:rPr>
                      <w:rFonts w:hint="default"/>
                      <w:color w:val="auto"/>
                      <w:lang w:val="en-US" w:eastAsia="zh-CN"/>
                    </w:rPr>
                  </w:pPr>
                  <w:r>
                    <w:rPr>
                      <w:rFonts w:hint="default"/>
                      <w:color w:val="auto"/>
                      <w:lang w:val="en-US" w:eastAsia="zh-CN"/>
                    </w:rPr>
                    <w:t>落实云南省碳达峰碳中和相关要求，处理好发展和减排、整体和局部、长远目标和短期目标、政府和市场的关系，加快推动减污降碳协同创新试点，坚定不移走生态优先、绿色低碳的高质量发展道路。</w:t>
                  </w:r>
                </w:p>
              </w:tc>
              <w:tc>
                <w:tcPr>
                  <w:tcW w:w="1602" w:type="pct"/>
                  <w:tcBorders>
                    <w:tl2br w:val="nil"/>
                    <w:tr2bl w:val="nil"/>
                  </w:tcBorders>
                  <w:vAlign w:val="center"/>
                </w:tcPr>
                <w:p w14:paraId="2ED4FD5A">
                  <w:pPr>
                    <w:pStyle w:val="37"/>
                    <w:bidi w:val="0"/>
                    <w:rPr>
                      <w:rFonts w:hint="default"/>
                      <w:color w:val="auto"/>
                      <w:lang w:val="en-US" w:eastAsia="zh-CN"/>
                    </w:rPr>
                  </w:pPr>
                  <w:r>
                    <w:rPr>
                      <w:rFonts w:hint="eastAsia"/>
                      <w:color w:val="auto"/>
                      <w:lang w:val="en-US" w:eastAsia="zh-CN"/>
                    </w:rPr>
                    <w:t>本项目为风力发电项目，项目建成后采用风力发电，能有效减少碳排放。符合国家“双碳”政策。</w:t>
                  </w:r>
                </w:p>
              </w:tc>
              <w:tc>
                <w:tcPr>
                  <w:tcW w:w="458" w:type="pct"/>
                  <w:tcBorders>
                    <w:tl2br w:val="nil"/>
                    <w:tr2bl w:val="nil"/>
                  </w:tcBorders>
                  <w:vAlign w:val="center"/>
                </w:tcPr>
                <w:p w14:paraId="5EAFEC7B">
                  <w:pPr>
                    <w:pStyle w:val="37"/>
                    <w:bidi w:val="0"/>
                    <w:rPr>
                      <w:rFonts w:hint="default"/>
                      <w:color w:val="auto"/>
                      <w:lang w:val="en-US" w:eastAsia="zh-CN"/>
                    </w:rPr>
                  </w:pPr>
                  <w:r>
                    <w:rPr>
                      <w:rFonts w:hint="eastAsia"/>
                      <w:color w:val="auto"/>
                      <w:lang w:val="en-US" w:eastAsia="zh-CN"/>
                    </w:rPr>
                    <w:t>符合</w:t>
                  </w:r>
                </w:p>
              </w:tc>
            </w:tr>
            <w:tr w14:paraId="5A5B65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461" w:type="pct"/>
                  <w:vMerge w:val="continue"/>
                  <w:tcBorders>
                    <w:tl2br w:val="nil"/>
                    <w:tr2bl w:val="nil"/>
                  </w:tcBorders>
                  <w:vAlign w:val="center"/>
                </w:tcPr>
                <w:p w14:paraId="3FDC3A29">
                  <w:pPr>
                    <w:bidi w:val="0"/>
                    <w:jc w:val="center"/>
                    <w:rPr>
                      <w:rFonts w:hint="default"/>
                      <w:color w:val="auto"/>
                      <w:lang w:val="en-US" w:eastAsia="zh-CN"/>
                    </w:rPr>
                  </w:pPr>
                </w:p>
              </w:tc>
              <w:tc>
                <w:tcPr>
                  <w:tcW w:w="2477" w:type="pct"/>
                  <w:tcBorders>
                    <w:tl2br w:val="nil"/>
                    <w:tr2bl w:val="nil"/>
                  </w:tcBorders>
                  <w:vAlign w:val="center"/>
                </w:tcPr>
                <w:p w14:paraId="461A6389">
                  <w:pPr>
                    <w:pStyle w:val="37"/>
                    <w:bidi w:val="0"/>
                    <w:rPr>
                      <w:rFonts w:hint="default"/>
                      <w:color w:val="auto"/>
                      <w:lang w:val="en-US" w:eastAsia="zh-CN"/>
                    </w:rPr>
                  </w:pPr>
                  <w:r>
                    <w:rPr>
                      <w:rFonts w:hint="default"/>
                      <w:color w:val="auto"/>
                      <w:lang w:val="en-US" w:eastAsia="zh-CN"/>
                    </w:rPr>
                    <w:t>加大重点流域水污染防治</w:t>
                  </w:r>
                  <w:r>
                    <w:rPr>
                      <w:rFonts w:hint="eastAsia"/>
                      <w:color w:val="auto"/>
                      <w:lang w:val="en-US" w:eastAsia="zh-CN"/>
                    </w:rPr>
                    <w:t>力度，</w:t>
                  </w:r>
                  <w:r>
                    <w:rPr>
                      <w:rFonts w:hint="default"/>
                      <w:color w:val="auto"/>
                      <w:lang w:val="en-US" w:eastAsia="zh-CN"/>
                    </w:rPr>
                    <w:t>确保水质如期</w:t>
                  </w:r>
                  <w:r>
                    <w:rPr>
                      <w:rFonts w:hint="default"/>
                      <w:color w:val="auto"/>
                      <w:highlight w:val="yellow"/>
                      <w:lang w:val="en-US" w:eastAsia="zh-CN"/>
                    </w:rPr>
                    <w:t>达标</w:t>
                  </w:r>
                  <w:r>
                    <w:rPr>
                      <w:rFonts w:hint="default"/>
                      <w:color w:val="auto"/>
                      <w:lang w:val="en-US" w:eastAsia="zh-CN"/>
                    </w:rPr>
                    <w:t>。南盘江龚家坝、北盘江旧营桥等断面汇水区，新建、改建、扩建重点行业建设项目实行主要污染物排放减量置换。到2025年，牛栏江、南盘江、北盘江流域内所有城镇区域内实现生活污水处理设施全覆盖、生活污水全处理。</w:t>
                  </w:r>
                </w:p>
              </w:tc>
              <w:tc>
                <w:tcPr>
                  <w:tcW w:w="1602" w:type="pct"/>
                  <w:tcBorders>
                    <w:tl2br w:val="nil"/>
                    <w:tr2bl w:val="nil"/>
                  </w:tcBorders>
                  <w:vAlign w:val="center"/>
                </w:tcPr>
                <w:p w14:paraId="1685821A">
                  <w:pPr>
                    <w:pStyle w:val="37"/>
                    <w:bidi w:val="0"/>
                    <w:rPr>
                      <w:rFonts w:hint="default"/>
                      <w:color w:val="auto"/>
                      <w:lang w:val="en-US" w:eastAsia="zh-CN"/>
                    </w:rPr>
                  </w:pPr>
                  <w:r>
                    <w:rPr>
                      <w:rFonts w:hint="eastAsia"/>
                      <w:color w:val="auto"/>
                      <w:lang w:val="en-US" w:eastAsia="zh-CN"/>
                    </w:rPr>
                    <w:t>项目施工期施工废水回用于洒水降尘，生活污水收集后回用于农田，不外排；运营期依托西泽风电场一期现有运维人员，污水处置后回用厂区绿化，不外排。</w:t>
                  </w:r>
                </w:p>
              </w:tc>
              <w:tc>
                <w:tcPr>
                  <w:tcW w:w="458" w:type="pct"/>
                  <w:tcBorders>
                    <w:tl2br w:val="nil"/>
                    <w:tr2bl w:val="nil"/>
                  </w:tcBorders>
                  <w:vAlign w:val="center"/>
                </w:tcPr>
                <w:p w14:paraId="28AF5849">
                  <w:pPr>
                    <w:pStyle w:val="37"/>
                    <w:bidi w:val="0"/>
                    <w:rPr>
                      <w:rFonts w:hint="default"/>
                      <w:color w:val="auto"/>
                      <w:lang w:val="en-US" w:eastAsia="zh-CN"/>
                    </w:rPr>
                  </w:pPr>
                  <w:r>
                    <w:rPr>
                      <w:rFonts w:hint="eastAsia"/>
                      <w:color w:val="auto"/>
                      <w:lang w:val="en-US" w:eastAsia="zh-CN"/>
                    </w:rPr>
                    <w:t>符合</w:t>
                  </w:r>
                </w:p>
              </w:tc>
            </w:tr>
            <w:tr w14:paraId="187310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461" w:type="pct"/>
                  <w:vMerge w:val="continue"/>
                  <w:tcBorders>
                    <w:tl2br w:val="nil"/>
                    <w:tr2bl w:val="nil"/>
                  </w:tcBorders>
                  <w:vAlign w:val="center"/>
                </w:tcPr>
                <w:p w14:paraId="0F84CA8C">
                  <w:pPr>
                    <w:bidi w:val="0"/>
                    <w:jc w:val="center"/>
                    <w:rPr>
                      <w:rFonts w:hint="default"/>
                      <w:color w:val="auto"/>
                      <w:lang w:val="en-US" w:eastAsia="zh-CN"/>
                    </w:rPr>
                  </w:pPr>
                </w:p>
              </w:tc>
              <w:tc>
                <w:tcPr>
                  <w:tcW w:w="2477" w:type="pct"/>
                  <w:tcBorders>
                    <w:tl2br w:val="nil"/>
                    <w:tr2bl w:val="nil"/>
                  </w:tcBorders>
                  <w:vAlign w:val="center"/>
                </w:tcPr>
                <w:p w14:paraId="1C23B280">
                  <w:pPr>
                    <w:pStyle w:val="37"/>
                    <w:bidi w:val="0"/>
                    <w:rPr>
                      <w:rFonts w:hint="default"/>
                      <w:color w:val="auto"/>
                      <w:lang w:val="en-US" w:eastAsia="zh-CN"/>
                    </w:rPr>
                  </w:pPr>
                  <w:r>
                    <w:rPr>
                      <w:rFonts w:hint="default"/>
                      <w:color w:val="auto"/>
                      <w:lang w:val="en-US" w:eastAsia="zh-CN"/>
                    </w:rPr>
                    <w:t>牛栏江等流域内，严格按照《云南省牛栏江保护条例》《牛栏江流域（云南部分）水环境保护规划报告》及其中期评估报告有关要求，禁止在牛栏江水源保护区核心区新建、改建、扩建排污口。牛栏江流域上游保护区内已设置排污口的生产企业，排放水污染物应当符合国家或者地方规定的水污染物排放标准和重点水污染物排放总量控制指标。</w:t>
                  </w:r>
                </w:p>
              </w:tc>
              <w:tc>
                <w:tcPr>
                  <w:tcW w:w="1602" w:type="pct"/>
                  <w:tcBorders>
                    <w:tl2br w:val="nil"/>
                    <w:tr2bl w:val="nil"/>
                  </w:tcBorders>
                  <w:vAlign w:val="center"/>
                </w:tcPr>
                <w:p w14:paraId="0F5ADCFC">
                  <w:pPr>
                    <w:pStyle w:val="37"/>
                    <w:bidi w:val="0"/>
                    <w:rPr>
                      <w:rFonts w:hint="default"/>
                      <w:color w:val="auto"/>
                      <w:lang w:val="en-US" w:eastAsia="zh-CN"/>
                    </w:rPr>
                  </w:pPr>
                  <w:r>
                    <w:rPr>
                      <w:rFonts w:hint="eastAsia"/>
                      <w:color w:val="auto"/>
                      <w:lang w:val="en-US" w:eastAsia="zh-CN"/>
                    </w:rPr>
                    <w:t>本项目不在</w:t>
                  </w:r>
                  <w:r>
                    <w:rPr>
                      <w:rFonts w:hint="default"/>
                      <w:color w:val="auto"/>
                      <w:lang w:val="en-US" w:eastAsia="zh-CN"/>
                    </w:rPr>
                    <w:t>牛栏江水源保护区核心区</w:t>
                  </w:r>
                  <w:r>
                    <w:rPr>
                      <w:rFonts w:hint="eastAsia"/>
                      <w:color w:val="auto"/>
                      <w:lang w:val="en-US" w:eastAsia="zh-CN"/>
                    </w:rPr>
                    <w:t>，项目施工期和运营期废污水全部回用不外排。</w:t>
                  </w:r>
                </w:p>
              </w:tc>
              <w:tc>
                <w:tcPr>
                  <w:tcW w:w="458" w:type="pct"/>
                  <w:tcBorders>
                    <w:tl2br w:val="nil"/>
                    <w:tr2bl w:val="nil"/>
                  </w:tcBorders>
                  <w:vAlign w:val="center"/>
                </w:tcPr>
                <w:p w14:paraId="7D0846A4">
                  <w:pPr>
                    <w:pStyle w:val="37"/>
                    <w:bidi w:val="0"/>
                    <w:rPr>
                      <w:rFonts w:hint="default"/>
                      <w:color w:val="auto"/>
                      <w:lang w:val="en-US" w:eastAsia="zh-CN"/>
                    </w:rPr>
                  </w:pPr>
                  <w:r>
                    <w:rPr>
                      <w:rFonts w:hint="eastAsia"/>
                      <w:color w:val="auto"/>
                      <w:lang w:val="en-US" w:eastAsia="zh-CN"/>
                    </w:rPr>
                    <w:t>符合</w:t>
                  </w:r>
                </w:p>
              </w:tc>
            </w:tr>
            <w:tr w14:paraId="33AB72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461" w:type="pct"/>
                  <w:vMerge w:val="continue"/>
                  <w:tcBorders>
                    <w:tl2br w:val="nil"/>
                    <w:tr2bl w:val="nil"/>
                  </w:tcBorders>
                  <w:vAlign w:val="center"/>
                </w:tcPr>
                <w:p w14:paraId="2ED847E1">
                  <w:pPr>
                    <w:bidi w:val="0"/>
                    <w:jc w:val="center"/>
                    <w:rPr>
                      <w:rFonts w:hint="default"/>
                      <w:color w:val="auto"/>
                      <w:lang w:val="en-US" w:eastAsia="zh-CN"/>
                    </w:rPr>
                  </w:pPr>
                </w:p>
              </w:tc>
              <w:tc>
                <w:tcPr>
                  <w:tcW w:w="2477" w:type="pct"/>
                  <w:tcBorders>
                    <w:tl2br w:val="nil"/>
                    <w:tr2bl w:val="nil"/>
                  </w:tcBorders>
                  <w:vAlign w:val="center"/>
                </w:tcPr>
                <w:p w14:paraId="060C44E5">
                  <w:pPr>
                    <w:pStyle w:val="37"/>
                    <w:bidi w:val="0"/>
                    <w:rPr>
                      <w:rFonts w:hint="default"/>
                      <w:color w:val="auto"/>
                      <w:lang w:val="en-US" w:eastAsia="zh-CN"/>
                    </w:rPr>
                  </w:pPr>
                  <w:r>
                    <w:rPr>
                      <w:rFonts w:hint="default"/>
                      <w:color w:val="auto"/>
                      <w:lang w:val="en-US" w:eastAsia="zh-CN"/>
                    </w:rPr>
                    <w:t>严格保护集中式饮用水水源地，整治饮用水源保护区内的污染源，确保饮水安全。</w:t>
                  </w:r>
                </w:p>
              </w:tc>
              <w:tc>
                <w:tcPr>
                  <w:tcW w:w="1602" w:type="pct"/>
                  <w:tcBorders>
                    <w:tl2br w:val="nil"/>
                    <w:tr2bl w:val="nil"/>
                  </w:tcBorders>
                  <w:vAlign w:val="center"/>
                </w:tcPr>
                <w:p w14:paraId="1208A40D">
                  <w:pPr>
                    <w:pStyle w:val="37"/>
                    <w:bidi w:val="0"/>
                    <w:rPr>
                      <w:rFonts w:hint="default"/>
                      <w:color w:val="auto"/>
                      <w:lang w:val="en-US" w:eastAsia="zh-CN"/>
                    </w:rPr>
                  </w:pPr>
                  <w:r>
                    <w:rPr>
                      <w:rFonts w:hint="eastAsia"/>
                      <w:color w:val="auto"/>
                      <w:lang w:val="en-US" w:eastAsia="zh-CN"/>
                    </w:rPr>
                    <w:t>项目不涉及饮用水水源地。</w:t>
                  </w:r>
                </w:p>
              </w:tc>
              <w:tc>
                <w:tcPr>
                  <w:tcW w:w="458" w:type="pct"/>
                  <w:tcBorders>
                    <w:tl2br w:val="nil"/>
                    <w:tr2bl w:val="nil"/>
                  </w:tcBorders>
                  <w:vAlign w:val="center"/>
                </w:tcPr>
                <w:p w14:paraId="042E1527">
                  <w:pPr>
                    <w:pStyle w:val="37"/>
                    <w:bidi w:val="0"/>
                    <w:rPr>
                      <w:rFonts w:hint="default"/>
                      <w:color w:val="auto"/>
                      <w:lang w:val="en-US" w:eastAsia="zh-CN"/>
                    </w:rPr>
                  </w:pPr>
                  <w:r>
                    <w:rPr>
                      <w:rFonts w:hint="eastAsia"/>
                      <w:color w:val="auto"/>
                      <w:lang w:val="en-US" w:eastAsia="zh-CN"/>
                    </w:rPr>
                    <w:t>符合</w:t>
                  </w:r>
                </w:p>
              </w:tc>
            </w:tr>
            <w:tr w14:paraId="211C4E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18" w:hRule="atLeast"/>
                <w:jc w:val="center"/>
              </w:trPr>
              <w:tc>
                <w:tcPr>
                  <w:tcW w:w="461" w:type="pct"/>
                  <w:vMerge w:val="continue"/>
                  <w:tcBorders>
                    <w:tl2br w:val="nil"/>
                    <w:tr2bl w:val="nil"/>
                  </w:tcBorders>
                  <w:vAlign w:val="center"/>
                </w:tcPr>
                <w:p w14:paraId="726F100C">
                  <w:pPr>
                    <w:bidi w:val="0"/>
                    <w:jc w:val="center"/>
                    <w:rPr>
                      <w:rFonts w:hint="default"/>
                      <w:color w:val="auto"/>
                      <w:lang w:val="en-US" w:eastAsia="zh-CN"/>
                    </w:rPr>
                  </w:pPr>
                </w:p>
              </w:tc>
              <w:tc>
                <w:tcPr>
                  <w:tcW w:w="2477" w:type="pct"/>
                  <w:tcBorders>
                    <w:tl2br w:val="nil"/>
                    <w:tr2bl w:val="nil"/>
                  </w:tcBorders>
                  <w:vAlign w:val="center"/>
                </w:tcPr>
                <w:p w14:paraId="6F068A40">
                  <w:pPr>
                    <w:pStyle w:val="37"/>
                    <w:bidi w:val="0"/>
                    <w:rPr>
                      <w:rFonts w:hint="default"/>
                      <w:color w:val="auto"/>
                      <w:lang w:val="en-US" w:eastAsia="zh-CN"/>
                    </w:rPr>
                  </w:pPr>
                  <w:r>
                    <w:rPr>
                      <w:rFonts w:hint="default"/>
                      <w:color w:val="auto"/>
                      <w:lang w:val="en-US" w:eastAsia="zh-CN"/>
                    </w:rPr>
                    <w:t>全面开展城市（县城）排水管网排查整治，消除城市建成区管网空白区、污水直排口，解决雨污混流、管网破损漏损、错接混接等问题。加大城市生活污水提标改造及扩容工作力度，麒麟区、沾益区、曲靖经开区新、改、扩建城市生活污水集中处理设施及工业园区污水集中处理设施污染物排放标准严格执行《地表水环境质量标准》</w:t>
                  </w:r>
                  <w:r>
                    <w:rPr>
                      <w:rFonts w:hint="eastAsia"/>
                      <w:color w:val="auto"/>
                      <w:lang w:val="en-US" w:eastAsia="zh-CN"/>
                    </w:rPr>
                    <w:t>Ⅳ类</w:t>
                  </w:r>
                  <w:r>
                    <w:rPr>
                      <w:rFonts w:hint="default"/>
                      <w:color w:val="auto"/>
                      <w:lang w:val="en-US" w:eastAsia="zh-CN"/>
                    </w:rPr>
                    <w:t>标准 (其中总氮&lt;10mg/L，</w:t>
                  </w:r>
                  <w:r>
                    <w:rPr>
                      <w:rFonts w:hint="eastAsia"/>
                      <w:color w:val="auto"/>
                      <w:lang w:val="en-US" w:eastAsia="zh-CN"/>
                    </w:rPr>
                    <w:t>粪大肠菌群</w:t>
                  </w:r>
                  <w:r>
                    <w:rPr>
                      <w:rFonts w:hint="default"/>
                      <w:color w:val="auto"/>
                      <w:lang w:val="en-US" w:eastAsia="zh-CN"/>
                    </w:rPr>
                    <w:t>&lt;1000 个/L)。陆良县、宣威市根据水生态环境质量变化趋势适时推进执行《地表水环境质量标准》</w:t>
                  </w:r>
                  <w:r>
                    <w:rPr>
                      <w:rFonts w:hint="eastAsia"/>
                      <w:color w:val="auto"/>
                      <w:lang w:val="en-US" w:eastAsia="zh-CN"/>
                    </w:rPr>
                    <w:t>Ⅳ类</w:t>
                  </w:r>
                  <w:r>
                    <w:rPr>
                      <w:rFonts w:hint="default"/>
                      <w:color w:val="auto"/>
                      <w:lang w:val="en-US" w:eastAsia="zh-CN"/>
                    </w:rPr>
                    <w:t>标准(其中总氮&lt;10mg/L，</w:t>
                  </w:r>
                  <w:r>
                    <w:rPr>
                      <w:rFonts w:hint="eastAsia"/>
                      <w:color w:val="auto"/>
                      <w:lang w:val="en-US" w:eastAsia="zh-CN"/>
                    </w:rPr>
                    <w:t>粪大肠菌群</w:t>
                  </w:r>
                  <w:r>
                    <w:rPr>
                      <w:rFonts w:hint="default"/>
                      <w:color w:val="auto"/>
                      <w:lang w:val="en-US" w:eastAsia="zh-CN"/>
                    </w:rPr>
                    <w:t>&lt;1000个/L)。其他</w:t>
                  </w:r>
                  <w:r>
                    <w:rPr>
                      <w:rFonts w:hint="eastAsia"/>
                      <w:color w:val="auto"/>
                      <w:lang w:val="en-US" w:eastAsia="zh-CN"/>
                    </w:rPr>
                    <w:t>县(市、区)</w:t>
                  </w:r>
                  <w:r>
                    <w:rPr>
                      <w:rFonts w:hint="default"/>
                      <w:color w:val="auto"/>
                      <w:lang w:val="en-US" w:eastAsia="zh-CN"/>
                    </w:rPr>
                    <w:t>执行《城镇污水处理厂污染物排放标准》一级标准</w:t>
                  </w:r>
                  <w:r>
                    <w:rPr>
                      <w:rFonts w:hint="eastAsia"/>
                      <w:color w:val="auto"/>
                      <w:lang w:val="en-US" w:eastAsia="zh-CN"/>
                    </w:rPr>
                    <w:t>A</w:t>
                  </w:r>
                  <w:r>
                    <w:rPr>
                      <w:rFonts w:hint="default"/>
                      <w:color w:val="auto"/>
                      <w:lang w:val="en-US" w:eastAsia="zh-CN"/>
                    </w:rPr>
                    <w:t>标准。</w:t>
                  </w:r>
                </w:p>
              </w:tc>
              <w:tc>
                <w:tcPr>
                  <w:tcW w:w="1602" w:type="pct"/>
                  <w:tcBorders>
                    <w:tl2br w:val="nil"/>
                    <w:tr2bl w:val="nil"/>
                  </w:tcBorders>
                  <w:vAlign w:val="center"/>
                </w:tcPr>
                <w:p w14:paraId="7CCABD41">
                  <w:pPr>
                    <w:pStyle w:val="37"/>
                    <w:bidi w:val="0"/>
                    <w:rPr>
                      <w:rFonts w:hint="default"/>
                      <w:color w:val="auto"/>
                      <w:lang w:val="en-US" w:eastAsia="zh-CN"/>
                    </w:rPr>
                  </w:pPr>
                  <w:r>
                    <w:rPr>
                      <w:rFonts w:hint="eastAsia"/>
                      <w:color w:val="auto"/>
                      <w:lang w:val="en-US" w:eastAsia="zh-CN"/>
                    </w:rPr>
                    <w:t>项目位于宣威市热水镇乡村地区，不涉及城区。项目施工期施工废水回用于洒水降尘，生活污水收集后回用于农田，不外排；运营期依托西泽风电场一期现有运维人员，污水处置后回用厂区绿化，不外排。</w:t>
                  </w:r>
                </w:p>
              </w:tc>
              <w:tc>
                <w:tcPr>
                  <w:tcW w:w="458" w:type="pct"/>
                  <w:tcBorders>
                    <w:tl2br w:val="nil"/>
                    <w:tr2bl w:val="nil"/>
                  </w:tcBorders>
                  <w:vAlign w:val="center"/>
                </w:tcPr>
                <w:p w14:paraId="675F8ACB">
                  <w:pPr>
                    <w:pStyle w:val="37"/>
                    <w:bidi w:val="0"/>
                    <w:rPr>
                      <w:rFonts w:hint="default"/>
                      <w:color w:val="auto"/>
                      <w:lang w:val="en-US" w:eastAsia="zh-CN"/>
                    </w:rPr>
                  </w:pPr>
                  <w:r>
                    <w:rPr>
                      <w:rFonts w:hint="eastAsia"/>
                      <w:color w:val="auto"/>
                      <w:lang w:val="en-US" w:eastAsia="zh-CN"/>
                    </w:rPr>
                    <w:t>符合</w:t>
                  </w:r>
                </w:p>
              </w:tc>
            </w:tr>
            <w:tr w14:paraId="7B4716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461" w:type="pct"/>
                  <w:vMerge w:val="continue"/>
                  <w:tcBorders>
                    <w:tl2br w:val="nil"/>
                    <w:tr2bl w:val="nil"/>
                  </w:tcBorders>
                  <w:vAlign w:val="center"/>
                </w:tcPr>
                <w:p w14:paraId="066B9324">
                  <w:pPr>
                    <w:bidi w:val="0"/>
                    <w:jc w:val="center"/>
                    <w:rPr>
                      <w:rFonts w:hint="default"/>
                      <w:color w:val="auto"/>
                      <w:lang w:val="en-US" w:eastAsia="zh-CN"/>
                    </w:rPr>
                  </w:pPr>
                </w:p>
              </w:tc>
              <w:tc>
                <w:tcPr>
                  <w:tcW w:w="2477" w:type="pct"/>
                  <w:tcBorders>
                    <w:tl2br w:val="nil"/>
                    <w:tr2bl w:val="nil"/>
                  </w:tcBorders>
                  <w:vAlign w:val="center"/>
                </w:tcPr>
                <w:p w14:paraId="1E4EAA9C">
                  <w:pPr>
                    <w:pStyle w:val="37"/>
                    <w:bidi w:val="0"/>
                    <w:rPr>
                      <w:rFonts w:hint="default"/>
                      <w:color w:val="auto"/>
                      <w:lang w:val="en-US" w:eastAsia="zh-CN"/>
                    </w:rPr>
                  </w:pPr>
                  <w:r>
                    <w:rPr>
                      <w:rFonts w:hint="default"/>
                      <w:color w:val="auto"/>
                      <w:lang w:val="en-US" w:eastAsia="zh-CN"/>
                    </w:rPr>
                    <w:t>加快推进污泥无害化处理处置工程建设，鼓励采用资源化利用方式处理处置污泥，经处理后的污泥达到《农用污泥污染物控制标准》（GB4282—2018）要求的用于还田利用。</w:t>
                  </w:r>
                </w:p>
              </w:tc>
              <w:tc>
                <w:tcPr>
                  <w:tcW w:w="1602" w:type="pct"/>
                  <w:tcBorders>
                    <w:tl2br w:val="nil"/>
                    <w:tr2bl w:val="nil"/>
                  </w:tcBorders>
                  <w:vAlign w:val="center"/>
                </w:tcPr>
                <w:p w14:paraId="1B221F9C">
                  <w:pPr>
                    <w:pStyle w:val="37"/>
                    <w:bidi w:val="0"/>
                    <w:rPr>
                      <w:rFonts w:hint="default"/>
                      <w:color w:val="auto"/>
                      <w:lang w:val="en-US" w:eastAsia="zh-CN"/>
                    </w:rPr>
                  </w:pPr>
                  <w:r>
                    <w:rPr>
                      <w:rFonts w:hint="eastAsia"/>
                      <w:color w:val="auto"/>
                      <w:lang w:val="en-US" w:eastAsia="zh-CN"/>
                    </w:rPr>
                    <w:t>项目施工期设置化粪池收集风机区域施工人员生活污水，收集后回用于农田；运营期依托升压站的污水处理设施的污泥委托环卫部门定期清掏无害化处置。</w:t>
                  </w:r>
                </w:p>
              </w:tc>
              <w:tc>
                <w:tcPr>
                  <w:tcW w:w="458" w:type="pct"/>
                  <w:tcBorders>
                    <w:tl2br w:val="nil"/>
                    <w:tr2bl w:val="nil"/>
                  </w:tcBorders>
                  <w:vAlign w:val="center"/>
                </w:tcPr>
                <w:p w14:paraId="2D69B3F9">
                  <w:pPr>
                    <w:pStyle w:val="37"/>
                    <w:bidi w:val="0"/>
                    <w:rPr>
                      <w:rFonts w:hint="default"/>
                      <w:color w:val="auto"/>
                      <w:lang w:val="en-US" w:eastAsia="zh-CN"/>
                    </w:rPr>
                  </w:pPr>
                  <w:r>
                    <w:rPr>
                      <w:rFonts w:hint="eastAsia"/>
                      <w:color w:val="auto"/>
                      <w:lang w:val="en-US" w:eastAsia="zh-CN"/>
                    </w:rPr>
                    <w:t>符合</w:t>
                  </w:r>
                </w:p>
              </w:tc>
            </w:tr>
            <w:tr w14:paraId="46F32B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42" w:hRule="atLeast"/>
                <w:jc w:val="center"/>
              </w:trPr>
              <w:tc>
                <w:tcPr>
                  <w:tcW w:w="461" w:type="pct"/>
                  <w:vMerge w:val="continue"/>
                  <w:tcBorders>
                    <w:tl2br w:val="nil"/>
                    <w:tr2bl w:val="nil"/>
                  </w:tcBorders>
                  <w:vAlign w:val="center"/>
                </w:tcPr>
                <w:p w14:paraId="2DD80B03">
                  <w:pPr>
                    <w:bidi w:val="0"/>
                    <w:jc w:val="center"/>
                    <w:rPr>
                      <w:rFonts w:hint="default"/>
                      <w:color w:val="auto"/>
                      <w:lang w:val="en-US" w:eastAsia="zh-CN"/>
                    </w:rPr>
                  </w:pPr>
                </w:p>
              </w:tc>
              <w:tc>
                <w:tcPr>
                  <w:tcW w:w="2477" w:type="pct"/>
                  <w:tcBorders>
                    <w:tl2br w:val="nil"/>
                    <w:tr2bl w:val="nil"/>
                  </w:tcBorders>
                  <w:vAlign w:val="center"/>
                </w:tcPr>
                <w:p w14:paraId="62CAB6E8">
                  <w:pPr>
                    <w:pStyle w:val="37"/>
                    <w:bidi w:val="0"/>
                    <w:rPr>
                      <w:rFonts w:hint="default"/>
                      <w:color w:val="auto"/>
                      <w:lang w:val="en-US" w:eastAsia="zh-CN"/>
                    </w:rPr>
                  </w:pPr>
                  <w:r>
                    <w:rPr>
                      <w:rFonts w:hint="default"/>
                      <w:color w:val="auto"/>
                      <w:lang w:val="en-US" w:eastAsia="zh-CN"/>
                    </w:rPr>
                    <w:t>加快生活垃圾处理设施建设，推进实施生活垃圾焚烧发电，全面提升城镇生活垃圾分类收转运能力和厨余垃圾处理能力。</w:t>
                  </w:r>
                </w:p>
              </w:tc>
              <w:tc>
                <w:tcPr>
                  <w:tcW w:w="1602" w:type="pct"/>
                  <w:tcBorders>
                    <w:tl2br w:val="nil"/>
                    <w:tr2bl w:val="nil"/>
                  </w:tcBorders>
                  <w:vAlign w:val="center"/>
                </w:tcPr>
                <w:p w14:paraId="1D230DE5">
                  <w:pPr>
                    <w:pStyle w:val="37"/>
                    <w:bidi w:val="0"/>
                    <w:rPr>
                      <w:rFonts w:hint="default"/>
                      <w:color w:val="auto"/>
                      <w:lang w:val="en-US" w:eastAsia="zh-CN"/>
                    </w:rPr>
                  </w:pPr>
                  <w:r>
                    <w:rPr>
                      <w:rFonts w:hint="eastAsia"/>
                      <w:color w:val="auto"/>
                      <w:lang w:val="en-US" w:eastAsia="zh-CN"/>
                    </w:rPr>
                    <w:t>项目施工期施工人员生活垃圾依托升压站和周边垃圾收集点收运处置；运营期依托现有升压站现有垃圾收集处置措施。</w:t>
                  </w:r>
                </w:p>
              </w:tc>
              <w:tc>
                <w:tcPr>
                  <w:tcW w:w="458" w:type="pct"/>
                  <w:tcBorders>
                    <w:tl2br w:val="nil"/>
                    <w:tr2bl w:val="nil"/>
                  </w:tcBorders>
                  <w:vAlign w:val="center"/>
                </w:tcPr>
                <w:p w14:paraId="25725868">
                  <w:pPr>
                    <w:pStyle w:val="37"/>
                    <w:bidi w:val="0"/>
                    <w:rPr>
                      <w:rFonts w:hint="default"/>
                      <w:color w:val="auto"/>
                      <w:lang w:val="en-US" w:eastAsia="zh-CN"/>
                    </w:rPr>
                  </w:pPr>
                  <w:r>
                    <w:rPr>
                      <w:rFonts w:hint="eastAsia"/>
                      <w:color w:val="auto"/>
                      <w:lang w:val="en-US" w:eastAsia="zh-CN"/>
                    </w:rPr>
                    <w:t>符合</w:t>
                  </w:r>
                </w:p>
              </w:tc>
            </w:tr>
            <w:tr w14:paraId="29B3B5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461" w:type="pct"/>
                  <w:vMerge w:val="continue"/>
                  <w:tcBorders>
                    <w:tl2br w:val="nil"/>
                    <w:tr2bl w:val="nil"/>
                  </w:tcBorders>
                  <w:vAlign w:val="center"/>
                </w:tcPr>
                <w:p w14:paraId="7A60E712">
                  <w:pPr>
                    <w:bidi w:val="0"/>
                    <w:jc w:val="center"/>
                    <w:rPr>
                      <w:rFonts w:hint="default"/>
                      <w:color w:val="auto"/>
                      <w:lang w:val="en-US" w:eastAsia="zh-CN"/>
                    </w:rPr>
                  </w:pPr>
                </w:p>
              </w:tc>
              <w:tc>
                <w:tcPr>
                  <w:tcW w:w="2477" w:type="pct"/>
                  <w:tcBorders>
                    <w:tl2br w:val="nil"/>
                    <w:tr2bl w:val="nil"/>
                  </w:tcBorders>
                  <w:vAlign w:val="center"/>
                </w:tcPr>
                <w:p w14:paraId="548D773E">
                  <w:pPr>
                    <w:pStyle w:val="37"/>
                    <w:bidi w:val="0"/>
                    <w:rPr>
                      <w:rFonts w:hint="default"/>
                      <w:color w:val="auto"/>
                      <w:lang w:val="en-US" w:eastAsia="zh-CN"/>
                    </w:rPr>
                  </w:pPr>
                  <w:r>
                    <w:rPr>
                      <w:rFonts w:hint="default"/>
                      <w:color w:val="auto"/>
                      <w:lang w:val="en-US" w:eastAsia="zh-CN"/>
                    </w:rPr>
                    <w:t>到2025年，中心城区、县城中心城市建成区基本实现污水全收集、全处理，建制镇污水收集处理能力明显提升，中心城市、县城平均污泥无害化处理率达到90%以上，力争实现全市生活垃圾焚烧处理实现全覆盖，餐厨垃圾实现零填埋无害化处理。</w:t>
                  </w:r>
                </w:p>
              </w:tc>
              <w:tc>
                <w:tcPr>
                  <w:tcW w:w="1602" w:type="pct"/>
                  <w:tcBorders>
                    <w:tl2br w:val="nil"/>
                    <w:tr2bl w:val="nil"/>
                  </w:tcBorders>
                  <w:vAlign w:val="center"/>
                </w:tcPr>
                <w:p w14:paraId="6EDFFC34">
                  <w:pPr>
                    <w:pStyle w:val="37"/>
                    <w:bidi w:val="0"/>
                    <w:rPr>
                      <w:rFonts w:hint="default"/>
                      <w:color w:val="auto"/>
                      <w:lang w:val="en-US" w:eastAsia="zh-CN"/>
                    </w:rPr>
                  </w:pPr>
                  <w:r>
                    <w:rPr>
                      <w:rFonts w:hint="eastAsia"/>
                      <w:color w:val="auto"/>
                      <w:lang w:val="en-US" w:eastAsia="zh-CN"/>
                    </w:rPr>
                    <w:t>项目位于宣威市热水镇乡村地区，不涉及城区。</w:t>
                  </w:r>
                </w:p>
              </w:tc>
              <w:tc>
                <w:tcPr>
                  <w:tcW w:w="458" w:type="pct"/>
                  <w:tcBorders>
                    <w:tl2br w:val="nil"/>
                    <w:tr2bl w:val="nil"/>
                  </w:tcBorders>
                  <w:vAlign w:val="center"/>
                </w:tcPr>
                <w:p w14:paraId="08CB343C">
                  <w:pPr>
                    <w:pStyle w:val="37"/>
                    <w:bidi w:val="0"/>
                    <w:rPr>
                      <w:rFonts w:hint="default"/>
                      <w:color w:val="auto"/>
                      <w:lang w:val="en-US" w:eastAsia="zh-CN"/>
                    </w:rPr>
                  </w:pPr>
                  <w:r>
                    <w:rPr>
                      <w:rFonts w:hint="eastAsia"/>
                      <w:color w:val="auto"/>
                      <w:lang w:val="en-US" w:eastAsia="zh-CN"/>
                    </w:rPr>
                    <w:t>符合</w:t>
                  </w:r>
                </w:p>
              </w:tc>
            </w:tr>
            <w:tr w14:paraId="0714E9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461" w:type="pct"/>
                  <w:vMerge w:val="continue"/>
                  <w:tcBorders>
                    <w:tl2br w:val="nil"/>
                    <w:tr2bl w:val="nil"/>
                  </w:tcBorders>
                  <w:vAlign w:val="center"/>
                </w:tcPr>
                <w:p w14:paraId="5DA930F1">
                  <w:pPr>
                    <w:bidi w:val="0"/>
                    <w:jc w:val="center"/>
                    <w:rPr>
                      <w:rFonts w:hint="default"/>
                      <w:color w:val="auto"/>
                      <w:lang w:val="en-US" w:eastAsia="zh-CN"/>
                    </w:rPr>
                  </w:pPr>
                </w:p>
              </w:tc>
              <w:tc>
                <w:tcPr>
                  <w:tcW w:w="2477" w:type="pct"/>
                  <w:tcBorders>
                    <w:tl2br w:val="nil"/>
                    <w:tr2bl w:val="nil"/>
                  </w:tcBorders>
                  <w:vAlign w:val="center"/>
                </w:tcPr>
                <w:p w14:paraId="7436FA98">
                  <w:pPr>
                    <w:pStyle w:val="37"/>
                    <w:bidi w:val="0"/>
                    <w:rPr>
                      <w:rFonts w:hint="default"/>
                      <w:color w:val="auto"/>
                      <w:lang w:val="en-US" w:eastAsia="zh-CN"/>
                    </w:rPr>
                  </w:pPr>
                  <w:r>
                    <w:rPr>
                      <w:rFonts w:hint="default"/>
                      <w:color w:val="auto"/>
                      <w:lang w:val="en-US" w:eastAsia="zh-CN"/>
                    </w:rPr>
                    <w:t>到2025年，全市农村生活污水治理率达到40%以上，城乡生活垃圾焚烧处理比重达90%以上，全市农村卫生户厕覆盖率达到70%以上，农膜回收率达到90%以上，秸秆综合利用率稳定在90%以上，畜禽粪污综合利用率达到95%以上</w:t>
                  </w:r>
                  <w:r>
                    <w:rPr>
                      <w:rFonts w:hint="eastAsia"/>
                      <w:color w:val="auto"/>
                      <w:lang w:val="en-US" w:eastAsia="zh-CN"/>
                    </w:rPr>
                    <w:t>；</w:t>
                  </w:r>
                  <w:r>
                    <w:rPr>
                      <w:rFonts w:hint="default"/>
                      <w:color w:val="auto"/>
                      <w:lang w:val="en-US" w:eastAsia="zh-CN"/>
                    </w:rPr>
                    <w:t>基本实现化肥农药施用量减少3%以上。</w:t>
                  </w:r>
                </w:p>
              </w:tc>
              <w:tc>
                <w:tcPr>
                  <w:tcW w:w="1602" w:type="pct"/>
                  <w:tcBorders>
                    <w:tl2br w:val="nil"/>
                    <w:tr2bl w:val="nil"/>
                  </w:tcBorders>
                  <w:vAlign w:val="center"/>
                </w:tcPr>
                <w:p w14:paraId="6CF9D9F1">
                  <w:pPr>
                    <w:pStyle w:val="37"/>
                    <w:bidi w:val="0"/>
                    <w:rPr>
                      <w:rFonts w:hint="default"/>
                      <w:color w:val="auto"/>
                      <w:lang w:val="en-US" w:eastAsia="zh-CN"/>
                    </w:rPr>
                  </w:pPr>
                  <w:r>
                    <w:rPr>
                      <w:rFonts w:hint="eastAsia"/>
                      <w:color w:val="auto"/>
                      <w:lang w:val="en-US" w:eastAsia="zh-CN"/>
                    </w:rPr>
                    <w:t>项目施工期施工废水回用于洒水降尘，生活污水收集后回用于农田，不外排；运营期依托西泽风电场一期现有运维人员，污水处置后回用厂区绿化，不外排。项目施工期施工人员生活垃圾依托升压站和周边垃圾收集点收运处置；运营期依托现有升压站现有垃圾收集处置措施。</w:t>
                  </w:r>
                </w:p>
              </w:tc>
              <w:tc>
                <w:tcPr>
                  <w:tcW w:w="458" w:type="pct"/>
                  <w:tcBorders>
                    <w:tl2br w:val="nil"/>
                    <w:tr2bl w:val="nil"/>
                  </w:tcBorders>
                  <w:vAlign w:val="center"/>
                </w:tcPr>
                <w:p w14:paraId="55D68C45">
                  <w:pPr>
                    <w:pStyle w:val="37"/>
                    <w:bidi w:val="0"/>
                    <w:rPr>
                      <w:rFonts w:hint="default"/>
                      <w:color w:val="auto"/>
                      <w:lang w:val="en-US" w:eastAsia="zh-CN"/>
                    </w:rPr>
                  </w:pPr>
                  <w:r>
                    <w:rPr>
                      <w:rFonts w:hint="eastAsia"/>
                      <w:color w:val="auto"/>
                      <w:lang w:val="en-US" w:eastAsia="zh-CN"/>
                    </w:rPr>
                    <w:t>符合</w:t>
                  </w:r>
                </w:p>
              </w:tc>
            </w:tr>
            <w:tr w14:paraId="65ADE8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461" w:type="pct"/>
                  <w:vMerge w:val="continue"/>
                  <w:tcBorders>
                    <w:tl2br w:val="nil"/>
                    <w:tr2bl w:val="nil"/>
                  </w:tcBorders>
                  <w:vAlign w:val="center"/>
                </w:tcPr>
                <w:p w14:paraId="6EB9E046">
                  <w:pPr>
                    <w:bidi w:val="0"/>
                    <w:jc w:val="center"/>
                    <w:rPr>
                      <w:rFonts w:hint="default"/>
                      <w:color w:val="auto"/>
                      <w:lang w:val="en-US" w:eastAsia="zh-CN"/>
                    </w:rPr>
                  </w:pPr>
                </w:p>
              </w:tc>
              <w:tc>
                <w:tcPr>
                  <w:tcW w:w="2477" w:type="pct"/>
                  <w:tcBorders>
                    <w:tl2br w:val="nil"/>
                    <w:tr2bl w:val="nil"/>
                  </w:tcBorders>
                  <w:vAlign w:val="center"/>
                </w:tcPr>
                <w:p w14:paraId="4D01AEA7">
                  <w:pPr>
                    <w:pStyle w:val="37"/>
                    <w:bidi w:val="0"/>
                    <w:rPr>
                      <w:rFonts w:hint="default"/>
                      <w:color w:val="auto"/>
                      <w:lang w:val="en-US" w:eastAsia="zh-CN"/>
                    </w:rPr>
                  </w:pPr>
                  <w:r>
                    <w:rPr>
                      <w:rFonts w:hint="default"/>
                      <w:color w:val="auto"/>
                      <w:lang w:val="en-US" w:eastAsia="zh-CN"/>
                    </w:rPr>
                    <w:t>严把新建、改扩建涉重金属重点行业建设项目审批关，切实降低区域重金属排放总量。会泽县新、改、扩建涉重金属重点行业建设项目重点重金属污染物排放遵循“减量替代”原则，替代比例不低于1.2:1</w:t>
                  </w:r>
                  <w:r>
                    <w:rPr>
                      <w:rFonts w:hint="eastAsia"/>
                      <w:color w:val="auto"/>
                      <w:lang w:val="en-US" w:eastAsia="zh-CN"/>
                    </w:rPr>
                    <w:t>；</w:t>
                  </w:r>
                  <w:r>
                    <w:rPr>
                      <w:rFonts w:hint="default"/>
                      <w:color w:val="auto"/>
                      <w:lang w:val="en-US" w:eastAsia="zh-CN"/>
                    </w:rPr>
                    <w:t>其他县(市、区)遵循“等量替代”原则。</w:t>
                  </w:r>
                </w:p>
              </w:tc>
              <w:tc>
                <w:tcPr>
                  <w:tcW w:w="1602" w:type="pct"/>
                  <w:tcBorders>
                    <w:tl2br w:val="nil"/>
                    <w:tr2bl w:val="nil"/>
                  </w:tcBorders>
                  <w:vAlign w:val="center"/>
                </w:tcPr>
                <w:p w14:paraId="0E67A200">
                  <w:pPr>
                    <w:pStyle w:val="37"/>
                    <w:bidi w:val="0"/>
                    <w:rPr>
                      <w:rFonts w:hint="default"/>
                      <w:color w:val="auto"/>
                      <w:lang w:val="en-US" w:eastAsia="zh-CN"/>
                    </w:rPr>
                  </w:pPr>
                  <w:r>
                    <w:rPr>
                      <w:rFonts w:hint="eastAsia"/>
                      <w:color w:val="auto"/>
                      <w:lang w:val="en-US" w:eastAsia="zh-CN"/>
                    </w:rPr>
                    <w:t>项目不属于</w:t>
                  </w:r>
                  <w:r>
                    <w:rPr>
                      <w:rFonts w:hint="default"/>
                      <w:color w:val="auto"/>
                      <w:lang w:val="en-US" w:eastAsia="zh-CN"/>
                    </w:rPr>
                    <w:t>重金属重点行业建设项目</w:t>
                  </w:r>
                  <w:r>
                    <w:rPr>
                      <w:rFonts w:hint="eastAsia"/>
                      <w:color w:val="auto"/>
                      <w:lang w:val="en-US" w:eastAsia="zh-CN"/>
                    </w:rPr>
                    <w:t>。</w:t>
                  </w:r>
                </w:p>
              </w:tc>
              <w:tc>
                <w:tcPr>
                  <w:tcW w:w="458" w:type="pct"/>
                  <w:tcBorders>
                    <w:tl2br w:val="nil"/>
                    <w:tr2bl w:val="nil"/>
                  </w:tcBorders>
                  <w:vAlign w:val="center"/>
                </w:tcPr>
                <w:p w14:paraId="4A08A799">
                  <w:pPr>
                    <w:pStyle w:val="37"/>
                    <w:bidi w:val="0"/>
                    <w:rPr>
                      <w:rFonts w:hint="default"/>
                      <w:color w:val="auto"/>
                      <w:lang w:val="en-US" w:eastAsia="zh-CN"/>
                    </w:rPr>
                  </w:pPr>
                  <w:r>
                    <w:rPr>
                      <w:rFonts w:hint="eastAsia"/>
                      <w:color w:val="auto"/>
                      <w:lang w:val="en-US" w:eastAsia="zh-CN"/>
                    </w:rPr>
                    <w:t>符合</w:t>
                  </w:r>
                </w:p>
              </w:tc>
            </w:tr>
            <w:tr w14:paraId="62F58C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461" w:type="pct"/>
                  <w:vMerge w:val="continue"/>
                  <w:tcBorders>
                    <w:tl2br w:val="nil"/>
                    <w:tr2bl w:val="nil"/>
                  </w:tcBorders>
                  <w:vAlign w:val="center"/>
                </w:tcPr>
                <w:p w14:paraId="3D62EFF3">
                  <w:pPr>
                    <w:bidi w:val="0"/>
                    <w:jc w:val="center"/>
                    <w:rPr>
                      <w:rFonts w:hint="default"/>
                      <w:color w:val="auto"/>
                      <w:lang w:val="en-US" w:eastAsia="zh-CN"/>
                    </w:rPr>
                  </w:pPr>
                </w:p>
              </w:tc>
              <w:tc>
                <w:tcPr>
                  <w:tcW w:w="2477" w:type="pct"/>
                  <w:tcBorders>
                    <w:tl2br w:val="nil"/>
                    <w:tr2bl w:val="nil"/>
                  </w:tcBorders>
                  <w:vAlign w:val="center"/>
                </w:tcPr>
                <w:p w14:paraId="74B97D74">
                  <w:pPr>
                    <w:pStyle w:val="37"/>
                    <w:bidi w:val="0"/>
                    <w:rPr>
                      <w:rFonts w:hint="default"/>
                      <w:color w:val="auto"/>
                      <w:lang w:val="en-US" w:eastAsia="zh-CN"/>
                    </w:rPr>
                  </w:pPr>
                  <w:r>
                    <w:rPr>
                      <w:rFonts w:hint="default"/>
                      <w:color w:val="auto"/>
                      <w:lang w:val="en-US" w:eastAsia="zh-CN"/>
                    </w:rPr>
                    <w:t>到2025年，曲靖市重点行业重点重金属污染物排放量比2020年下降6%。</w:t>
                  </w:r>
                </w:p>
              </w:tc>
              <w:tc>
                <w:tcPr>
                  <w:tcW w:w="1602" w:type="pct"/>
                  <w:tcBorders>
                    <w:tl2br w:val="nil"/>
                    <w:tr2bl w:val="nil"/>
                  </w:tcBorders>
                  <w:vAlign w:val="center"/>
                </w:tcPr>
                <w:p w14:paraId="400E7A35">
                  <w:pPr>
                    <w:pStyle w:val="37"/>
                    <w:bidi w:val="0"/>
                    <w:rPr>
                      <w:rFonts w:hint="default"/>
                      <w:color w:val="auto"/>
                      <w:lang w:val="en-US" w:eastAsia="zh-CN"/>
                    </w:rPr>
                  </w:pPr>
                  <w:r>
                    <w:rPr>
                      <w:rFonts w:hint="eastAsia"/>
                      <w:color w:val="auto"/>
                      <w:lang w:val="en-US" w:eastAsia="zh-CN"/>
                    </w:rPr>
                    <w:t>项目不涉及</w:t>
                  </w:r>
                  <w:r>
                    <w:rPr>
                      <w:rFonts w:hint="default"/>
                      <w:color w:val="auto"/>
                      <w:lang w:val="en-US" w:eastAsia="zh-CN"/>
                    </w:rPr>
                    <w:t>曲靖市重点行业重点重金属污染物排放</w:t>
                  </w:r>
                  <w:r>
                    <w:rPr>
                      <w:rFonts w:hint="eastAsia"/>
                      <w:color w:val="auto"/>
                      <w:lang w:val="en-US" w:eastAsia="zh-CN"/>
                    </w:rPr>
                    <w:t>。</w:t>
                  </w:r>
                </w:p>
              </w:tc>
              <w:tc>
                <w:tcPr>
                  <w:tcW w:w="458" w:type="pct"/>
                  <w:tcBorders>
                    <w:tl2br w:val="nil"/>
                    <w:tr2bl w:val="nil"/>
                  </w:tcBorders>
                  <w:vAlign w:val="center"/>
                </w:tcPr>
                <w:p w14:paraId="37BA55E7">
                  <w:pPr>
                    <w:pStyle w:val="37"/>
                    <w:bidi w:val="0"/>
                    <w:rPr>
                      <w:rFonts w:hint="default"/>
                      <w:color w:val="auto"/>
                      <w:lang w:val="en-US" w:eastAsia="zh-CN"/>
                    </w:rPr>
                  </w:pPr>
                  <w:r>
                    <w:rPr>
                      <w:rFonts w:hint="eastAsia"/>
                      <w:color w:val="auto"/>
                      <w:lang w:val="en-US" w:eastAsia="zh-CN"/>
                    </w:rPr>
                    <w:t>符合</w:t>
                  </w:r>
                </w:p>
              </w:tc>
            </w:tr>
            <w:tr w14:paraId="4ABF2C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983" w:hRule="atLeast"/>
                <w:jc w:val="center"/>
              </w:trPr>
              <w:tc>
                <w:tcPr>
                  <w:tcW w:w="461" w:type="pct"/>
                  <w:vMerge w:val="continue"/>
                  <w:tcBorders>
                    <w:tl2br w:val="nil"/>
                    <w:tr2bl w:val="nil"/>
                  </w:tcBorders>
                  <w:vAlign w:val="center"/>
                </w:tcPr>
                <w:p w14:paraId="01226A29">
                  <w:pPr>
                    <w:bidi w:val="0"/>
                    <w:jc w:val="center"/>
                    <w:rPr>
                      <w:rFonts w:hint="default"/>
                      <w:color w:val="auto"/>
                      <w:lang w:val="en-US" w:eastAsia="zh-CN"/>
                    </w:rPr>
                  </w:pPr>
                </w:p>
              </w:tc>
              <w:tc>
                <w:tcPr>
                  <w:tcW w:w="2477" w:type="pct"/>
                  <w:tcBorders>
                    <w:tl2br w:val="nil"/>
                    <w:tr2bl w:val="nil"/>
                  </w:tcBorders>
                  <w:vAlign w:val="center"/>
                </w:tcPr>
                <w:p w14:paraId="6D4E5F4B">
                  <w:pPr>
                    <w:pStyle w:val="37"/>
                    <w:bidi w:val="0"/>
                    <w:rPr>
                      <w:rFonts w:hint="default"/>
                      <w:color w:val="auto"/>
                      <w:lang w:val="en-US" w:eastAsia="zh-CN"/>
                    </w:rPr>
                  </w:pPr>
                  <w:r>
                    <w:rPr>
                      <w:rFonts w:hint="default"/>
                      <w:color w:val="auto"/>
                      <w:lang w:val="en-US" w:eastAsia="zh-CN"/>
                    </w:rPr>
                    <w:t>到2025年，全市化学需氧量、氨氮、氮氧化物、挥发性有机物排放总量等重点工程减排量分别达到7984吨、496吨、3611吨、1181吨。</w:t>
                  </w:r>
                </w:p>
              </w:tc>
              <w:tc>
                <w:tcPr>
                  <w:tcW w:w="1602" w:type="pct"/>
                  <w:tcBorders>
                    <w:tl2br w:val="nil"/>
                    <w:tr2bl w:val="nil"/>
                  </w:tcBorders>
                  <w:vAlign w:val="center"/>
                </w:tcPr>
                <w:p w14:paraId="6738B0EF">
                  <w:pPr>
                    <w:pStyle w:val="37"/>
                    <w:bidi w:val="0"/>
                    <w:rPr>
                      <w:rFonts w:hint="default"/>
                      <w:color w:val="auto"/>
                      <w:lang w:val="en-US" w:eastAsia="zh-CN"/>
                    </w:rPr>
                  </w:pPr>
                  <w:r>
                    <w:rPr>
                      <w:rFonts w:hint="eastAsia"/>
                      <w:color w:val="auto"/>
                      <w:lang w:val="en-US" w:eastAsia="zh-CN"/>
                    </w:rPr>
                    <w:t>项目施工期施工废水回用于洒水降尘，生活污水收集后回用于农田，不外排；运营期依托西泽风电场一期现有运维人员，污水处置后回用厂区绿化，不外排。</w:t>
                  </w:r>
                </w:p>
              </w:tc>
              <w:tc>
                <w:tcPr>
                  <w:tcW w:w="458" w:type="pct"/>
                  <w:tcBorders>
                    <w:tl2br w:val="nil"/>
                    <w:tr2bl w:val="nil"/>
                  </w:tcBorders>
                  <w:vAlign w:val="center"/>
                </w:tcPr>
                <w:p w14:paraId="332A37C0">
                  <w:pPr>
                    <w:pStyle w:val="37"/>
                    <w:bidi w:val="0"/>
                    <w:rPr>
                      <w:rFonts w:hint="default"/>
                      <w:color w:val="auto"/>
                      <w:lang w:val="en-US" w:eastAsia="zh-CN"/>
                    </w:rPr>
                  </w:pPr>
                  <w:r>
                    <w:rPr>
                      <w:rFonts w:hint="eastAsia"/>
                      <w:color w:val="auto"/>
                      <w:lang w:val="en-US" w:eastAsia="zh-CN"/>
                    </w:rPr>
                    <w:t>符合</w:t>
                  </w:r>
                </w:p>
              </w:tc>
            </w:tr>
            <w:tr w14:paraId="25A87F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461" w:type="pct"/>
                  <w:vMerge w:val="restart"/>
                  <w:tcBorders>
                    <w:tl2br w:val="nil"/>
                    <w:tr2bl w:val="nil"/>
                  </w:tcBorders>
                  <w:vAlign w:val="center"/>
                </w:tcPr>
                <w:p w14:paraId="1D28FCA9">
                  <w:pPr>
                    <w:pStyle w:val="37"/>
                    <w:bidi w:val="0"/>
                    <w:rPr>
                      <w:rFonts w:hint="default"/>
                      <w:color w:val="auto"/>
                      <w:lang w:val="en-US" w:eastAsia="zh-CN"/>
                    </w:rPr>
                  </w:pPr>
                  <w:r>
                    <w:rPr>
                      <w:color w:val="auto"/>
                    </w:rPr>
                    <w:t>环境风险防控</w:t>
                  </w:r>
                </w:p>
              </w:tc>
              <w:tc>
                <w:tcPr>
                  <w:tcW w:w="2477" w:type="pct"/>
                  <w:tcBorders>
                    <w:tl2br w:val="nil"/>
                    <w:tr2bl w:val="nil"/>
                  </w:tcBorders>
                  <w:vAlign w:val="center"/>
                </w:tcPr>
                <w:p w14:paraId="2A1E4AD6">
                  <w:pPr>
                    <w:pStyle w:val="37"/>
                    <w:bidi w:val="0"/>
                    <w:rPr>
                      <w:rFonts w:hint="default"/>
                      <w:color w:val="auto"/>
                      <w:lang w:val="en-US" w:eastAsia="zh-CN"/>
                    </w:rPr>
                  </w:pPr>
                  <w:r>
                    <w:rPr>
                      <w:color w:val="auto"/>
                    </w:rPr>
                    <w:t>以南盘江、北盘江、牛栏江流域为重点，定期开展流域工业企业、工业集聚区环境风险评估，落实防控措施。</w:t>
                  </w:r>
                </w:p>
              </w:tc>
              <w:tc>
                <w:tcPr>
                  <w:tcW w:w="1602" w:type="pct"/>
                  <w:tcBorders>
                    <w:tl2br w:val="nil"/>
                    <w:tr2bl w:val="nil"/>
                  </w:tcBorders>
                  <w:vAlign w:val="center"/>
                </w:tcPr>
                <w:p w14:paraId="6C1B166D">
                  <w:pPr>
                    <w:pStyle w:val="37"/>
                    <w:bidi w:val="0"/>
                    <w:rPr>
                      <w:rFonts w:hint="default"/>
                      <w:color w:val="auto"/>
                      <w:lang w:val="en-US" w:eastAsia="zh-CN"/>
                    </w:rPr>
                  </w:pPr>
                  <w:r>
                    <w:rPr>
                      <w:rFonts w:hint="eastAsia"/>
                      <w:color w:val="auto"/>
                      <w:lang w:val="en-US" w:eastAsia="zh-CN"/>
                    </w:rPr>
                    <w:t>环评要求，建设单位制定《环境风险事故应急预案》并定期演练，降低事故风险影响。</w:t>
                  </w:r>
                </w:p>
              </w:tc>
              <w:tc>
                <w:tcPr>
                  <w:tcW w:w="458" w:type="pct"/>
                  <w:tcBorders>
                    <w:tl2br w:val="nil"/>
                    <w:tr2bl w:val="nil"/>
                  </w:tcBorders>
                  <w:vAlign w:val="center"/>
                </w:tcPr>
                <w:p w14:paraId="1A45B30D">
                  <w:pPr>
                    <w:pStyle w:val="37"/>
                    <w:bidi w:val="0"/>
                    <w:rPr>
                      <w:rFonts w:hint="default"/>
                      <w:color w:val="auto"/>
                      <w:lang w:val="en-US" w:eastAsia="zh-CN"/>
                    </w:rPr>
                  </w:pPr>
                  <w:r>
                    <w:rPr>
                      <w:rFonts w:hint="eastAsia"/>
                      <w:color w:val="auto"/>
                      <w:lang w:val="en-US" w:eastAsia="zh-CN"/>
                    </w:rPr>
                    <w:t>符合</w:t>
                  </w:r>
                </w:p>
              </w:tc>
            </w:tr>
            <w:tr w14:paraId="4EE183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461" w:type="pct"/>
                  <w:vMerge w:val="continue"/>
                  <w:tcBorders>
                    <w:tl2br w:val="nil"/>
                    <w:tr2bl w:val="nil"/>
                  </w:tcBorders>
                  <w:vAlign w:val="center"/>
                </w:tcPr>
                <w:p w14:paraId="63F350F0">
                  <w:pPr>
                    <w:bidi w:val="0"/>
                    <w:jc w:val="center"/>
                    <w:rPr>
                      <w:color w:val="auto"/>
                    </w:rPr>
                  </w:pPr>
                </w:p>
              </w:tc>
              <w:tc>
                <w:tcPr>
                  <w:tcW w:w="2477" w:type="pct"/>
                  <w:tcBorders>
                    <w:tl2br w:val="nil"/>
                    <w:tr2bl w:val="nil"/>
                  </w:tcBorders>
                  <w:vAlign w:val="center"/>
                </w:tcPr>
                <w:p w14:paraId="3B630610">
                  <w:pPr>
                    <w:pStyle w:val="37"/>
                    <w:bidi w:val="0"/>
                    <w:rPr>
                      <w:color w:val="auto"/>
                    </w:rPr>
                  </w:pPr>
                  <w:r>
                    <w:rPr>
                      <w:color w:val="auto"/>
                    </w:rPr>
                    <w:t>开展麒沾马区域大气污染联防联控，逐步推行区域统一规划，统一监测，实行协同的环境准入、落后产能淘汰、机动车环境管理政策和考核评估制度。</w:t>
                  </w:r>
                </w:p>
              </w:tc>
              <w:tc>
                <w:tcPr>
                  <w:tcW w:w="1602" w:type="pct"/>
                  <w:tcBorders>
                    <w:tl2br w:val="nil"/>
                    <w:tr2bl w:val="nil"/>
                  </w:tcBorders>
                  <w:vAlign w:val="center"/>
                </w:tcPr>
                <w:p w14:paraId="7407014B">
                  <w:pPr>
                    <w:pStyle w:val="37"/>
                    <w:bidi w:val="0"/>
                    <w:rPr>
                      <w:rFonts w:hint="eastAsia"/>
                      <w:color w:val="auto"/>
                      <w:lang w:val="en-US" w:eastAsia="zh-CN"/>
                    </w:rPr>
                  </w:pPr>
                  <w:r>
                    <w:rPr>
                      <w:rFonts w:hint="eastAsia"/>
                      <w:color w:val="auto"/>
                      <w:lang w:val="en-US" w:eastAsia="zh-CN"/>
                    </w:rPr>
                    <w:t>项目位于宣威市热水镇，不涉及</w:t>
                  </w:r>
                  <w:r>
                    <w:rPr>
                      <w:color w:val="auto"/>
                    </w:rPr>
                    <w:t>麒沾马区域</w:t>
                  </w:r>
                  <w:r>
                    <w:rPr>
                      <w:rFonts w:hint="eastAsia"/>
                      <w:color w:val="auto"/>
                      <w:lang w:eastAsia="zh-CN"/>
                    </w:rPr>
                    <w:t>。</w:t>
                  </w:r>
                </w:p>
              </w:tc>
              <w:tc>
                <w:tcPr>
                  <w:tcW w:w="458" w:type="pct"/>
                  <w:tcBorders>
                    <w:tl2br w:val="nil"/>
                    <w:tr2bl w:val="nil"/>
                  </w:tcBorders>
                  <w:vAlign w:val="center"/>
                </w:tcPr>
                <w:p w14:paraId="19F5D676">
                  <w:pPr>
                    <w:pStyle w:val="37"/>
                    <w:bidi w:val="0"/>
                    <w:rPr>
                      <w:rFonts w:hint="default"/>
                      <w:color w:val="auto"/>
                      <w:lang w:val="en-US" w:eastAsia="zh-CN"/>
                    </w:rPr>
                  </w:pPr>
                  <w:r>
                    <w:rPr>
                      <w:rFonts w:hint="eastAsia"/>
                      <w:color w:val="auto"/>
                      <w:lang w:val="en-US" w:eastAsia="zh-CN"/>
                    </w:rPr>
                    <w:t>符合</w:t>
                  </w:r>
                </w:p>
              </w:tc>
            </w:tr>
            <w:tr w14:paraId="7027E0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461" w:type="pct"/>
                  <w:vMerge w:val="continue"/>
                  <w:tcBorders>
                    <w:tl2br w:val="nil"/>
                    <w:tr2bl w:val="nil"/>
                  </w:tcBorders>
                  <w:vAlign w:val="center"/>
                </w:tcPr>
                <w:p w14:paraId="0B5373BB">
                  <w:pPr>
                    <w:bidi w:val="0"/>
                    <w:jc w:val="center"/>
                    <w:rPr>
                      <w:color w:val="auto"/>
                    </w:rPr>
                  </w:pPr>
                </w:p>
              </w:tc>
              <w:tc>
                <w:tcPr>
                  <w:tcW w:w="2477" w:type="pct"/>
                  <w:tcBorders>
                    <w:tl2br w:val="nil"/>
                    <w:tr2bl w:val="nil"/>
                  </w:tcBorders>
                  <w:vAlign w:val="center"/>
                </w:tcPr>
                <w:p w14:paraId="7F55E7AA">
                  <w:pPr>
                    <w:pStyle w:val="37"/>
                    <w:bidi w:val="0"/>
                    <w:rPr>
                      <w:color w:val="auto"/>
                    </w:rPr>
                  </w:pPr>
                  <w:r>
                    <w:rPr>
                      <w:color w:val="auto"/>
                    </w:rPr>
                    <w:t>强化与昆明跨流域上下游突发水污染事件联防联控，与贵州省六盘水珠江流域生态环境执法与应急联防联动。</w:t>
                  </w:r>
                </w:p>
              </w:tc>
              <w:tc>
                <w:tcPr>
                  <w:tcW w:w="1602" w:type="pct"/>
                  <w:tcBorders>
                    <w:tl2br w:val="nil"/>
                    <w:tr2bl w:val="nil"/>
                  </w:tcBorders>
                  <w:vAlign w:val="center"/>
                </w:tcPr>
                <w:p w14:paraId="2C2F8ED5">
                  <w:pPr>
                    <w:pStyle w:val="37"/>
                    <w:bidi w:val="0"/>
                    <w:rPr>
                      <w:rFonts w:hint="default"/>
                      <w:color w:val="auto"/>
                      <w:lang w:val="en-US" w:eastAsia="zh-CN"/>
                    </w:rPr>
                  </w:pPr>
                  <w:r>
                    <w:rPr>
                      <w:rFonts w:hint="eastAsia"/>
                      <w:color w:val="auto"/>
                      <w:lang w:val="en-US" w:eastAsia="zh-CN"/>
                    </w:rPr>
                    <w:t>本项目不涉及。</w:t>
                  </w:r>
                </w:p>
              </w:tc>
              <w:tc>
                <w:tcPr>
                  <w:tcW w:w="458" w:type="pct"/>
                  <w:tcBorders>
                    <w:tl2br w:val="nil"/>
                    <w:tr2bl w:val="nil"/>
                  </w:tcBorders>
                  <w:vAlign w:val="center"/>
                </w:tcPr>
                <w:p w14:paraId="415B66DE">
                  <w:pPr>
                    <w:pStyle w:val="37"/>
                    <w:bidi w:val="0"/>
                    <w:rPr>
                      <w:rFonts w:hint="default"/>
                      <w:color w:val="auto"/>
                      <w:lang w:val="en-US" w:eastAsia="zh-CN"/>
                    </w:rPr>
                  </w:pPr>
                  <w:r>
                    <w:rPr>
                      <w:rFonts w:hint="eastAsia"/>
                      <w:color w:val="auto"/>
                      <w:lang w:val="en-US" w:eastAsia="zh-CN"/>
                    </w:rPr>
                    <w:t>符合</w:t>
                  </w:r>
                </w:p>
              </w:tc>
            </w:tr>
            <w:tr w14:paraId="514F04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461" w:type="pct"/>
                  <w:vMerge w:val="continue"/>
                  <w:tcBorders>
                    <w:tl2br w:val="nil"/>
                    <w:tr2bl w:val="nil"/>
                  </w:tcBorders>
                  <w:vAlign w:val="center"/>
                </w:tcPr>
                <w:p w14:paraId="607AFACF">
                  <w:pPr>
                    <w:bidi w:val="0"/>
                    <w:jc w:val="center"/>
                    <w:rPr>
                      <w:color w:val="auto"/>
                    </w:rPr>
                  </w:pPr>
                </w:p>
              </w:tc>
              <w:tc>
                <w:tcPr>
                  <w:tcW w:w="2477" w:type="pct"/>
                  <w:tcBorders>
                    <w:tl2br w:val="nil"/>
                    <w:tr2bl w:val="nil"/>
                  </w:tcBorders>
                  <w:vAlign w:val="center"/>
                </w:tcPr>
                <w:p w14:paraId="6DAFB079">
                  <w:pPr>
                    <w:pStyle w:val="37"/>
                    <w:bidi w:val="0"/>
                    <w:rPr>
                      <w:color w:val="auto"/>
                    </w:rPr>
                  </w:pPr>
                  <w:r>
                    <w:rPr>
                      <w:color w:val="auto"/>
                    </w:rPr>
                    <w:t>强化大气污染分区分时分类差异化精细化协同管控，加强监测预警应急能力建设，及时采取差异化管控措施。</w:t>
                  </w:r>
                </w:p>
              </w:tc>
              <w:tc>
                <w:tcPr>
                  <w:tcW w:w="1602" w:type="pct"/>
                  <w:tcBorders>
                    <w:tl2br w:val="nil"/>
                    <w:tr2bl w:val="nil"/>
                  </w:tcBorders>
                  <w:vAlign w:val="center"/>
                </w:tcPr>
                <w:p w14:paraId="39EFBF95">
                  <w:pPr>
                    <w:pStyle w:val="37"/>
                    <w:bidi w:val="0"/>
                    <w:rPr>
                      <w:rFonts w:hint="default"/>
                      <w:color w:val="auto"/>
                      <w:lang w:val="en-US" w:eastAsia="zh-CN"/>
                    </w:rPr>
                  </w:pPr>
                  <w:r>
                    <w:rPr>
                      <w:rFonts w:hint="eastAsia"/>
                      <w:color w:val="auto"/>
                      <w:lang w:val="en-US" w:eastAsia="zh-CN"/>
                    </w:rPr>
                    <w:t>本项目不涉及。</w:t>
                  </w:r>
                </w:p>
              </w:tc>
              <w:tc>
                <w:tcPr>
                  <w:tcW w:w="458" w:type="pct"/>
                  <w:tcBorders>
                    <w:tl2br w:val="nil"/>
                    <w:tr2bl w:val="nil"/>
                  </w:tcBorders>
                  <w:vAlign w:val="center"/>
                </w:tcPr>
                <w:p w14:paraId="5715DE0F">
                  <w:pPr>
                    <w:pStyle w:val="37"/>
                    <w:bidi w:val="0"/>
                    <w:rPr>
                      <w:rFonts w:hint="default"/>
                      <w:color w:val="auto"/>
                      <w:lang w:val="en-US" w:eastAsia="zh-CN"/>
                    </w:rPr>
                  </w:pPr>
                  <w:r>
                    <w:rPr>
                      <w:rFonts w:hint="eastAsia"/>
                      <w:color w:val="auto"/>
                      <w:lang w:val="en-US" w:eastAsia="zh-CN"/>
                    </w:rPr>
                    <w:t>符合</w:t>
                  </w:r>
                </w:p>
              </w:tc>
            </w:tr>
            <w:tr w14:paraId="0FB0E8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3" w:hRule="atLeast"/>
                <w:jc w:val="center"/>
              </w:trPr>
              <w:tc>
                <w:tcPr>
                  <w:tcW w:w="461" w:type="pct"/>
                  <w:vMerge w:val="continue"/>
                  <w:tcBorders>
                    <w:tl2br w:val="nil"/>
                    <w:tr2bl w:val="nil"/>
                  </w:tcBorders>
                  <w:vAlign w:val="center"/>
                </w:tcPr>
                <w:p w14:paraId="6956E684">
                  <w:pPr>
                    <w:bidi w:val="0"/>
                    <w:jc w:val="center"/>
                    <w:rPr>
                      <w:color w:val="auto"/>
                    </w:rPr>
                  </w:pPr>
                </w:p>
              </w:tc>
              <w:tc>
                <w:tcPr>
                  <w:tcW w:w="2477" w:type="pct"/>
                  <w:tcBorders>
                    <w:tl2br w:val="nil"/>
                    <w:tr2bl w:val="nil"/>
                  </w:tcBorders>
                  <w:vAlign w:val="center"/>
                </w:tcPr>
                <w:p w14:paraId="6F4C97BE">
                  <w:pPr>
                    <w:pStyle w:val="37"/>
                    <w:bidi w:val="0"/>
                    <w:rPr>
                      <w:color w:val="auto"/>
                    </w:rPr>
                  </w:pPr>
                  <w:r>
                    <w:rPr>
                      <w:color w:val="auto"/>
                    </w:rPr>
                    <w:t>逐步建成全市土壤环境质量监测网络，推进各县（市、区）土壤环境质量监测点位全覆盖；有色金属矿采选、有色金属冶炼、石油加工、化工、农药、焦化、电镀、制革、印染、危险废物处置等行业企业拆除生产设施设备、构筑物和污染治理设施，要事先制定残留污染物清理和安全处置方案。</w:t>
                  </w:r>
                </w:p>
              </w:tc>
              <w:tc>
                <w:tcPr>
                  <w:tcW w:w="1602" w:type="pct"/>
                  <w:tcBorders>
                    <w:tl2br w:val="nil"/>
                    <w:tr2bl w:val="nil"/>
                  </w:tcBorders>
                  <w:vAlign w:val="center"/>
                </w:tcPr>
                <w:p w14:paraId="6489DD48">
                  <w:pPr>
                    <w:pStyle w:val="37"/>
                    <w:bidi w:val="0"/>
                    <w:rPr>
                      <w:rFonts w:hint="default"/>
                      <w:color w:val="auto"/>
                      <w:lang w:val="en-US" w:eastAsia="zh-CN"/>
                    </w:rPr>
                  </w:pPr>
                  <w:r>
                    <w:rPr>
                      <w:rFonts w:hint="eastAsia"/>
                      <w:color w:val="auto"/>
                      <w:lang w:val="en-US" w:eastAsia="zh-CN"/>
                    </w:rPr>
                    <w:t>本项目不涉及。</w:t>
                  </w:r>
                </w:p>
              </w:tc>
              <w:tc>
                <w:tcPr>
                  <w:tcW w:w="458" w:type="pct"/>
                  <w:tcBorders>
                    <w:tl2br w:val="nil"/>
                    <w:tr2bl w:val="nil"/>
                  </w:tcBorders>
                  <w:vAlign w:val="center"/>
                </w:tcPr>
                <w:p w14:paraId="53D7FE22">
                  <w:pPr>
                    <w:pStyle w:val="37"/>
                    <w:bidi w:val="0"/>
                    <w:rPr>
                      <w:rFonts w:hint="default"/>
                      <w:color w:val="auto"/>
                      <w:lang w:val="en-US" w:eastAsia="zh-CN"/>
                    </w:rPr>
                  </w:pPr>
                  <w:r>
                    <w:rPr>
                      <w:rFonts w:hint="eastAsia"/>
                      <w:color w:val="auto"/>
                      <w:lang w:val="en-US" w:eastAsia="zh-CN"/>
                    </w:rPr>
                    <w:t>符合</w:t>
                  </w:r>
                </w:p>
              </w:tc>
            </w:tr>
            <w:tr w14:paraId="4571B2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461" w:type="pct"/>
                  <w:vMerge w:val="continue"/>
                  <w:tcBorders>
                    <w:tl2br w:val="nil"/>
                    <w:tr2bl w:val="nil"/>
                  </w:tcBorders>
                  <w:vAlign w:val="center"/>
                </w:tcPr>
                <w:p w14:paraId="3DF4926D">
                  <w:pPr>
                    <w:bidi w:val="0"/>
                    <w:jc w:val="center"/>
                    <w:rPr>
                      <w:color w:val="auto"/>
                    </w:rPr>
                  </w:pPr>
                </w:p>
              </w:tc>
              <w:tc>
                <w:tcPr>
                  <w:tcW w:w="2477" w:type="pct"/>
                  <w:tcBorders>
                    <w:tl2br w:val="nil"/>
                    <w:tr2bl w:val="nil"/>
                  </w:tcBorders>
                  <w:vAlign w:val="center"/>
                </w:tcPr>
                <w:p w14:paraId="4E92BBEA">
                  <w:pPr>
                    <w:pStyle w:val="37"/>
                    <w:bidi w:val="0"/>
                    <w:rPr>
                      <w:color w:val="auto"/>
                    </w:rPr>
                  </w:pPr>
                  <w:r>
                    <w:rPr>
                      <w:color w:val="auto"/>
                    </w:rPr>
                    <w:t>加强环境风险防控和应急管理，制定和完善突发环境事件和饮用水水源地突发环境事件应急预案，加强风险防控和突发环境事件应急处理处置能力。</w:t>
                  </w:r>
                </w:p>
              </w:tc>
              <w:tc>
                <w:tcPr>
                  <w:tcW w:w="1602" w:type="pct"/>
                  <w:tcBorders>
                    <w:tl2br w:val="nil"/>
                    <w:tr2bl w:val="nil"/>
                  </w:tcBorders>
                  <w:vAlign w:val="center"/>
                </w:tcPr>
                <w:p w14:paraId="6C6FFB9C">
                  <w:pPr>
                    <w:pStyle w:val="37"/>
                    <w:bidi w:val="0"/>
                    <w:rPr>
                      <w:rFonts w:hint="default"/>
                      <w:color w:val="auto"/>
                      <w:lang w:val="en-US" w:eastAsia="zh-CN"/>
                    </w:rPr>
                  </w:pPr>
                  <w:r>
                    <w:rPr>
                      <w:rFonts w:hint="eastAsia"/>
                      <w:color w:val="auto"/>
                      <w:lang w:val="en-US" w:eastAsia="zh-CN"/>
                    </w:rPr>
                    <w:t>环评要求，建设单位制定《环境风险事故应急预案》并定期演练，降低事故风险影响。</w:t>
                  </w:r>
                </w:p>
              </w:tc>
              <w:tc>
                <w:tcPr>
                  <w:tcW w:w="458" w:type="pct"/>
                  <w:tcBorders>
                    <w:tl2br w:val="nil"/>
                    <w:tr2bl w:val="nil"/>
                  </w:tcBorders>
                  <w:vAlign w:val="center"/>
                </w:tcPr>
                <w:p w14:paraId="236A8575">
                  <w:pPr>
                    <w:pStyle w:val="37"/>
                    <w:bidi w:val="0"/>
                    <w:rPr>
                      <w:rFonts w:hint="default"/>
                      <w:color w:val="auto"/>
                      <w:lang w:val="en-US" w:eastAsia="zh-CN"/>
                    </w:rPr>
                  </w:pPr>
                  <w:r>
                    <w:rPr>
                      <w:rFonts w:hint="eastAsia"/>
                      <w:color w:val="auto"/>
                      <w:lang w:val="en-US" w:eastAsia="zh-CN"/>
                    </w:rPr>
                    <w:t>符合</w:t>
                  </w:r>
                </w:p>
              </w:tc>
            </w:tr>
            <w:tr w14:paraId="29CBD6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3" w:hRule="atLeast"/>
                <w:jc w:val="center"/>
              </w:trPr>
              <w:tc>
                <w:tcPr>
                  <w:tcW w:w="461" w:type="pct"/>
                  <w:vMerge w:val="continue"/>
                  <w:tcBorders>
                    <w:tl2br w:val="nil"/>
                    <w:tr2bl w:val="nil"/>
                  </w:tcBorders>
                  <w:vAlign w:val="center"/>
                </w:tcPr>
                <w:p w14:paraId="07437445">
                  <w:pPr>
                    <w:bidi w:val="0"/>
                    <w:jc w:val="center"/>
                    <w:rPr>
                      <w:color w:val="auto"/>
                    </w:rPr>
                  </w:pPr>
                </w:p>
              </w:tc>
              <w:tc>
                <w:tcPr>
                  <w:tcW w:w="2477" w:type="pct"/>
                  <w:tcBorders>
                    <w:tl2br w:val="nil"/>
                    <w:tr2bl w:val="nil"/>
                  </w:tcBorders>
                  <w:vAlign w:val="center"/>
                </w:tcPr>
                <w:p w14:paraId="025B3FB3">
                  <w:pPr>
                    <w:pStyle w:val="37"/>
                    <w:bidi w:val="0"/>
                    <w:rPr>
                      <w:color w:val="auto"/>
                    </w:rPr>
                  </w:pPr>
                  <w:r>
                    <w:rPr>
                      <w:color w:val="auto"/>
                    </w:rPr>
                    <w:t>严格管控类农用地，重金属超标区域严禁种植食用农产品；涉重金属、持久性有机物等有毒有害污染物工业企业退出用地，须经评估符合建设用地、农用地土壤环境质量相关要求后，方可用于居住或农业用地。</w:t>
                  </w:r>
                </w:p>
              </w:tc>
              <w:tc>
                <w:tcPr>
                  <w:tcW w:w="1602" w:type="pct"/>
                  <w:tcBorders>
                    <w:tl2br w:val="nil"/>
                    <w:tr2bl w:val="nil"/>
                  </w:tcBorders>
                  <w:vAlign w:val="center"/>
                </w:tcPr>
                <w:p w14:paraId="78FBDE3A">
                  <w:pPr>
                    <w:pStyle w:val="37"/>
                    <w:bidi w:val="0"/>
                    <w:rPr>
                      <w:rFonts w:hint="default"/>
                      <w:color w:val="auto"/>
                      <w:lang w:val="en-US" w:eastAsia="zh-CN"/>
                    </w:rPr>
                  </w:pPr>
                  <w:r>
                    <w:rPr>
                      <w:rFonts w:hint="eastAsia"/>
                      <w:color w:val="auto"/>
                      <w:lang w:val="en-US" w:eastAsia="zh-CN"/>
                    </w:rPr>
                    <w:t>项目永久占地涉及使用农用地0.1596hm</w:t>
                  </w:r>
                  <w:r>
                    <w:rPr>
                      <w:rFonts w:hint="eastAsia"/>
                      <w:color w:val="auto"/>
                      <w:vertAlign w:val="superscript"/>
                      <w:lang w:val="en-US" w:eastAsia="zh-CN"/>
                    </w:rPr>
                    <w:t>2</w:t>
                  </w:r>
                  <w:r>
                    <w:rPr>
                      <w:rFonts w:hint="eastAsia"/>
                      <w:color w:val="auto"/>
                      <w:lang w:val="en-US" w:eastAsia="zh-CN"/>
                    </w:rPr>
                    <w:t>，临时占地涉及使用农用地2.7622hm</w:t>
                  </w:r>
                  <w:r>
                    <w:rPr>
                      <w:rFonts w:hint="eastAsia"/>
                      <w:color w:val="auto"/>
                      <w:vertAlign w:val="superscript"/>
                      <w:lang w:val="en-US" w:eastAsia="zh-CN"/>
                    </w:rPr>
                    <w:t>2</w:t>
                  </w:r>
                  <w:r>
                    <w:rPr>
                      <w:rFonts w:hint="eastAsia"/>
                      <w:color w:val="auto"/>
                      <w:lang w:val="en-US" w:eastAsia="zh-CN"/>
                    </w:rPr>
                    <w:t>，目前项目永久用地已取得《西泽风电场(二期)用地预审证书》，临时占地的用地手续正在办理中。</w:t>
                  </w:r>
                </w:p>
              </w:tc>
              <w:tc>
                <w:tcPr>
                  <w:tcW w:w="458" w:type="pct"/>
                  <w:tcBorders>
                    <w:tl2br w:val="nil"/>
                    <w:tr2bl w:val="nil"/>
                  </w:tcBorders>
                  <w:vAlign w:val="center"/>
                </w:tcPr>
                <w:p w14:paraId="131385BB">
                  <w:pPr>
                    <w:pStyle w:val="37"/>
                    <w:bidi w:val="0"/>
                    <w:rPr>
                      <w:rFonts w:hint="default"/>
                      <w:color w:val="auto"/>
                      <w:lang w:val="en-US" w:eastAsia="zh-CN"/>
                    </w:rPr>
                  </w:pPr>
                  <w:r>
                    <w:rPr>
                      <w:rFonts w:hint="eastAsia"/>
                      <w:color w:val="auto"/>
                      <w:lang w:val="en-US" w:eastAsia="zh-CN"/>
                    </w:rPr>
                    <w:t>符合</w:t>
                  </w:r>
                </w:p>
              </w:tc>
            </w:tr>
            <w:tr w14:paraId="02C0BE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53" w:hRule="atLeast"/>
                <w:jc w:val="center"/>
              </w:trPr>
              <w:tc>
                <w:tcPr>
                  <w:tcW w:w="461" w:type="pct"/>
                  <w:vMerge w:val="continue"/>
                  <w:tcBorders>
                    <w:tl2br w:val="nil"/>
                    <w:tr2bl w:val="nil"/>
                  </w:tcBorders>
                  <w:vAlign w:val="center"/>
                </w:tcPr>
                <w:p w14:paraId="64538AE1">
                  <w:pPr>
                    <w:bidi w:val="0"/>
                    <w:jc w:val="center"/>
                    <w:rPr>
                      <w:color w:val="auto"/>
                    </w:rPr>
                  </w:pPr>
                </w:p>
              </w:tc>
              <w:tc>
                <w:tcPr>
                  <w:tcW w:w="2477" w:type="pct"/>
                  <w:tcBorders>
                    <w:tl2br w:val="nil"/>
                    <w:tr2bl w:val="nil"/>
                  </w:tcBorders>
                  <w:vAlign w:val="center"/>
                </w:tcPr>
                <w:p w14:paraId="54CABB01">
                  <w:pPr>
                    <w:pStyle w:val="37"/>
                    <w:bidi w:val="0"/>
                    <w:rPr>
                      <w:color w:val="auto"/>
                    </w:rPr>
                  </w:pPr>
                  <w:r>
                    <w:rPr>
                      <w:color w:val="auto"/>
                    </w:rPr>
                    <w:t>坚持以水而定、量水而行，统筹生活、生产和生态用水，科学合理配置水资源，保障河湖基本生态用水。确定河流生态需水量，确保河流生态系统功能。通过电站引水闸的调节</w:t>
                  </w:r>
                  <w:r>
                    <w:rPr>
                      <w:rFonts w:hint="eastAsia"/>
                      <w:color w:val="auto"/>
                      <w:lang w:eastAsia="zh-CN"/>
                    </w:rPr>
                    <w:t>，</w:t>
                  </w:r>
                  <w:r>
                    <w:rPr>
                      <w:color w:val="auto"/>
                    </w:rPr>
                    <w:t>最低下泄流量不小于河道所需的最小生态径流，以维持下游生物的最小生态需水，以维持坝下游最小生态需水。</w:t>
                  </w:r>
                </w:p>
              </w:tc>
              <w:tc>
                <w:tcPr>
                  <w:tcW w:w="1602" w:type="pct"/>
                  <w:tcBorders>
                    <w:tl2br w:val="nil"/>
                    <w:tr2bl w:val="nil"/>
                  </w:tcBorders>
                  <w:vAlign w:val="center"/>
                </w:tcPr>
                <w:p w14:paraId="3A764932">
                  <w:pPr>
                    <w:pStyle w:val="37"/>
                    <w:bidi w:val="0"/>
                    <w:rPr>
                      <w:rFonts w:hint="default"/>
                      <w:color w:val="auto"/>
                      <w:lang w:val="en-US" w:eastAsia="zh-CN"/>
                    </w:rPr>
                  </w:pPr>
                  <w:r>
                    <w:rPr>
                      <w:rFonts w:hint="eastAsia"/>
                      <w:color w:val="auto"/>
                      <w:lang w:val="en-US" w:eastAsia="zh-CN"/>
                    </w:rPr>
                    <w:t>本项目不涉及。</w:t>
                  </w:r>
                </w:p>
              </w:tc>
              <w:tc>
                <w:tcPr>
                  <w:tcW w:w="458" w:type="pct"/>
                  <w:tcBorders>
                    <w:tl2br w:val="nil"/>
                    <w:tr2bl w:val="nil"/>
                  </w:tcBorders>
                  <w:vAlign w:val="center"/>
                </w:tcPr>
                <w:p w14:paraId="1B07E640">
                  <w:pPr>
                    <w:pStyle w:val="37"/>
                    <w:bidi w:val="0"/>
                    <w:rPr>
                      <w:rFonts w:hint="default"/>
                      <w:color w:val="auto"/>
                      <w:lang w:val="en-US" w:eastAsia="zh-CN"/>
                    </w:rPr>
                  </w:pPr>
                  <w:r>
                    <w:rPr>
                      <w:rFonts w:hint="eastAsia"/>
                      <w:color w:val="auto"/>
                      <w:lang w:val="en-US" w:eastAsia="zh-CN"/>
                    </w:rPr>
                    <w:t>符合</w:t>
                  </w:r>
                </w:p>
              </w:tc>
            </w:tr>
            <w:tr w14:paraId="1E6683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461" w:type="pct"/>
                  <w:vMerge w:val="continue"/>
                  <w:tcBorders>
                    <w:tl2br w:val="nil"/>
                    <w:tr2bl w:val="nil"/>
                  </w:tcBorders>
                  <w:vAlign w:val="center"/>
                </w:tcPr>
                <w:p w14:paraId="00C2B155">
                  <w:pPr>
                    <w:bidi w:val="0"/>
                    <w:jc w:val="center"/>
                    <w:rPr>
                      <w:color w:val="auto"/>
                    </w:rPr>
                  </w:pPr>
                </w:p>
              </w:tc>
              <w:tc>
                <w:tcPr>
                  <w:tcW w:w="2477" w:type="pct"/>
                  <w:tcBorders>
                    <w:tl2br w:val="nil"/>
                    <w:tr2bl w:val="nil"/>
                  </w:tcBorders>
                  <w:vAlign w:val="center"/>
                </w:tcPr>
                <w:p w14:paraId="1D9D66A9">
                  <w:pPr>
                    <w:pStyle w:val="37"/>
                    <w:bidi w:val="0"/>
                    <w:rPr>
                      <w:color w:val="auto"/>
                    </w:rPr>
                  </w:pPr>
                  <w:r>
                    <w:rPr>
                      <w:color w:val="auto"/>
                    </w:rPr>
                    <w:t>加强南盘江、北盘江、牛栏江等生态流量保障工程建设，合理安排闸坝下泄水量和泄洪时段，维护河湖基本生态用水需求，重点</w:t>
                  </w:r>
                  <w:r>
                    <w:rPr>
                      <w:rFonts w:hint="eastAsia"/>
                      <w:color w:val="auto"/>
                      <w:lang w:eastAsia="zh-CN"/>
                    </w:rPr>
                    <w:t>保障</w:t>
                  </w:r>
                  <w:r>
                    <w:rPr>
                      <w:color w:val="auto"/>
                    </w:rPr>
                    <w:t>生态敏感区生态流量。</w:t>
                  </w:r>
                </w:p>
              </w:tc>
              <w:tc>
                <w:tcPr>
                  <w:tcW w:w="1602" w:type="pct"/>
                  <w:tcBorders>
                    <w:tl2br w:val="nil"/>
                    <w:tr2bl w:val="nil"/>
                  </w:tcBorders>
                  <w:vAlign w:val="center"/>
                </w:tcPr>
                <w:p w14:paraId="49D45B0E">
                  <w:pPr>
                    <w:pStyle w:val="37"/>
                    <w:bidi w:val="0"/>
                    <w:rPr>
                      <w:rFonts w:hint="default"/>
                      <w:color w:val="auto"/>
                      <w:lang w:val="en-US" w:eastAsia="zh-CN"/>
                    </w:rPr>
                  </w:pPr>
                  <w:r>
                    <w:rPr>
                      <w:rFonts w:hint="eastAsia"/>
                      <w:color w:val="auto"/>
                      <w:lang w:val="en-US" w:eastAsia="zh-CN"/>
                    </w:rPr>
                    <w:t>本项目不涉及。</w:t>
                  </w:r>
                </w:p>
              </w:tc>
              <w:tc>
                <w:tcPr>
                  <w:tcW w:w="458" w:type="pct"/>
                  <w:tcBorders>
                    <w:tl2br w:val="nil"/>
                    <w:tr2bl w:val="nil"/>
                  </w:tcBorders>
                  <w:vAlign w:val="center"/>
                </w:tcPr>
                <w:p w14:paraId="6948B3A7">
                  <w:pPr>
                    <w:pStyle w:val="37"/>
                    <w:bidi w:val="0"/>
                    <w:rPr>
                      <w:rFonts w:hint="default"/>
                      <w:color w:val="auto"/>
                      <w:lang w:val="en-US" w:eastAsia="zh-CN"/>
                    </w:rPr>
                  </w:pPr>
                  <w:r>
                    <w:rPr>
                      <w:rFonts w:hint="eastAsia"/>
                      <w:color w:val="auto"/>
                      <w:lang w:val="en-US" w:eastAsia="zh-CN"/>
                    </w:rPr>
                    <w:t>符合</w:t>
                  </w:r>
                </w:p>
              </w:tc>
            </w:tr>
            <w:tr w14:paraId="12B6ED5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65" w:hRule="atLeast"/>
                <w:jc w:val="center"/>
              </w:trPr>
              <w:tc>
                <w:tcPr>
                  <w:tcW w:w="461" w:type="pct"/>
                  <w:vMerge w:val="continue"/>
                  <w:tcBorders>
                    <w:tl2br w:val="nil"/>
                    <w:tr2bl w:val="nil"/>
                  </w:tcBorders>
                  <w:vAlign w:val="center"/>
                </w:tcPr>
                <w:p w14:paraId="72561D39">
                  <w:pPr>
                    <w:bidi w:val="0"/>
                    <w:jc w:val="center"/>
                    <w:rPr>
                      <w:color w:val="auto"/>
                    </w:rPr>
                  </w:pPr>
                </w:p>
              </w:tc>
              <w:tc>
                <w:tcPr>
                  <w:tcW w:w="2477" w:type="pct"/>
                  <w:tcBorders>
                    <w:tl2br w:val="nil"/>
                    <w:tr2bl w:val="nil"/>
                  </w:tcBorders>
                  <w:vAlign w:val="center"/>
                </w:tcPr>
                <w:p w14:paraId="0716EAB5">
                  <w:pPr>
                    <w:pStyle w:val="37"/>
                    <w:bidi w:val="0"/>
                    <w:rPr>
                      <w:color w:val="auto"/>
                    </w:rPr>
                  </w:pPr>
                  <w:r>
                    <w:rPr>
                      <w:color w:val="auto"/>
                    </w:rPr>
                    <w:t>加快建设麒麟区、沾益区、马龙区水系连通工程，形成独木水库—水城水库—潇湘水库—潇湘江等6条生态流量通道，生态流量月保障程度达到90%以上，加强牛栏江流域水资源配置和调度管理，保障公锁、土格樟、黄梨树、黑山河流控制断面和苏斗河水库、金乐水库、长海子水库3个水库控制断面生态基流，确保生态流量泄放，确保德泽水库下泄流量在丰水期和枯水期分别达到16立方米/秒和5.4立方米/秒。</w:t>
                  </w:r>
                </w:p>
              </w:tc>
              <w:tc>
                <w:tcPr>
                  <w:tcW w:w="1602" w:type="pct"/>
                  <w:tcBorders>
                    <w:tl2br w:val="nil"/>
                    <w:tr2bl w:val="nil"/>
                  </w:tcBorders>
                  <w:vAlign w:val="center"/>
                </w:tcPr>
                <w:p w14:paraId="5146B2B8">
                  <w:pPr>
                    <w:pStyle w:val="37"/>
                    <w:bidi w:val="0"/>
                    <w:rPr>
                      <w:rFonts w:hint="default"/>
                      <w:color w:val="auto"/>
                      <w:lang w:val="en-US" w:eastAsia="zh-CN"/>
                    </w:rPr>
                  </w:pPr>
                  <w:r>
                    <w:rPr>
                      <w:rFonts w:hint="eastAsia"/>
                      <w:color w:val="auto"/>
                      <w:lang w:val="en-US" w:eastAsia="zh-CN"/>
                    </w:rPr>
                    <w:t>本项目不涉及。</w:t>
                  </w:r>
                </w:p>
              </w:tc>
              <w:tc>
                <w:tcPr>
                  <w:tcW w:w="458" w:type="pct"/>
                  <w:tcBorders>
                    <w:tl2br w:val="nil"/>
                    <w:tr2bl w:val="nil"/>
                  </w:tcBorders>
                  <w:vAlign w:val="center"/>
                </w:tcPr>
                <w:p w14:paraId="5801790B">
                  <w:pPr>
                    <w:pStyle w:val="37"/>
                    <w:bidi w:val="0"/>
                    <w:rPr>
                      <w:rFonts w:hint="default"/>
                      <w:color w:val="auto"/>
                      <w:lang w:val="en-US" w:eastAsia="zh-CN"/>
                    </w:rPr>
                  </w:pPr>
                  <w:r>
                    <w:rPr>
                      <w:rFonts w:hint="eastAsia"/>
                      <w:color w:val="auto"/>
                      <w:lang w:val="en-US" w:eastAsia="zh-CN"/>
                    </w:rPr>
                    <w:t>符合</w:t>
                  </w:r>
                </w:p>
              </w:tc>
            </w:tr>
            <w:tr w14:paraId="126825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13" w:hRule="atLeast"/>
                <w:jc w:val="center"/>
              </w:trPr>
              <w:tc>
                <w:tcPr>
                  <w:tcW w:w="461" w:type="pct"/>
                  <w:vMerge w:val="continue"/>
                  <w:tcBorders>
                    <w:tl2br w:val="nil"/>
                    <w:tr2bl w:val="nil"/>
                  </w:tcBorders>
                  <w:vAlign w:val="center"/>
                </w:tcPr>
                <w:p w14:paraId="2DC790B0">
                  <w:pPr>
                    <w:bidi w:val="0"/>
                    <w:jc w:val="center"/>
                    <w:rPr>
                      <w:color w:val="auto"/>
                    </w:rPr>
                  </w:pPr>
                </w:p>
              </w:tc>
              <w:tc>
                <w:tcPr>
                  <w:tcW w:w="2477" w:type="pct"/>
                  <w:tcBorders>
                    <w:tl2br w:val="nil"/>
                    <w:tr2bl w:val="nil"/>
                  </w:tcBorders>
                  <w:vAlign w:val="center"/>
                </w:tcPr>
                <w:p w14:paraId="03B7F2A2">
                  <w:pPr>
                    <w:pStyle w:val="37"/>
                    <w:bidi w:val="0"/>
                    <w:rPr>
                      <w:color w:val="auto"/>
                    </w:rPr>
                  </w:pPr>
                  <w:r>
                    <w:rPr>
                      <w:color w:val="auto"/>
                    </w:rPr>
                    <w:t>建立水资源刚性约束制度，实行水资源消耗总量和强度双控，严格实施取水许可和水资源有偿使用制度，强化用水全过程管理，深入抓好工业、城镇、农业等方面用水量控制，严格规范取水许可审批管理。</w:t>
                  </w:r>
                </w:p>
              </w:tc>
              <w:tc>
                <w:tcPr>
                  <w:tcW w:w="1602" w:type="pct"/>
                  <w:tcBorders>
                    <w:tl2br w:val="nil"/>
                    <w:tr2bl w:val="nil"/>
                  </w:tcBorders>
                  <w:vAlign w:val="center"/>
                </w:tcPr>
                <w:p w14:paraId="1BD5D30C">
                  <w:pPr>
                    <w:pStyle w:val="37"/>
                    <w:bidi w:val="0"/>
                    <w:rPr>
                      <w:rFonts w:hint="default"/>
                      <w:color w:val="auto"/>
                      <w:lang w:val="en-US" w:eastAsia="zh-CN"/>
                    </w:rPr>
                  </w:pPr>
                  <w:r>
                    <w:rPr>
                      <w:rFonts w:hint="eastAsia"/>
                      <w:color w:val="auto"/>
                      <w:lang w:val="en-US" w:eastAsia="zh-CN"/>
                    </w:rPr>
                    <w:t>项目施工期和运营期贯彻落实节水要求，尽量使用节水设备，节约用水。</w:t>
                  </w:r>
                </w:p>
              </w:tc>
              <w:tc>
                <w:tcPr>
                  <w:tcW w:w="458" w:type="pct"/>
                  <w:tcBorders>
                    <w:tl2br w:val="nil"/>
                    <w:tr2bl w:val="nil"/>
                  </w:tcBorders>
                  <w:vAlign w:val="center"/>
                </w:tcPr>
                <w:p w14:paraId="4586D0D6">
                  <w:pPr>
                    <w:pStyle w:val="37"/>
                    <w:bidi w:val="0"/>
                    <w:rPr>
                      <w:rFonts w:hint="default"/>
                      <w:color w:val="auto"/>
                      <w:lang w:val="en-US" w:eastAsia="zh-CN"/>
                    </w:rPr>
                  </w:pPr>
                  <w:r>
                    <w:rPr>
                      <w:rFonts w:hint="eastAsia"/>
                      <w:color w:val="auto"/>
                      <w:lang w:val="en-US" w:eastAsia="zh-CN"/>
                    </w:rPr>
                    <w:t>符合</w:t>
                  </w:r>
                </w:p>
              </w:tc>
            </w:tr>
            <w:tr w14:paraId="63DC22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673" w:hRule="atLeast"/>
                <w:jc w:val="center"/>
              </w:trPr>
              <w:tc>
                <w:tcPr>
                  <w:tcW w:w="461" w:type="pct"/>
                  <w:vMerge w:val="continue"/>
                  <w:tcBorders>
                    <w:tl2br w:val="nil"/>
                    <w:tr2bl w:val="nil"/>
                  </w:tcBorders>
                  <w:vAlign w:val="center"/>
                </w:tcPr>
                <w:p w14:paraId="4B815FD7">
                  <w:pPr>
                    <w:bidi w:val="0"/>
                    <w:jc w:val="center"/>
                    <w:rPr>
                      <w:color w:val="auto"/>
                    </w:rPr>
                  </w:pPr>
                </w:p>
              </w:tc>
              <w:tc>
                <w:tcPr>
                  <w:tcW w:w="2477" w:type="pct"/>
                  <w:tcBorders>
                    <w:tl2br w:val="nil"/>
                    <w:tr2bl w:val="nil"/>
                  </w:tcBorders>
                  <w:vAlign w:val="center"/>
                </w:tcPr>
                <w:p w14:paraId="2C032EAC">
                  <w:pPr>
                    <w:pStyle w:val="37"/>
                    <w:bidi w:val="0"/>
                    <w:rPr>
                      <w:color w:val="auto"/>
                    </w:rPr>
                  </w:pPr>
                  <w:r>
                    <w:rPr>
                      <w:color w:val="auto"/>
                    </w:rPr>
                    <w:t>大力推进各县（市、区）农业、工业、城镇节水，扩大曲靖市县域节水型社会比例。强化农业节水，优化农业种植结构，加大农业节水力度，加快实施规模化高效节水灌溉行动。推广和普及田间节水技术，开辟抗旱水源，科学调度抗旱用水。</w:t>
                  </w:r>
                </w:p>
              </w:tc>
              <w:tc>
                <w:tcPr>
                  <w:tcW w:w="1602" w:type="pct"/>
                  <w:tcBorders>
                    <w:tl2br w:val="nil"/>
                    <w:tr2bl w:val="nil"/>
                  </w:tcBorders>
                  <w:vAlign w:val="center"/>
                </w:tcPr>
                <w:p w14:paraId="6F5AF850">
                  <w:pPr>
                    <w:pStyle w:val="37"/>
                    <w:bidi w:val="0"/>
                    <w:rPr>
                      <w:rFonts w:hint="default"/>
                      <w:color w:val="auto"/>
                      <w:lang w:val="en-US" w:eastAsia="zh-CN"/>
                    </w:rPr>
                  </w:pPr>
                  <w:r>
                    <w:rPr>
                      <w:rFonts w:hint="eastAsia"/>
                      <w:color w:val="auto"/>
                      <w:lang w:val="en-US" w:eastAsia="zh-CN"/>
                    </w:rPr>
                    <w:t>项目施工期和运营期贯彻落实节水要求，尽量使用节水设备，节约用水。</w:t>
                  </w:r>
                </w:p>
              </w:tc>
              <w:tc>
                <w:tcPr>
                  <w:tcW w:w="458" w:type="pct"/>
                  <w:tcBorders>
                    <w:tl2br w:val="nil"/>
                    <w:tr2bl w:val="nil"/>
                  </w:tcBorders>
                  <w:vAlign w:val="center"/>
                </w:tcPr>
                <w:p w14:paraId="7197E3F1">
                  <w:pPr>
                    <w:pStyle w:val="37"/>
                    <w:bidi w:val="0"/>
                    <w:rPr>
                      <w:rFonts w:hint="default"/>
                      <w:color w:val="auto"/>
                      <w:lang w:val="en-US" w:eastAsia="zh-CN"/>
                    </w:rPr>
                  </w:pPr>
                  <w:r>
                    <w:rPr>
                      <w:rFonts w:hint="eastAsia"/>
                      <w:color w:val="auto"/>
                      <w:lang w:val="en-US" w:eastAsia="zh-CN"/>
                    </w:rPr>
                    <w:t>符合</w:t>
                  </w:r>
                </w:p>
              </w:tc>
            </w:tr>
            <w:tr w14:paraId="77F13D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42" w:hRule="atLeast"/>
                <w:jc w:val="center"/>
              </w:trPr>
              <w:tc>
                <w:tcPr>
                  <w:tcW w:w="461" w:type="pct"/>
                  <w:vMerge w:val="continue"/>
                  <w:tcBorders>
                    <w:tl2br w:val="nil"/>
                    <w:tr2bl w:val="nil"/>
                  </w:tcBorders>
                  <w:vAlign w:val="center"/>
                </w:tcPr>
                <w:p w14:paraId="1BDB8BE2">
                  <w:pPr>
                    <w:bidi w:val="0"/>
                    <w:jc w:val="center"/>
                    <w:rPr>
                      <w:color w:val="auto"/>
                    </w:rPr>
                  </w:pPr>
                </w:p>
              </w:tc>
              <w:tc>
                <w:tcPr>
                  <w:tcW w:w="2477" w:type="pct"/>
                  <w:tcBorders>
                    <w:tl2br w:val="nil"/>
                    <w:tr2bl w:val="nil"/>
                  </w:tcBorders>
                  <w:vAlign w:val="center"/>
                </w:tcPr>
                <w:p w14:paraId="2E5DFB89">
                  <w:pPr>
                    <w:pStyle w:val="37"/>
                    <w:bidi w:val="0"/>
                    <w:rPr>
                      <w:color w:val="auto"/>
                    </w:rPr>
                  </w:pPr>
                  <w:r>
                    <w:rPr>
                      <w:color w:val="auto"/>
                    </w:rPr>
                    <w:t>到2025年，曲靖市用水总量控制在18.68亿立方米以内，万元GDP用水量、万元工业增加值用水量比2020年分别不低于20%和16%，</w:t>
                  </w:r>
                  <w:r>
                    <w:rPr>
                      <w:rFonts w:hint="eastAsia"/>
                      <w:color w:val="auto"/>
                      <w:lang w:eastAsia="zh-CN"/>
                    </w:rPr>
                    <w:t>农田灌溉水有效利用系数</w:t>
                  </w:r>
                  <w:r>
                    <w:rPr>
                      <w:color w:val="auto"/>
                    </w:rPr>
                    <w:t>不低于0.545。</w:t>
                  </w:r>
                </w:p>
              </w:tc>
              <w:tc>
                <w:tcPr>
                  <w:tcW w:w="1602" w:type="pct"/>
                  <w:tcBorders>
                    <w:tl2br w:val="nil"/>
                    <w:tr2bl w:val="nil"/>
                  </w:tcBorders>
                  <w:vAlign w:val="center"/>
                </w:tcPr>
                <w:p w14:paraId="336A0C40">
                  <w:pPr>
                    <w:pStyle w:val="37"/>
                    <w:bidi w:val="0"/>
                    <w:rPr>
                      <w:rFonts w:hint="default"/>
                      <w:color w:val="auto"/>
                      <w:lang w:val="en-US" w:eastAsia="zh-CN"/>
                    </w:rPr>
                  </w:pPr>
                  <w:r>
                    <w:rPr>
                      <w:rFonts w:hint="eastAsia"/>
                      <w:color w:val="auto"/>
                      <w:lang w:val="en-US" w:eastAsia="zh-CN"/>
                    </w:rPr>
                    <w:t>项目施工期和运营期贯彻落实节水要求，尽量使用节水设备，节约用水。</w:t>
                  </w:r>
                </w:p>
              </w:tc>
              <w:tc>
                <w:tcPr>
                  <w:tcW w:w="458" w:type="pct"/>
                  <w:tcBorders>
                    <w:tl2br w:val="nil"/>
                    <w:tr2bl w:val="nil"/>
                  </w:tcBorders>
                  <w:vAlign w:val="center"/>
                </w:tcPr>
                <w:p w14:paraId="31097D57">
                  <w:pPr>
                    <w:pStyle w:val="37"/>
                    <w:bidi w:val="0"/>
                    <w:rPr>
                      <w:rFonts w:hint="default"/>
                      <w:color w:val="auto"/>
                      <w:lang w:val="en-US" w:eastAsia="zh-CN"/>
                    </w:rPr>
                  </w:pPr>
                  <w:r>
                    <w:rPr>
                      <w:rFonts w:hint="eastAsia"/>
                      <w:color w:val="auto"/>
                      <w:lang w:val="en-US" w:eastAsia="zh-CN"/>
                    </w:rPr>
                    <w:t>符合</w:t>
                  </w:r>
                </w:p>
              </w:tc>
            </w:tr>
            <w:tr w14:paraId="19BB8E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42" w:hRule="atLeast"/>
                <w:jc w:val="center"/>
              </w:trPr>
              <w:tc>
                <w:tcPr>
                  <w:tcW w:w="461" w:type="pct"/>
                  <w:vMerge w:val="continue"/>
                  <w:tcBorders>
                    <w:tl2br w:val="nil"/>
                    <w:tr2bl w:val="nil"/>
                  </w:tcBorders>
                  <w:vAlign w:val="center"/>
                </w:tcPr>
                <w:p w14:paraId="1127B73C">
                  <w:pPr>
                    <w:bidi w:val="0"/>
                    <w:jc w:val="center"/>
                    <w:rPr>
                      <w:color w:val="auto"/>
                    </w:rPr>
                  </w:pPr>
                </w:p>
              </w:tc>
              <w:tc>
                <w:tcPr>
                  <w:tcW w:w="2477" w:type="pct"/>
                  <w:tcBorders>
                    <w:tl2br w:val="nil"/>
                    <w:tr2bl w:val="nil"/>
                  </w:tcBorders>
                  <w:vAlign w:val="center"/>
                </w:tcPr>
                <w:p w14:paraId="262F9856">
                  <w:pPr>
                    <w:pStyle w:val="37"/>
                    <w:bidi w:val="0"/>
                    <w:rPr>
                      <w:color w:val="auto"/>
                      <w:highlight w:val="none"/>
                    </w:rPr>
                  </w:pPr>
                  <w:r>
                    <w:rPr>
                      <w:color w:val="auto"/>
                      <w:highlight w:val="none"/>
                    </w:rPr>
                    <w:t>坚持最严格的耕地保护制度，坚决制止耕地“非农化”防止耕地“非粮化”。坚持节约用地，严格执行耕地占补平衡等制度，提高土地投资强度和单位面积产出水平。</w:t>
                  </w:r>
                </w:p>
              </w:tc>
              <w:tc>
                <w:tcPr>
                  <w:tcW w:w="1602" w:type="pct"/>
                  <w:tcBorders>
                    <w:tl2br w:val="nil"/>
                    <w:tr2bl w:val="nil"/>
                  </w:tcBorders>
                  <w:vAlign w:val="center"/>
                </w:tcPr>
                <w:p w14:paraId="601D09F3">
                  <w:pPr>
                    <w:pStyle w:val="37"/>
                    <w:bidi w:val="0"/>
                    <w:rPr>
                      <w:rFonts w:hint="default"/>
                      <w:color w:val="auto"/>
                      <w:highlight w:val="none"/>
                      <w:lang w:val="en-US" w:eastAsia="zh-CN"/>
                    </w:rPr>
                  </w:pPr>
                  <w:r>
                    <w:rPr>
                      <w:rFonts w:hint="eastAsia"/>
                      <w:color w:val="auto"/>
                      <w:highlight w:val="none"/>
                      <w:lang w:val="en-US" w:eastAsia="zh-CN"/>
                    </w:rPr>
                    <w:t>项目永久占地涉及使用耕地0.1038hm</w:t>
                  </w:r>
                  <w:r>
                    <w:rPr>
                      <w:rFonts w:hint="eastAsia"/>
                      <w:color w:val="auto"/>
                      <w:highlight w:val="none"/>
                      <w:vertAlign w:val="superscript"/>
                      <w:lang w:val="en-US" w:eastAsia="zh-CN"/>
                    </w:rPr>
                    <w:t>2</w:t>
                  </w:r>
                  <w:r>
                    <w:rPr>
                      <w:rFonts w:hint="eastAsia"/>
                      <w:color w:val="auto"/>
                      <w:highlight w:val="none"/>
                      <w:lang w:val="en-US" w:eastAsia="zh-CN"/>
                    </w:rPr>
                    <w:t>，目前项目永久用地已取得《西泽风电场(二期)用地预审证书》。项目临时用地涉及使用耕地0.6130hm</w:t>
                  </w:r>
                  <w:r>
                    <w:rPr>
                      <w:rFonts w:hint="eastAsia"/>
                      <w:color w:val="auto"/>
                      <w:highlight w:val="none"/>
                      <w:vertAlign w:val="superscript"/>
                      <w:lang w:val="en-US" w:eastAsia="zh-CN"/>
                    </w:rPr>
                    <w:t>2</w:t>
                  </w:r>
                  <w:r>
                    <w:rPr>
                      <w:rFonts w:hint="eastAsia"/>
                      <w:color w:val="auto"/>
                      <w:highlight w:val="none"/>
                      <w:lang w:val="en-US" w:eastAsia="zh-CN"/>
                    </w:rPr>
                    <w:t>，用地手续正在办理中。</w:t>
                  </w:r>
                </w:p>
              </w:tc>
              <w:tc>
                <w:tcPr>
                  <w:tcW w:w="458" w:type="pct"/>
                  <w:tcBorders>
                    <w:tl2br w:val="nil"/>
                    <w:tr2bl w:val="nil"/>
                  </w:tcBorders>
                  <w:vAlign w:val="center"/>
                </w:tcPr>
                <w:p w14:paraId="1E625310">
                  <w:pPr>
                    <w:pStyle w:val="37"/>
                    <w:bidi w:val="0"/>
                    <w:rPr>
                      <w:rFonts w:hint="default"/>
                      <w:color w:val="auto"/>
                      <w:lang w:val="en-US" w:eastAsia="zh-CN"/>
                    </w:rPr>
                  </w:pPr>
                  <w:r>
                    <w:rPr>
                      <w:rFonts w:hint="eastAsia"/>
                      <w:color w:val="auto"/>
                      <w:lang w:val="en-US" w:eastAsia="zh-CN"/>
                    </w:rPr>
                    <w:t>符合</w:t>
                  </w:r>
                </w:p>
              </w:tc>
            </w:tr>
            <w:tr w14:paraId="37C4C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42" w:hRule="atLeast"/>
                <w:jc w:val="center"/>
              </w:trPr>
              <w:tc>
                <w:tcPr>
                  <w:tcW w:w="461" w:type="pct"/>
                  <w:vMerge w:val="continue"/>
                  <w:tcBorders>
                    <w:tl2br w:val="nil"/>
                    <w:tr2bl w:val="nil"/>
                  </w:tcBorders>
                  <w:vAlign w:val="center"/>
                </w:tcPr>
                <w:p w14:paraId="245798FB">
                  <w:pPr>
                    <w:bidi w:val="0"/>
                    <w:jc w:val="center"/>
                    <w:rPr>
                      <w:color w:val="auto"/>
                    </w:rPr>
                  </w:pPr>
                </w:p>
              </w:tc>
              <w:tc>
                <w:tcPr>
                  <w:tcW w:w="2477" w:type="pct"/>
                  <w:tcBorders>
                    <w:tl2br w:val="nil"/>
                    <w:tr2bl w:val="nil"/>
                  </w:tcBorders>
                  <w:vAlign w:val="center"/>
                </w:tcPr>
                <w:p w14:paraId="09D3FD5A">
                  <w:pPr>
                    <w:pStyle w:val="37"/>
                    <w:bidi w:val="0"/>
                    <w:rPr>
                      <w:color w:val="auto"/>
                    </w:rPr>
                  </w:pPr>
                  <w:r>
                    <w:rPr>
                      <w:color w:val="auto"/>
                    </w:rPr>
                    <w:t>矿产能源发展区应在符合国家产业政策的前提下，依法依规办理用地手续，在符合矿产资源总体规划的前提下合理开采，促进土地集约节约利用，保护区域生态环境，避免造成地质灾害。</w:t>
                  </w:r>
                </w:p>
              </w:tc>
              <w:tc>
                <w:tcPr>
                  <w:tcW w:w="1602" w:type="pct"/>
                  <w:tcBorders>
                    <w:tl2br w:val="nil"/>
                    <w:tr2bl w:val="nil"/>
                  </w:tcBorders>
                  <w:vAlign w:val="center"/>
                </w:tcPr>
                <w:p w14:paraId="07060F90">
                  <w:pPr>
                    <w:pStyle w:val="37"/>
                    <w:bidi w:val="0"/>
                    <w:rPr>
                      <w:rFonts w:hint="default"/>
                      <w:color w:val="auto"/>
                      <w:lang w:val="en-US" w:eastAsia="zh-CN"/>
                    </w:rPr>
                  </w:pPr>
                  <w:r>
                    <w:rPr>
                      <w:rFonts w:hint="eastAsia"/>
                      <w:color w:val="auto"/>
                      <w:lang w:val="en-US" w:eastAsia="zh-CN"/>
                    </w:rPr>
                    <w:t>本项目不涉及。</w:t>
                  </w:r>
                </w:p>
              </w:tc>
              <w:tc>
                <w:tcPr>
                  <w:tcW w:w="458" w:type="pct"/>
                  <w:tcBorders>
                    <w:tl2br w:val="nil"/>
                    <w:tr2bl w:val="nil"/>
                  </w:tcBorders>
                  <w:vAlign w:val="center"/>
                </w:tcPr>
                <w:p w14:paraId="361C1D65">
                  <w:pPr>
                    <w:pStyle w:val="37"/>
                    <w:bidi w:val="0"/>
                    <w:rPr>
                      <w:rFonts w:hint="default"/>
                      <w:color w:val="auto"/>
                      <w:lang w:val="en-US" w:eastAsia="zh-CN"/>
                    </w:rPr>
                  </w:pPr>
                  <w:r>
                    <w:rPr>
                      <w:rFonts w:hint="eastAsia"/>
                      <w:color w:val="auto"/>
                      <w:lang w:val="en-US" w:eastAsia="zh-CN"/>
                    </w:rPr>
                    <w:t>符合</w:t>
                  </w:r>
                </w:p>
              </w:tc>
            </w:tr>
            <w:tr w14:paraId="279E7E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72" w:hRule="atLeast"/>
                <w:jc w:val="center"/>
              </w:trPr>
              <w:tc>
                <w:tcPr>
                  <w:tcW w:w="461" w:type="pct"/>
                  <w:vMerge w:val="continue"/>
                  <w:tcBorders>
                    <w:tl2br w:val="nil"/>
                    <w:tr2bl w:val="nil"/>
                  </w:tcBorders>
                  <w:vAlign w:val="center"/>
                </w:tcPr>
                <w:p w14:paraId="379F85BA">
                  <w:pPr>
                    <w:bidi w:val="0"/>
                    <w:jc w:val="center"/>
                    <w:rPr>
                      <w:color w:val="auto"/>
                    </w:rPr>
                  </w:pPr>
                </w:p>
              </w:tc>
              <w:tc>
                <w:tcPr>
                  <w:tcW w:w="2477" w:type="pct"/>
                  <w:tcBorders>
                    <w:tl2br w:val="nil"/>
                    <w:tr2bl w:val="nil"/>
                  </w:tcBorders>
                  <w:vAlign w:val="center"/>
                </w:tcPr>
                <w:p w14:paraId="1E0C553C">
                  <w:pPr>
                    <w:pStyle w:val="37"/>
                    <w:bidi w:val="0"/>
                    <w:rPr>
                      <w:color w:val="auto"/>
                    </w:rPr>
                  </w:pPr>
                  <w:r>
                    <w:rPr>
                      <w:color w:val="auto"/>
                    </w:rPr>
                    <w:t>到2025年，全市</w:t>
                  </w:r>
                  <w:r>
                    <w:rPr>
                      <w:rFonts w:hint="eastAsia"/>
                      <w:color w:val="auto"/>
                      <w:lang w:eastAsia="zh-CN"/>
                    </w:rPr>
                    <w:t>规模</w:t>
                  </w:r>
                  <w:r>
                    <w:rPr>
                      <w:color w:val="auto"/>
                    </w:rPr>
                    <w:t>以上工业单位增加值能耗下降16%，万元工业增加值用水量下降16%，重点耗能行业能效达到标杆水平的比例超过30%。</w:t>
                  </w:r>
                </w:p>
              </w:tc>
              <w:tc>
                <w:tcPr>
                  <w:tcW w:w="1602" w:type="pct"/>
                  <w:tcBorders>
                    <w:tl2br w:val="nil"/>
                    <w:tr2bl w:val="nil"/>
                  </w:tcBorders>
                  <w:vAlign w:val="center"/>
                </w:tcPr>
                <w:p w14:paraId="03A37ECC">
                  <w:pPr>
                    <w:pStyle w:val="37"/>
                    <w:bidi w:val="0"/>
                    <w:rPr>
                      <w:rFonts w:hint="default"/>
                      <w:color w:val="auto"/>
                      <w:lang w:val="en-US" w:eastAsia="zh-CN"/>
                    </w:rPr>
                  </w:pPr>
                  <w:r>
                    <w:rPr>
                      <w:rFonts w:hint="eastAsia"/>
                      <w:color w:val="auto"/>
                      <w:lang w:val="en-US" w:eastAsia="zh-CN"/>
                    </w:rPr>
                    <w:t>本项目属于风机发电项目，不涉及。</w:t>
                  </w:r>
                </w:p>
              </w:tc>
              <w:tc>
                <w:tcPr>
                  <w:tcW w:w="458" w:type="pct"/>
                  <w:tcBorders>
                    <w:tl2br w:val="nil"/>
                    <w:tr2bl w:val="nil"/>
                  </w:tcBorders>
                  <w:vAlign w:val="center"/>
                </w:tcPr>
                <w:p w14:paraId="36B1FDBA">
                  <w:pPr>
                    <w:pStyle w:val="37"/>
                    <w:bidi w:val="0"/>
                    <w:rPr>
                      <w:rFonts w:hint="default"/>
                      <w:color w:val="auto"/>
                      <w:lang w:val="en-US" w:eastAsia="zh-CN"/>
                    </w:rPr>
                  </w:pPr>
                  <w:r>
                    <w:rPr>
                      <w:rFonts w:hint="eastAsia"/>
                      <w:color w:val="auto"/>
                      <w:lang w:val="en-US" w:eastAsia="zh-CN"/>
                    </w:rPr>
                    <w:t>符合</w:t>
                  </w:r>
                </w:p>
              </w:tc>
            </w:tr>
            <w:tr w14:paraId="16E6B5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461" w:type="pct"/>
                  <w:vMerge w:val="continue"/>
                  <w:tcBorders>
                    <w:tl2br w:val="nil"/>
                    <w:tr2bl w:val="nil"/>
                  </w:tcBorders>
                  <w:vAlign w:val="center"/>
                </w:tcPr>
                <w:p w14:paraId="7AF5DB3F">
                  <w:pPr>
                    <w:bidi w:val="0"/>
                    <w:jc w:val="center"/>
                    <w:rPr>
                      <w:color w:val="auto"/>
                    </w:rPr>
                  </w:pPr>
                </w:p>
              </w:tc>
              <w:tc>
                <w:tcPr>
                  <w:tcW w:w="2477" w:type="pct"/>
                  <w:tcBorders>
                    <w:tl2br w:val="nil"/>
                    <w:tr2bl w:val="nil"/>
                  </w:tcBorders>
                  <w:vAlign w:val="center"/>
                </w:tcPr>
                <w:p w14:paraId="4C1E633C">
                  <w:pPr>
                    <w:pStyle w:val="37"/>
                    <w:bidi w:val="0"/>
                    <w:rPr>
                      <w:color w:val="auto"/>
                    </w:rPr>
                  </w:pPr>
                  <w:r>
                    <w:rPr>
                      <w:color w:val="auto"/>
                    </w:rPr>
                    <w:t>加强南盘江、牛栏江等岸线保护，强化九龙河（麒麟段、罗平段、陆良段、富源段）、牛栏江（会泽段、沾益段、宣威段）、清水江（罗平段、师宗段），宣威市窑上海子、北盘江、可渡河、拖长江、西泽河、以那河，马龙区马龙河，师宗县甸溪河、篆长河，富源县、小黄泥河，会泽县以礼河、硝厂河、小江等河湖岸线保护与管控。</w:t>
                  </w:r>
                </w:p>
              </w:tc>
              <w:tc>
                <w:tcPr>
                  <w:tcW w:w="1602" w:type="pct"/>
                  <w:tcBorders>
                    <w:tl2br w:val="nil"/>
                    <w:tr2bl w:val="nil"/>
                  </w:tcBorders>
                  <w:vAlign w:val="center"/>
                </w:tcPr>
                <w:p w14:paraId="20A089D0">
                  <w:pPr>
                    <w:pStyle w:val="37"/>
                    <w:bidi w:val="0"/>
                    <w:rPr>
                      <w:rFonts w:hint="eastAsia"/>
                      <w:color w:val="auto"/>
                      <w:lang w:val="en-US" w:eastAsia="zh-CN"/>
                    </w:rPr>
                  </w:pPr>
                  <w:r>
                    <w:rPr>
                      <w:rFonts w:hint="eastAsia"/>
                      <w:color w:val="auto"/>
                      <w:lang w:val="en-US" w:eastAsia="zh-CN"/>
                    </w:rPr>
                    <w:t>本项目属于风机发电项目，不占用</w:t>
                  </w:r>
                  <w:r>
                    <w:rPr>
                      <w:color w:val="auto"/>
                    </w:rPr>
                    <w:t>牛栏江岸线</w:t>
                  </w:r>
                  <w:r>
                    <w:rPr>
                      <w:rFonts w:hint="eastAsia"/>
                      <w:color w:val="auto"/>
                      <w:lang w:eastAsia="zh-CN"/>
                    </w:rPr>
                    <w:t>。</w:t>
                  </w:r>
                </w:p>
              </w:tc>
              <w:tc>
                <w:tcPr>
                  <w:tcW w:w="458" w:type="pct"/>
                  <w:tcBorders>
                    <w:tl2br w:val="nil"/>
                    <w:tr2bl w:val="nil"/>
                  </w:tcBorders>
                  <w:vAlign w:val="center"/>
                </w:tcPr>
                <w:p w14:paraId="71155236">
                  <w:pPr>
                    <w:pStyle w:val="37"/>
                    <w:bidi w:val="0"/>
                    <w:rPr>
                      <w:rFonts w:hint="default"/>
                      <w:color w:val="auto"/>
                      <w:lang w:val="en-US" w:eastAsia="zh-CN"/>
                    </w:rPr>
                  </w:pPr>
                  <w:r>
                    <w:rPr>
                      <w:rFonts w:hint="eastAsia"/>
                      <w:color w:val="auto"/>
                      <w:lang w:val="en-US" w:eastAsia="zh-CN"/>
                    </w:rPr>
                    <w:t>符合</w:t>
                  </w:r>
                </w:p>
              </w:tc>
            </w:tr>
            <w:tr w14:paraId="2EE06AF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72" w:hRule="atLeast"/>
                <w:jc w:val="center"/>
              </w:trPr>
              <w:tc>
                <w:tcPr>
                  <w:tcW w:w="461" w:type="pct"/>
                  <w:vMerge w:val="continue"/>
                  <w:tcBorders>
                    <w:tl2br w:val="nil"/>
                    <w:tr2bl w:val="nil"/>
                  </w:tcBorders>
                  <w:vAlign w:val="center"/>
                </w:tcPr>
                <w:p w14:paraId="3ABAEC3A">
                  <w:pPr>
                    <w:bidi w:val="0"/>
                    <w:jc w:val="center"/>
                    <w:rPr>
                      <w:color w:val="auto"/>
                    </w:rPr>
                  </w:pPr>
                </w:p>
              </w:tc>
              <w:tc>
                <w:tcPr>
                  <w:tcW w:w="2477" w:type="pct"/>
                  <w:tcBorders>
                    <w:tl2br w:val="nil"/>
                    <w:tr2bl w:val="nil"/>
                  </w:tcBorders>
                  <w:vAlign w:val="center"/>
                </w:tcPr>
                <w:p w14:paraId="669A15F2">
                  <w:pPr>
                    <w:pStyle w:val="37"/>
                    <w:bidi w:val="0"/>
                    <w:rPr>
                      <w:color w:val="auto"/>
                    </w:rPr>
                  </w:pPr>
                  <w:r>
                    <w:rPr>
                      <w:color w:val="auto"/>
                    </w:rPr>
                    <w:t>在禁燃区内，禁止销售、燃用高污染燃料；禁止新建、扩建燃用高污染燃料的设施，已建成的，应当在政府规定的期限内改用天然气、液化石油气、电或者其他清洁能源。</w:t>
                  </w:r>
                </w:p>
              </w:tc>
              <w:tc>
                <w:tcPr>
                  <w:tcW w:w="1602" w:type="pct"/>
                  <w:tcBorders>
                    <w:tl2br w:val="nil"/>
                    <w:tr2bl w:val="nil"/>
                  </w:tcBorders>
                  <w:vAlign w:val="center"/>
                </w:tcPr>
                <w:p w14:paraId="6D428BB5">
                  <w:pPr>
                    <w:pStyle w:val="37"/>
                    <w:bidi w:val="0"/>
                    <w:rPr>
                      <w:rFonts w:hint="default"/>
                      <w:color w:val="auto"/>
                      <w:lang w:val="en-US" w:eastAsia="zh-CN"/>
                    </w:rPr>
                  </w:pPr>
                  <w:r>
                    <w:rPr>
                      <w:rFonts w:hint="eastAsia"/>
                      <w:color w:val="auto"/>
                      <w:lang w:val="en-US" w:eastAsia="zh-CN"/>
                    </w:rPr>
                    <w:t>本项目不涉及。</w:t>
                  </w:r>
                </w:p>
              </w:tc>
              <w:tc>
                <w:tcPr>
                  <w:tcW w:w="458" w:type="pct"/>
                  <w:tcBorders>
                    <w:tl2br w:val="nil"/>
                    <w:tr2bl w:val="nil"/>
                  </w:tcBorders>
                  <w:vAlign w:val="center"/>
                </w:tcPr>
                <w:p w14:paraId="1B356825">
                  <w:pPr>
                    <w:pStyle w:val="37"/>
                    <w:bidi w:val="0"/>
                    <w:rPr>
                      <w:rFonts w:hint="default"/>
                      <w:color w:val="auto"/>
                      <w:lang w:val="en-US" w:eastAsia="zh-CN"/>
                    </w:rPr>
                  </w:pPr>
                  <w:r>
                    <w:rPr>
                      <w:rFonts w:hint="eastAsia"/>
                      <w:color w:val="auto"/>
                      <w:lang w:val="en-US" w:eastAsia="zh-CN"/>
                    </w:rPr>
                    <w:t>符合</w:t>
                  </w:r>
                </w:p>
              </w:tc>
            </w:tr>
          </w:tbl>
          <w:p w14:paraId="0E65D9D6">
            <w:pPr>
              <w:pStyle w:val="34"/>
              <w:bidi w:val="0"/>
              <w:rPr>
                <w:rFonts w:hint="eastAsia"/>
                <w:color w:val="auto"/>
                <w:lang w:val="en-US" w:eastAsia="zh-CN"/>
              </w:rPr>
            </w:pPr>
          </w:p>
          <w:p w14:paraId="3F36561C">
            <w:pPr>
              <w:pStyle w:val="6"/>
              <w:bidi w:val="0"/>
              <w:rPr>
                <w:rFonts w:hint="default"/>
                <w:color w:val="auto"/>
                <w:lang w:val="en-US" w:eastAsia="zh-CN"/>
              </w:rPr>
            </w:pPr>
            <w:r>
              <w:rPr>
                <w:rFonts w:hint="eastAsia"/>
                <w:color w:val="auto"/>
                <w:lang w:val="en-US" w:eastAsia="zh-CN"/>
              </w:rPr>
              <w:t>依据本项目管控单元查询结果，项目占地范围内涉及宣威市一般生态空间优先保护单元、宣威市一般管控单元，评价范围内涉及沾益区一般生态空间优先保护单元、宣威市生态保护红线优先保护单元、宣威市一般生态空间优先保护单元、宣威市一般管控单元，项目与上述管控单元的复合性分析见下表：</w:t>
            </w:r>
          </w:p>
          <w:p w14:paraId="4762B979">
            <w:pPr>
              <w:pStyle w:val="27"/>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表1-4  </w:t>
            </w:r>
            <w:r>
              <w:rPr>
                <w:rFonts w:hint="eastAsia" w:cs="Times New Roman"/>
                <w:color w:val="auto"/>
                <w:lang w:val="en-US" w:eastAsia="zh-CN"/>
              </w:rPr>
              <w:t>项目与环境管控单元准入要求的符合性分析</w:t>
            </w:r>
          </w:p>
          <w:tbl>
            <w:tblPr>
              <w:tblStyle w:val="21"/>
              <w:tblW w:w="4998" w:type="pct"/>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79"/>
              <w:gridCol w:w="3859"/>
              <w:gridCol w:w="2415"/>
              <w:gridCol w:w="744"/>
            </w:tblGrid>
            <w:tr w14:paraId="1CDC5B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12" w:type="pct"/>
                  <w:tcBorders>
                    <w:bottom w:val="single" w:color="auto" w:sz="12" w:space="0"/>
                  </w:tcBorders>
                  <w:vAlign w:val="center"/>
                </w:tcPr>
                <w:p w14:paraId="2C284AB1">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b/>
                      <w:bCs/>
                      <w:color w:val="auto"/>
                      <w:sz w:val="21"/>
                      <w:szCs w:val="21"/>
                      <w:lang w:val="en-US" w:eastAsia="zh-CN"/>
                    </w:rPr>
                  </w:pPr>
                  <w:r>
                    <w:rPr>
                      <w:rFonts w:hint="eastAsia"/>
                      <w:b/>
                      <w:bCs/>
                      <w:color w:val="auto"/>
                      <w:sz w:val="21"/>
                      <w:szCs w:val="21"/>
                      <w:lang w:val="en-US" w:eastAsia="zh-CN"/>
                    </w:rPr>
                    <w:t>管控单元名称</w:t>
                  </w:r>
                </w:p>
              </w:tc>
              <w:tc>
                <w:tcPr>
                  <w:tcW w:w="2411" w:type="pct"/>
                  <w:tcBorders>
                    <w:bottom w:val="single" w:color="auto" w:sz="12" w:space="0"/>
                  </w:tcBorders>
                  <w:vAlign w:val="center"/>
                </w:tcPr>
                <w:p w14:paraId="2002CC24">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b/>
                      <w:bCs/>
                      <w:color w:val="auto"/>
                      <w:sz w:val="21"/>
                      <w:szCs w:val="21"/>
                      <w:lang w:val="en-US" w:eastAsia="zh-CN"/>
                    </w:rPr>
                  </w:pPr>
                  <w:r>
                    <w:rPr>
                      <w:rFonts w:hint="eastAsia"/>
                      <w:b/>
                      <w:bCs/>
                      <w:color w:val="auto"/>
                      <w:sz w:val="21"/>
                      <w:szCs w:val="21"/>
                      <w:lang w:val="en-US" w:eastAsia="zh-CN"/>
                    </w:rPr>
                    <w:t>准入要求</w:t>
                  </w:r>
                </w:p>
              </w:tc>
              <w:tc>
                <w:tcPr>
                  <w:tcW w:w="1509" w:type="pct"/>
                  <w:tcBorders>
                    <w:bottom w:val="single" w:color="auto" w:sz="12" w:space="0"/>
                  </w:tcBorders>
                  <w:vAlign w:val="center"/>
                </w:tcPr>
                <w:p w14:paraId="65F197C9">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b/>
                      <w:bCs/>
                      <w:color w:val="auto"/>
                      <w:sz w:val="21"/>
                      <w:szCs w:val="21"/>
                      <w:lang w:val="en-US" w:eastAsia="zh-CN"/>
                    </w:rPr>
                  </w:pPr>
                  <w:r>
                    <w:rPr>
                      <w:rFonts w:hint="eastAsia"/>
                      <w:b/>
                      <w:bCs/>
                      <w:color w:val="auto"/>
                      <w:sz w:val="21"/>
                      <w:szCs w:val="21"/>
                      <w:lang w:val="en-US" w:eastAsia="zh-CN"/>
                    </w:rPr>
                    <w:t>本项目情况</w:t>
                  </w:r>
                </w:p>
              </w:tc>
              <w:tc>
                <w:tcPr>
                  <w:tcW w:w="465" w:type="pct"/>
                  <w:tcBorders>
                    <w:bottom w:val="single" w:color="auto" w:sz="12" w:space="0"/>
                  </w:tcBorders>
                  <w:vAlign w:val="center"/>
                </w:tcPr>
                <w:p w14:paraId="77E4898D">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b/>
                      <w:bCs/>
                      <w:color w:val="auto"/>
                      <w:sz w:val="21"/>
                      <w:szCs w:val="21"/>
                      <w:lang w:val="en-US" w:eastAsia="zh-CN"/>
                    </w:rPr>
                  </w:pPr>
                  <w:r>
                    <w:rPr>
                      <w:rFonts w:hint="eastAsia"/>
                      <w:b/>
                      <w:bCs/>
                      <w:color w:val="auto"/>
                      <w:sz w:val="21"/>
                      <w:szCs w:val="21"/>
                      <w:lang w:val="en-US" w:eastAsia="zh-CN"/>
                    </w:rPr>
                    <w:t>符合性</w:t>
                  </w:r>
                </w:p>
              </w:tc>
            </w:tr>
            <w:tr w14:paraId="2C31D9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12" w:type="pct"/>
                  <w:tcBorders>
                    <w:top w:val="single" w:color="auto" w:sz="12" w:space="0"/>
                    <w:tl2br w:val="nil"/>
                    <w:tr2bl w:val="nil"/>
                  </w:tcBorders>
                  <w:vAlign w:val="center"/>
                </w:tcPr>
                <w:p w14:paraId="7CC29974">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color w:val="auto"/>
                      <w:sz w:val="21"/>
                      <w:szCs w:val="21"/>
                      <w:vertAlign w:val="baseline"/>
                      <w:lang w:val="en-US" w:eastAsia="zh-CN"/>
                    </w:rPr>
                  </w:pPr>
                  <w:r>
                    <w:rPr>
                      <w:color w:val="auto"/>
                      <w:sz w:val="21"/>
                      <w:szCs w:val="21"/>
                    </w:rPr>
                    <w:t>沾益区一般生态空间优先保护单元</w:t>
                  </w:r>
                </w:p>
              </w:tc>
              <w:tc>
                <w:tcPr>
                  <w:tcW w:w="2411" w:type="pct"/>
                  <w:tcBorders>
                    <w:top w:val="single" w:color="auto" w:sz="12" w:space="0"/>
                    <w:tl2br w:val="nil"/>
                    <w:tr2bl w:val="nil"/>
                  </w:tcBorders>
                  <w:vAlign w:val="center"/>
                </w:tcPr>
                <w:p w14:paraId="4FEC688E">
                  <w:pPr>
                    <w:keepNext w:val="0"/>
                    <w:keepLines w:val="0"/>
                    <w:pageBreakBefore w:val="0"/>
                    <w:widowControl/>
                    <w:kinsoku/>
                    <w:wordWrap/>
                    <w:overflowPunct/>
                    <w:topLinePunct w:val="0"/>
                    <w:autoSpaceDE w:val="0"/>
                    <w:autoSpaceDN w:val="0"/>
                    <w:bidi w:val="0"/>
                    <w:adjustRightInd w:val="0"/>
                    <w:snapToGrid w:val="0"/>
                    <w:ind w:left="0" w:leftChars="0" w:firstLine="0" w:firstLineChars="0"/>
                    <w:jc w:val="center"/>
                    <w:textAlignment w:val="baseline"/>
                    <w:rPr>
                      <w:rFonts w:hint="eastAsia"/>
                      <w:color w:val="auto"/>
                      <w:sz w:val="21"/>
                      <w:szCs w:val="21"/>
                      <w:lang w:eastAsia="zh-CN"/>
                    </w:rPr>
                  </w:pPr>
                  <w:r>
                    <w:rPr>
                      <w:b/>
                      <w:color w:val="auto"/>
                      <w:sz w:val="21"/>
                      <w:szCs w:val="21"/>
                    </w:rPr>
                    <w:t>空间布局约束</w:t>
                  </w:r>
                  <w:r>
                    <w:rPr>
                      <w:rFonts w:hint="eastAsia"/>
                      <w:b/>
                      <w:color w:val="auto"/>
                      <w:sz w:val="21"/>
                      <w:szCs w:val="21"/>
                      <w:lang w:eastAsia="zh-CN"/>
                    </w:rPr>
                    <w:t>：</w:t>
                  </w:r>
                  <w:r>
                    <w:rPr>
                      <w:color w:val="auto"/>
                      <w:sz w:val="21"/>
                      <w:szCs w:val="21"/>
                    </w:rPr>
                    <w:t>1.一般生态空间优先保护单元以保护和修复生态环境、提供生态产品为首要任务，参照主体功能区中重点生态功能区的开发和管制原则进行管控，加强资源环境承载力控制，防止过度垦殖、放牧、采伐、取水、渔猎、旅游等对生态功能造成损害，确保自然生态系统稳定。涉及占用一般生态空间的开发活动应符合相关法律法规规定，没有明确规定的，加强论证和管理</w:t>
                  </w:r>
                  <w:r>
                    <w:rPr>
                      <w:rFonts w:hint="eastAsia"/>
                      <w:color w:val="auto"/>
                      <w:sz w:val="21"/>
                      <w:szCs w:val="21"/>
                      <w:lang w:eastAsia="zh-CN"/>
                    </w:rPr>
                    <w:t>。</w:t>
                  </w:r>
                </w:p>
                <w:p w14:paraId="46D68106">
                  <w:pPr>
                    <w:keepNext w:val="0"/>
                    <w:keepLines w:val="0"/>
                    <w:pageBreakBefore w:val="0"/>
                    <w:widowControl/>
                    <w:kinsoku/>
                    <w:wordWrap/>
                    <w:overflowPunct/>
                    <w:topLinePunct w:val="0"/>
                    <w:autoSpaceDE w:val="0"/>
                    <w:autoSpaceDN w:val="0"/>
                    <w:bidi w:val="0"/>
                    <w:adjustRightInd w:val="0"/>
                    <w:snapToGrid w:val="0"/>
                    <w:ind w:left="0" w:leftChars="0" w:firstLine="0" w:firstLineChars="0"/>
                    <w:jc w:val="center"/>
                    <w:textAlignment w:val="baseline"/>
                    <w:rPr>
                      <w:rFonts w:hint="default"/>
                      <w:color w:val="auto"/>
                      <w:sz w:val="21"/>
                      <w:szCs w:val="21"/>
                      <w:vertAlign w:val="baseline"/>
                      <w:lang w:val="en-US" w:eastAsia="zh-CN"/>
                    </w:rPr>
                  </w:pPr>
                  <w:r>
                    <w:rPr>
                      <w:color w:val="auto"/>
                      <w:sz w:val="21"/>
                      <w:szCs w:val="21"/>
                    </w:rPr>
                    <w:t>2.暂未纳入生态保护红线的自然保护地按照相关保护地法律法规进行管理；自然保护地优化整合成果获批前，按现行有效法律法规管理。重要湿地依据《湿地保护管理规定》《云南省湿地保护条例》《云南省人民政府关于加强湿地保护工作的意见》等进行管理；生态公益林依据《国家级公益林管理办法》《云南省地方公益林管理办法》进行管理；天然林依据《国家林业局关于严格保护天然林的通知》（林资发〔2015〕181号）、《中共中央办公厅 国务院办公厅关于印发〈天然林保护修复制度方案〉的通知》（厅字〔2019〕39号）等进行管理。</w:t>
                  </w:r>
                </w:p>
              </w:tc>
              <w:tc>
                <w:tcPr>
                  <w:tcW w:w="1509" w:type="pct"/>
                  <w:tcBorders>
                    <w:top w:val="single" w:color="auto" w:sz="12" w:space="0"/>
                    <w:tl2br w:val="nil"/>
                    <w:tr2bl w:val="nil"/>
                  </w:tcBorders>
                  <w:vAlign w:val="center"/>
                </w:tcPr>
                <w:p w14:paraId="3AB3EC32">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eastAsia="宋体"/>
                      <w:color w:val="auto"/>
                      <w:sz w:val="21"/>
                      <w:szCs w:val="21"/>
                      <w:vertAlign w:val="baseline"/>
                      <w:lang w:val="en-US" w:eastAsia="zh-CN"/>
                    </w:rPr>
                  </w:pPr>
                  <w:r>
                    <w:rPr>
                      <w:rFonts w:hint="eastAsia"/>
                      <w:color w:val="auto"/>
                      <w:sz w:val="21"/>
                      <w:szCs w:val="21"/>
                      <w:lang w:val="en-US" w:eastAsia="zh-CN"/>
                    </w:rPr>
                    <w:t>本项目不占用</w:t>
                  </w:r>
                  <w:r>
                    <w:rPr>
                      <w:color w:val="auto"/>
                      <w:sz w:val="21"/>
                      <w:szCs w:val="21"/>
                    </w:rPr>
                    <w:t>沾益区一般生态空间优先保护单元</w:t>
                  </w:r>
                  <w:r>
                    <w:rPr>
                      <w:rFonts w:hint="eastAsia"/>
                      <w:color w:val="auto"/>
                      <w:sz w:val="21"/>
                      <w:szCs w:val="21"/>
                      <w:lang w:eastAsia="zh-CN"/>
                    </w:rPr>
                    <w:t>，</w:t>
                  </w:r>
                  <w:r>
                    <w:rPr>
                      <w:rFonts w:hint="eastAsia"/>
                      <w:color w:val="auto"/>
                      <w:sz w:val="21"/>
                      <w:szCs w:val="21"/>
                      <w:lang w:val="en-US" w:eastAsia="zh-CN"/>
                    </w:rPr>
                    <w:t>评价范围内涉及</w:t>
                  </w:r>
                  <w:r>
                    <w:rPr>
                      <w:color w:val="auto"/>
                      <w:sz w:val="21"/>
                      <w:szCs w:val="21"/>
                    </w:rPr>
                    <w:t>沾益区一般生态空间优先保护单元</w:t>
                  </w:r>
                  <w:r>
                    <w:rPr>
                      <w:rFonts w:hint="eastAsia"/>
                      <w:color w:val="auto"/>
                      <w:sz w:val="21"/>
                      <w:szCs w:val="21"/>
                      <w:lang w:eastAsia="zh-CN"/>
                    </w:rPr>
                    <w:t>，</w:t>
                  </w:r>
                  <w:r>
                    <w:rPr>
                      <w:rFonts w:hint="eastAsia"/>
                      <w:color w:val="auto"/>
                      <w:sz w:val="21"/>
                      <w:szCs w:val="21"/>
                      <w:lang w:val="en-US" w:eastAsia="zh-CN"/>
                    </w:rPr>
                    <w:t>与</w:t>
                  </w:r>
                  <w:r>
                    <w:rPr>
                      <w:color w:val="auto"/>
                      <w:sz w:val="21"/>
                      <w:szCs w:val="21"/>
                    </w:rPr>
                    <w:t>沾益区一般生态空间优先保护单元</w:t>
                  </w:r>
                  <w:r>
                    <w:rPr>
                      <w:rFonts w:hint="eastAsia"/>
                      <w:color w:val="auto"/>
                      <w:sz w:val="21"/>
                      <w:szCs w:val="21"/>
                      <w:lang w:val="en-US" w:eastAsia="zh-CN"/>
                    </w:rPr>
                    <w:t>最近距离约为4m，施工期严格控制施工边界，不超范围施工，不会对</w:t>
                  </w:r>
                  <w:r>
                    <w:rPr>
                      <w:color w:val="auto"/>
                      <w:sz w:val="21"/>
                      <w:szCs w:val="21"/>
                    </w:rPr>
                    <w:t>沾益区一般生态空间优先保护单元</w:t>
                  </w:r>
                  <w:r>
                    <w:rPr>
                      <w:rFonts w:hint="eastAsia"/>
                      <w:color w:val="auto"/>
                      <w:sz w:val="21"/>
                      <w:szCs w:val="21"/>
                      <w:lang w:val="en-US" w:eastAsia="zh-CN"/>
                    </w:rPr>
                    <w:t>造成不利影响。</w:t>
                  </w:r>
                </w:p>
              </w:tc>
              <w:tc>
                <w:tcPr>
                  <w:tcW w:w="465" w:type="pct"/>
                  <w:tcBorders>
                    <w:top w:val="single" w:color="auto" w:sz="12" w:space="0"/>
                    <w:tl2br w:val="nil"/>
                    <w:tr2bl w:val="nil"/>
                  </w:tcBorders>
                  <w:vAlign w:val="center"/>
                </w:tcPr>
                <w:p w14:paraId="25EEE8E4">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符合</w:t>
                  </w:r>
                </w:p>
              </w:tc>
            </w:tr>
            <w:tr w14:paraId="2F0714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12" w:type="pct"/>
                  <w:tcBorders>
                    <w:tl2br w:val="nil"/>
                    <w:tr2bl w:val="nil"/>
                  </w:tcBorders>
                  <w:vAlign w:val="center"/>
                </w:tcPr>
                <w:p w14:paraId="70758B2D">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color w:val="auto"/>
                      <w:sz w:val="21"/>
                      <w:szCs w:val="21"/>
                      <w:vertAlign w:val="baseline"/>
                      <w:lang w:val="en-US" w:eastAsia="zh-CN"/>
                    </w:rPr>
                  </w:pPr>
                  <w:r>
                    <w:rPr>
                      <w:color w:val="auto"/>
                      <w:sz w:val="21"/>
                      <w:szCs w:val="21"/>
                    </w:rPr>
                    <w:t>宣威市生态保护红线优先保护单元</w:t>
                  </w:r>
                </w:p>
              </w:tc>
              <w:tc>
                <w:tcPr>
                  <w:tcW w:w="2411" w:type="pct"/>
                  <w:tcBorders>
                    <w:tl2br w:val="nil"/>
                    <w:tr2bl w:val="nil"/>
                  </w:tcBorders>
                  <w:vAlign w:val="center"/>
                </w:tcPr>
                <w:p w14:paraId="1BDF5749">
                  <w:pPr>
                    <w:keepNext w:val="0"/>
                    <w:keepLines w:val="0"/>
                    <w:pageBreakBefore w:val="0"/>
                    <w:widowControl/>
                    <w:kinsoku/>
                    <w:wordWrap/>
                    <w:overflowPunct/>
                    <w:topLinePunct w:val="0"/>
                    <w:autoSpaceDE w:val="0"/>
                    <w:autoSpaceDN w:val="0"/>
                    <w:bidi w:val="0"/>
                    <w:adjustRightInd w:val="0"/>
                    <w:snapToGrid w:val="0"/>
                    <w:ind w:left="0" w:leftChars="0" w:firstLine="0" w:firstLineChars="0"/>
                    <w:jc w:val="center"/>
                    <w:textAlignment w:val="baseline"/>
                    <w:rPr>
                      <w:rFonts w:hint="default"/>
                      <w:color w:val="auto"/>
                      <w:sz w:val="21"/>
                      <w:szCs w:val="21"/>
                      <w:vertAlign w:val="baseline"/>
                      <w:lang w:val="en-US" w:eastAsia="zh-CN"/>
                    </w:rPr>
                  </w:pPr>
                  <w:r>
                    <w:rPr>
                      <w:b/>
                      <w:color w:val="auto"/>
                      <w:sz w:val="21"/>
                      <w:szCs w:val="21"/>
                    </w:rPr>
                    <w:t>空间布局约束</w:t>
                  </w:r>
                  <w:r>
                    <w:rPr>
                      <w:rFonts w:hint="eastAsia"/>
                      <w:b/>
                      <w:color w:val="auto"/>
                      <w:sz w:val="21"/>
                      <w:szCs w:val="21"/>
                      <w:lang w:eastAsia="zh-CN"/>
                    </w:rPr>
                    <w:t>：</w:t>
                  </w:r>
                  <w:r>
                    <w:rPr>
                      <w:color w:val="auto"/>
                      <w:sz w:val="21"/>
                      <w:szCs w:val="21"/>
                    </w:rPr>
                    <w:t>按《自然资源部 生态环境部 国家林业和草原局关于加强生态保护红线管理的通知（试行）》（自然资发〔2022〕142号）和《云南省自然资源厅 云南省生态环境厅 云南省林业和草原局关于加强生态保护红线管理工作的通知》（云自然资﹝2023﹞98号）执行。后续若国家和省生态保护红线相关管控政策发生调整，按调整后的管控办法执行。自然保护地优化整合成果获批前，按现行有效法律法规管理。</w:t>
                  </w:r>
                </w:p>
              </w:tc>
              <w:tc>
                <w:tcPr>
                  <w:tcW w:w="1509" w:type="pct"/>
                  <w:tcBorders>
                    <w:tl2br w:val="nil"/>
                    <w:tr2bl w:val="nil"/>
                  </w:tcBorders>
                  <w:vAlign w:val="center"/>
                </w:tcPr>
                <w:p w14:paraId="62ECBE38">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color w:val="auto"/>
                      <w:sz w:val="21"/>
                      <w:szCs w:val="21"/>
                      <w:vertAlign w:val="baseline"/>
                      <w:lang w:val="en-US" w:eastAsia="zh-CN"/>
                    </w:rPr>
                  </w:pPr>
                  <w:r>
                    <w:rPr>
                      <w:rFonts w:hint="eastAsia"/>
                      <w:color w:val="auto"/>
                      <w:sz w:val="21"/>
                      <w:szCs w:val="21"/>
                      <w:lang w:val="en-US" w:eastAsia="zh-CN"/>
                    </w:rPr>
                    <w:t>本项目不占用</w:t>
                  </w:r>
                  <w:r>
                    <w:rPr>
                      <w:color w:val="auto"/>
                      <w:sz w:val="21"/>
                      <w:szCs w:val="21"/>
                    </w:rPr>
                    <w:t>宣威市生态保护红线优先保护单元</w:t>
                  </w:r>
                  <w:r>
                    <w:rPr>
                      <w:rFonts w:hint="eastAsia"/>
                      <w:color w:val="auto"/>
                      <w:sz w:val="21"/>
                      <w:szCs w:val="21"/>
                      <w:lang w:eastAsia="zh-CN"/>
                    </w:rPr>
                    <w:t>，</w:t>
                  </w:r>
                  <w:r>
                    <w:rPr>
                      <w:rFonts w:hint="eastAsia"/>
                      <w:color w:val="auto"/>
                      <w:sz w:val="21"/>
                      <w:szCs w:val="21"/>
                      <w:lang w:val="en-US" w:eastAsia="zh-CN"/>
                    </w:rPr>
                    <w:t>评价范围内涉及</w:t>
                  </w:r>
                  <w:r>
                    <w:rPr>
                      <w:color w:val="auto"/>
                      <w:sz w:val="21"/>
                      <w:szCs w:val="21"/>
                    </w:rPr>
                    <w:t>宣威市生态保护红线优先保护单元</w:t>
                  </w:r>
                  <w:r>
                    <w:rPr>
                      <w:rFonts w:hint="eastAsia"/>
                      <w:color w:val="auto"/>
                      <w:sz w:val="21"/>
                      <w:szCs w:val="21"/>
                      <w:lang w:eastAsia="zh-CN"/>
                    </w:rPr>
                    <w:t>，</w:t>
                  </w:r>
                  <w:r>
                    <w:rPr>
                      <w:rFonts w:hint="eastAsia"/>
                      <w:color w:val="auto"/>
                      <w:sz w:val="21"/>
                      <w:szCs w:val="21"/>
                      <w:lang w:val="en-US" w:eastAsia="zh-CN"/>
                    </w:rPr>
                    <w:t>与</w:t>
                  </w:r>
                  <w:r>
                    <w:rPr>
                      <w:color w:val="auto"/>
                      <w:sz w:val="21"/>
                      <w:szCs w:val="21"/>
                    </w:rPr>
                    <w:t>宣威市生态保护红线优先保护单元</w:t>
                  </w:r>
                  <w:r>
                    <w:rPr>
                      <w:rFonts w:hint="eastAsia"/>
                      <w:color w:val="auto"/>
                      <w:sz w:val="21"/>
                      <w:szCs w:val="21"/>
                      <w:lang w:val="en-US" w:eastAsia="zh-CN"/>
                    </w:rPr>
                    <w:t>最近距离约为260m，项目与</w:t>
                  </w:r>
                  <w:r>
                    <w:rPr>
                      <w:color w:val="auto"/>
                      <w:sz w:val="21"/>
                      <w:szCs w:val="21"/>
                    </w:rPr>
                    <w:t>宣威市生态保护红线优先保护单元</w:t>
                  </w:r>
                  <w:r>
                    <w:rPr>
                      <w:rFonts w:hint="eastAsia"/>
                      <w:color w:val="auto"/>
                      <w:sz w:val="21"/>
                      <w:szCs w:val="21"/>
                      <w:lang w:val="en-US" w:eastAsia="zh-CN"/>
                    </w:rPr>
                    <w:t>最近距离较远，几乎不会对</w:t>
                  </w:r>
                  <w:r>
                    <w:rPr>
                      <w:color w:val="auto"/>
                      <w:sz w:val="21"/>
                      <w:szCs w:val="21"/>
                    </w:rPr>
                    <w:t>宣威市生态保护红线优先保护单元</w:t>
                  </w:r>
                  <w:r>
                    <w:rPr>
                      <w:rFonts w:hint="eastAsia"/>
                      <w:color w:val="auto"/>
                      <w:sz w:val="21"/>
                      <w:szCs w:val="21"/>
                      <w:lang w:val="en-US" w:eastAsia="zh-CN"/>
                    </w:rPr>
                    <w:t>造成不利影响。</w:t>
                  </w:r>
                </w:p>
              </w:tc>
              <w:tc>
                <w:tcPr>
                  <w:tcW w:w="465" w:type="pct"/>
                  <w:tcBorders>
                    <w:tl2br w:val="nil"/>
                    <w:tr2bl w:val="nil"/>
                  </w:tcBorders>
                  <w:vAlign w:val="center"/>
                </w:tcPr>
                <w:p w14:paraId="490F2C2A">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符合</w:t>
                  </w:r>
                </w:p>
              </w:tc>
            </w:tr>
            <w:tr w14:paraId="10C1E8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12" w:type="pct"/>
                  <w:tcBorders>
                    <w:tl2br w:val="nil"/>
                    <w:tr2bl w:val="nil"/>
                  </w:tcBorders>
                  <w:vAlign w:val="center"/>
                </w:tcPr>
                <w:p w14:paraId="346C9814">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color w:val="auto"/>
                      <w:sz w:val="21"/>
                      <w:szCs w:val="21"/>
                      <w:vertAlign w:val="baseline"/>
                      <w:lang w:val="en-US" w:eastAsia="zh-CN"/>
                    </w:rPr>
                  </w:pPr>
                  <w:r>
                    <w:rPr>
                      <w:color w:val="auto"/>
                      <w:sz w:val="21"/>
                      <w:szCs w:val="21"/>
                    </w:rPr>
                    <w:t>宣威市一般生态空间优先保护单元</w:t>
                  </w:r>
                </w:p>
              </w:tc>
              <w:tc>
                <w:tcPr>
                  <w:tcW w:w="2411" w:type="pct"/>
                  <w:tcBorders>
                    <w:tl2br w:val="nil"/>
                    <w:tr2bl w:val="nil"/>
                  </w:tcBorders>
                  <w:vAlign w:val="center"/>
                </w:tcPr>
                <w:p w14:paraId="2A67C417">
                  <w:pPr>
                    <w:keepNext w:val="0"/>
                    <w:keepLines w:val="0"/>
                    <w:pageBreakBefore w:val="0"/>
                    <w:widowControl/>
                    <w:kinsoku/>
                    <w:wordWrap/>
                    <w:overflowPunct/>
                    <w:topLinePunct w:val="0"/>
                    <w:autoSpaceDE w:val="0"/>
                    <w:autoSpaceDN w:val="0"/>
                    <w:bidi w:val="0"/>
                    <w:adjustRightInd w:val="0"/>
                    <w:snapToGrid w:val="0"/>
                    <w:ind w:left="0" w:leftChars="0" w:firstLine="0" w:firstLineChars="0"/>
                    <w:jc w:val="center"/>
                    <w:textAlignment w:val="baseline"/>
                    <w:rPr>
                      <w:color w:val="auto"/>
                      <w:sz w:val="21"/>
                      <w:szCs w:val="21"/>
                    </w:rPr>
                  </w:pPr>
                  <w:r>
                    <w:rPr>
                      <w:b/>
                      <w:color w:val="auto"/>
                      <w:sz w:val="21"/>
                      <w:szCs w:val="21"/>
                    </w:rPr>
                    <w:t>空间布局约束</w:t>
                  </w:r>
                  <w:r>
                    <w:rPr>
                      <w:rFonts w:hint="eastAsia"/>
                      <w:b/>
                      <w:color w:val="auto"/>
                      <w:sz w:val="21"/>
                      <w:szCs w:val="21"/>
                      <w:lang w:eastAsia="zh-CN"/>
                    </w:rPr>
                    <w:t>：</w:t>
                  </w:r>
                  <w:r>
                    <w:rPr>
                      <w:color w:val="auto"/>
                      <w:sz w:val="21"/>
                      <w:szCs w:val="21"/>
                    </w:rPr>
                    <w:t>1.一般生态空间优先保护单元以保护和修复生态环境、提供生态产品为首要任务，参照主体功能区中重点生态功能区的开发和管制原则进行管控，加强资源环境承载力控制，防止过度垦殖、放牧、采伐、取水、渔猎、旅游等对生态功能造成损害，确保自然生态系统稳定。涉及占用一般生态空间的开发活动应符合相关法律法规规定，没有明确规定的，加强论证和管理。</w:t>
                  </w:r>
                </w:p>
                <w:p w14:paraId="60FD9E97">
                  <w:pPr>
                    <w:keepNext w:val="0"/>
                    <w:keepLines w:val="0"/>
                    <w:pageBreakBefore w:val="0"/>
                    <w:widowControl/>
                    <w:kinsoku/>
                    <w:wordWrap/>
                    <w:overflowPunct/>
                    <w:topLinePunct w:val="0"/>
                    <w:autoSpaceDE w:val="0"/>
                    <w:autoSpaceDN w:val="0"/>
                    <w:bidi w:val="0"/>
                    <w:adjustRightInd w:val="0"/>
                    <w:snapToGrid w:val="0"/>
                    <w:ind w:left="0" w:leftChars="0" w:firstLine="0" w:firstLineChars="0"/>
                    <w:jc w:val="center"/>
                    <w:textAlignment w:val="baseline"/>
                    <w:rPr>
                      <w:rFonts w:hint="default"/>
                      <w:color w:val="auto"/>
                      <w:sz w:val="21"/>
                      <w:szCs w:val="21"/>
                      <w:vertAlign w:val="baseline"/>
                      <w:lang w:val="en-US" w:eastAsia="zh-CN"/>
                    </w:rPr>
                  </w:pPr>
                  <w:r>
                    <w:rPr>
                      <w:color w:val="auto"/>
                      <w:sz w:val="21"/>
                      <w:szCs w:val="21"/>
                    </w:rPr>
                    <w:t>2.暂未纳入生态保护红线的自然保护地按照相关保护地法律法规进行管理；自然保护地优化整合成果获批前，按现行有效法律法规管理。重要湿地依据《湿地保护管理规定》《云南省湿地保护条例》《云南省人民政府关于加强湿地保护工作的意见》等进行管理；生态公益林依据《国家级公益林管理办法》《云南省地方公益林管理办法》进行管理；天然林依据《国家林业局关于严格保护天然林的通知》（林资发〔2015〕181号）、《中共中央办公厅 国务院办公厅关于印发〈天然林保护修复制度方案〉的通知》（厅字〔2019〕39号）等进行管理。</w:t>
                  </w:r>
                </w:p>
              </w:tc>
              <w:tc>
                <w:tcPr>
                  <w:tcW w:w="1509" w:type="pct"/>
                  <w:tcBorders>
                    <w:tl2br w:val="nil"/>
                    <w:tr2bl w:val="nil"/>
                  </w:tcBorders>
                  <w:vAlign w:val="center"/>
                </w:tcPr>
                <w:p w14:paraId="172E1AE5">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eastAsia="宋体"/>
                      <w:color w:val="auto"/>
                      <w:sz w:val="21"/>
                      <w:szCs w:val="21"/>
                      <w:vertAlign w:val="baseline"/>
                      <w:lang w:val="en-US" w:eastAsia="zh-CN"/>
                    </w:rPr>
                  </w:pPr>
                  <w:r>
                    <w:rPr>
                      <w:rFonts w:hint="eastAsia"/>
                      <w:color w:val="auto"/>
                      <w:sz w:val="21"/>
                      <w:szCs w:val="21"/>
                      <w:vertAlign w:val="baseline"/>
                      <w:lang w:val="en-US" w:eastAsia="zh-CN"/>
                    </w:rPr>
                    <w:t>根据项目与曲靖市“三线一单”生态环境分区位置关系查询，本工程占地涉及宣威市一般生态空间优先保护单元，</w:t>
                  </w:r>
                  <w:r>
                    <w:rPr>
                      <w:rFonts w:hint="eastAsia"/>
                      <w:b/>
                      <w:bCs/>
                      <w:color w:val="auto"/>
                      <w:sz w:val="21"/>
                      <w:szCs w:val="21"/>
                      <w:vertAlign w:val="baseline"/>
                      <w:lang w:val="en-US" w:eastAsia="zh-CN"/>
                    </w:rPr>
                    <w:t>本工程占用的一般生态空间优先保护单元为一般草地。项目不涉及占用天然林和国家级公益林，项目XZB16号风机涉及占用省级公益林，现状为次生性云南松林，占用面积为0.0338hm</w:t>
                  </w:r>
                  <w:r>
                    <w:rPr>
                      <w:rFonts w:hint="eastAsia"/>
                      <w:b/>
                      <w:bCs/>
                      <w:color w:val="auto"/>
                      <w:sz w:val="21"/>
                      <w:szCs w:val="21"/>
                      <w:vertAlign w:val="superscript"/>
                      <w:lang w:val="en-US" w:eastAsia="zh-CN"/>
                    </w:rPr>
                    <w:t>2</w:t>
                  </w:r>
                  <w:r>
                    <w:rPr>
                      <w:rFonts w:hint="eastAsia"/>
                      <w:b/>
                      <w:bCs/>
                      <w:color w:val="auto"/>
                      <w:sz w:val="21"/>
                      <w:szCs w:val="21"/>
                      <w:vertAlign w:val="baseline"/>
                      <w:lang w:val="en-US" w:eastAsia="zh-CN"/>
                    </w:rPr>
                    <w:t>，</w:t>
                  </w:r>
                  <w:r>
                    <w:rPr>
                      <w:rFonts w:hint="eastAsia"/>
                      <w:color w:val="auto"/>
                      <w:sz w:val="21"/>
                      <w:szCs w:val="21"/>
                      <w:vertAlign w:val="baseline"/>
                      <w:lang w:val="en-US" w:eastAsia="zh-CN"/>
                    </w:rPr>
                    <w:t>施工期间控制施工边界，做好施工管理后，项目对天然林和公益林的影响较小。</w:t>
                  </w:r>
                </w:p>
              </w:tc>
              <w:tc>
                <w:tcPr>
                  <w:tcW w:w="465" w:type="pct"/>
                  <w:tcBorders>
                    <w:tl2br w:val="nil"/>
                    <w:tr2bl w:val="nil"/>
                  </w:tcBorders>
                  <w:vAlign w:val="center"/>
                </w:tcPr>
                <w:p w14:paraId="5214F96A">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符合</w:t>
                  </w:r>
                </w:p>
              </w:tc>
            </w:tr>
            <w:tr w14:paraId="595A5A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612" w:type="pct"/>
                  <w:tcBorders>
                    <w:tl2br w:val="nil"/>
                    <w:tr2bl w:val="nil"/>
                  </w:tcBorders>
                  <w:vAlign w:val="center"/>
                </w:tcPr>
                <w:p w14:paraId="07FDCE62">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color w:val="auto"/>
                      <w:sz w:val="21"/>
                      <w:szCs w:val="21"/>
                      <w:vertAlign w:val="baseline"/>
                      <w:lang w:val="en-US" w:eastAsia="zh-CN"/>
                    </w:rPr>
                  </w:pPr>
                  <w:r>
                    <w:rPr>
                      <w:color w:val="auto"/>
                      <w:sz w:val="21"/>
                      <w:szCs w:val="21"/>
                    </w:rPr>
                    <w:t>宣威市一般管控单元</w:t>
                  </w:r>
                </w:p>
              </w:tc>
              <w:tc>
                <w:tcPr>
                  <w:tcW w:w="2411" w:type="pct"/>
                  <w:tcBorders>
                    <w:tl2br w:val="nil"/>
                    <w:tr2bl w:val="nil"/>
                  </w:tcBorders>
                  <w:vAlign w:val="center"/>
                </w:tcPr>
                <w:p w14:paraId="55A609EF">
                  <w:pPr>
                    <w:keepNext w:val="0"/>
                    <w:keepLines w:val="0"/>
                    <w:pageBreakBefore w:val="0"/>
                    <w:widowControl/>
                    <w:numPr>
                      <w:ilvl w:val="0"/>
                      <w:numId w:val="0"/>
                    </w:numPr>
                    <w:kinsoku/>
                    <w:wordWrap/>
                    <w:overflowPunct/>
                    <w:topLinePunct w:val="0"/>
                    <w:autoSpaceDE w:val="0"/>
                    <w:autoSpaceDN w:val="0"/>
                    <w:bidi w:val="0"/>
                    <w:adjustRightInd w:val="0"/>
                    <w:snapToGrid w:val="0"/>
                    <w:ind w:left="0" w:leftChars="0" w:firstLine="0" w:firstLineChars="0"/>
                    <w:jc w:val="center"/>
                    <w:textAlignment w:val="baseline"/>
                    <w:rPr>
                      <w:rFonts w:hint="eastAsia"/>
                      <w:b/>
                      <w:color w:val="auto"/>
                      <w:sz w:val="21"/>
                      <w:szCs w:val="21"/>
                      <w:lang w:eastAsia="zh-CN"/>
                    </w:rPr>
                  </w:pPr>
                  <w:r>
                    <w:rPr>
                      <w:rFonts w:hint="eastAsia" w:ascii="Times New Roman" w:hAnsi="Times New Roman" w:eastAsia="宋体" w:cs="Arial"/>
                      <w:b/>
                      <w:snapToGrid w:val="0"/>
                      <w:color w:val="auto"/>
                      <w:kern w:val="0"/>
                      <w:sz w:val="21"/>
                      <w:szCs w:val="21"/>
                      <w:lang w:val="en-US" w:eastAsia="zh-CN" w:bidi="ar-SA"/>
                    </w:rPr>
                    <w:t>（一）</w:t>
                  </w:r>
                  <w:r>
                    <w:rPr>
                      <w:b/>
                      <w:color w:val="auto"/>
                      <w:sz w:val="21"/>
                      <w:szCs w:val="21"/>
                    </w:rPr>
                    <w:t>空间布局约束</w:t>
                  </w:r>
                  <w:r>
                    <w:rPr>
                      <w:rFonts w:hint="eastAsia"/>
                      <w:b/>
                      <w:color w:val="auto"/>
                      <w:sz w:val="21"/>
                      <w:szCs w:val="21"/>
                      <w:lang w:eastAsia="zh-CN"/>
                    </w:rPr>
                    <w:t>：</w:t>
                  </w:r>
                </w:p>
                <w:p w14:paraId="26CA3ECB">
                  <w:pPr>
                    <w:keepNext w:val="0"/>
                    <w:keepLines w:val="0"/>
                    <w:pageBreakBefore w:val="0"/>
                    <w:widowControl/>
                    <w:numPr>
                      <w:ilvl w:val="0"/>
                      <w:numId w:val="0"/>
                    </w:numPr>
                    <w:kinsoku/>
                    <w:wordWrap/>
                    <w:overflowPunct/>
                    <w:topLinePunct w:val="0"/>
                    <w:autoSpaceDE w:val="0"/>
                    <w:autoSpaceDN w:val="0"/>
                    <w:bidi w:val="0"/>
                    <w:adjustRightInd w:val="0"/>
                    <w:snapToGrid w:val="0"/>
                    <w:ind w:left="0" w:leftChars="0" w:firstLine="0" w:firstLineChars="0"/>
                    <w:jc w:val="center"/>
                    <w:textAlignment w:val="baseline"/>
                    <w:rPr>
                      <w:rFonts w:hint="default"/>
                      <w:color w:val="auto"/>
                      <w:sz w:val="21"/>
                      <w:szCs w:val="21"/>
                      <w:vertAlign w:val="baseline"/>
                      <w:lang w:val="en-US" w:eastAsia="zh-CN"/>
                    </w:rPr>
                  </w:pPr>
                  <w:r>
                    <w:rPr>
                      <w:color w:val="auto"/>
                      <w:sz w:val="21"/>
                      <w:szCs w:val="21"/>
                    </w:rPr>
                    <w:t>1.加强耕地和永久基本农田保护，坚决制止耕地“非农化”、防止耕地“非粮化”。2.禁止新建、改扩建中小水电项目，现有中小水电站应按照环评批复（环评批复未明确生态流量的根据来水量科学确定生态流量），确保连续稳定下泄生态流量。</w:t>
                  </w:r>
                  <w:r>
                    <w:rPr>
                      <w:color w:val="auto"/>
                      <w:sz w:val="21"/>
                      <w:szCs w:val="21"/>
                    </w:rPr>
                    <w:br w:type="textWrapping"/>
                  </w:r>
                  <w:r>
                    <w:rPr>
                      <w:b/>
                      <w:color w:val="auto"/>
                      <w:sz w:val="21"/>
                      <w:szCs w:val="21"/>
                    </w:rPr>
                    <w:t>（二）污染物排放管控</w:t>
                  </w:r>
                  <w:r>
                    <w:rPr>
                      <w:rFonts w:hint="eastAsia"/>
                      <w:b/>
                      <w:color w:val="auto"/>
                      <w:sz w:val="21"/>
                      <w:szCs w:val="21"/>
                      <w:lang w:eastAsia="zh-CN"/>
                    </w:rPr>
                    <w:t>：</w:t>
                  </w:r>
                </w:p>
                <w:p w14:paraId="2B55209F">
                  <w:pPr>
                    <w:keepNext w:val="0"/>
                    <w:keepLines w:val="0"/>
                    <w:pageBreakBefore w:val="0"/>
                    <w:widowControl/>
                    <w:numPr>
                      <w:ilvl w:val="0"/>
                      <w:numId w:val="0"/>
                    </w:numPr>
                    <w:kinsoku/>
                    <w:wordWrap/>
                    <w:overflowPunct/>
                    <w:topLinePunct w:val="0"/>
                    <w:autoSpaceDE w:val="0"/>
                    <w:autoSpaceDN w:val="0"/>
                    <w:bidi w:val="0"/>
                    <w:adjustRightInd w:val="0"/>
                    <w:snapToGrid w:val="0"/>
                    <w:ind w:leftChars="0" w:firstLine="0" w:firstLineChars="0"/>
                    <w:jc w:val="center"/>
                    <w:textAlignment w:val="baseline"/>
                    <w:rPr>
                      <w:color w:val="auto"/>
                      <w:sz w:val="21"/>
                      <w:szCs w:val="21"/>
                    </w:rPr>
                  </w:pPr>
                  <w:r>
                    <w:rPr>
                      <w:color w:val="auto"/>
                      <w:sz w:val="21"/>
                      <w:szCs w:val="21"/>
                    </w:rPr>
                    <w:t>1.严禁污水灌溉，灌溉用水应满足《农田灌溉水质标准》。2.现有工业企业应达标排放，逐步提升清洁生产水平，减少污染物排放量。3.加强农业面源污染治理，严格控制化肥农药施用量，合理布局水产养殖，控制水产养殖污染，逐步削减农业面源污染物排放量。</w:t>
                  </w:r>
                </w:p>
                <w:p w14:paraId="07AE54B3">
                  <w:pPr>
                    <w:keepNext w:val="0"/>
                    <w:keepLines w:val="0"/>
                    <w:pageBreakBefore w:val="0"/>
                    <w:widowControl/>
                    <w:numPr>
                      <w:ilvl w:val="0"/>
                      <w:numId w:val="0"/>
                    </w:numPr>
                    <w:kinsoku/>
                    <w:wordWrap/>
                    <w:overflowPunct/>
                    <w:topLinePunct w:val="0"/>
                    <w:autoSpaceDE w:val="0"/>
                    <w:autoSpaceDN w:val="0"/>
                    <w:bidi w:val="0"/>
                    <w:adjustRightInd w:val="0"/>
                    <w:snapToGrid w:val="0"/>
                    <w:ind w:leftChars="0" w:firstLine="0" w:firstLineChars="0"/>
                    <w:jc w:val="center"/>
                    <w:textAlignment w:val="baseline"/>
                    <w:rPr>
                      <w:rFonts w:hint="eastAsia"/>
                      <w:b/>
                      <w:color w:val="auto"/>
                      <w:sz w:val="21"/>
                      <w:szCs w:val="21"/>
                      <w:lang w:eastAsia="zh-CN"/>
                    </w:rPr>
                  </w:pPr>
                  <w:r>
                    <w:rPr>
                      <w:b/>
                      <w:color w:val="auto"/>
                      <w:sz w:val="21"/>
                      <w:szCs w:val="21"/>
                    </w:rPr>
                    <w:t>（三）环境风险防控</w:t>
                  </w:r>
                  <w:r>
                    <w:rPr>
                      <w:rFonts w:hint="eastAsia"/>
                      <w:b/>
                      <w:color w:val="auto"/>
                      <w:sz w:val="21"/>
                      <w:szCs w:val="21"/>
                      <w:lang w:eastAsia="zh-CN"/>
                    </w:rPr>
                    <w:t>：</w:t>
                  </w:r>
                </w:p>
                <w:p w14:paraId="5102DF8C">
                  <w:pPr>
                    <w:keepNext w:val="0"/>
                    <w:keepLines w:val="0"/>
                    <w:pageBreakBefore w:val="0"/>
                    <w:widowControl/>
                    <w:numPr>
                      <w:ilvl w:val="0"/>
                      <w:numId w:val="0"/>
                    </w:numPr>
                    <w:kinsoku/>
                    <w:wordWrap/>
                    <w:overflowPunct/>
                    <w:topLinePunct w:val="0"/>
                    <w:autoSpaceDE w:val="0"/>
                    <w:autoSpaceDN w:val="0"/>
                    <w:bidi w:val="0"/>
                    <w:adjustRightInd w:val="0"/>
                    <w:snapToGrid w:val="0"/>
                    <w:ind w:leftChars="0" w:firstLine="0" w:firstLineChars="0"/>
                    <w:jc w:val="center"/>
                    <w:textAlignment w:val="baseline"/>
                    <w:rPr>
                      <w:rFonts w:hint="default"/>
                      <w:color w:val="auto"/>
                      <w:sz w:val="21"/>
                      <w:szCs w:val="21"/>
                      <w:vertAlign w:val="baseline"/>
                      <w:lang w:val="en-US" w:eastAsia="zh-CN"/>
                    </w:rPr>
                  </w:pPr>
                  <w:r>
                    <w:rPr>
                      <w:color w:val="auto"/>
                      <w:sz w:val="21"/>
                      <w:szCs w:val="21"/>
                    </w:rPr>
                    <w:t>1.禁止使用国家规定的禁限用农药名录中的农药。2.加强环境风险防</w:t>
                  </w:r>
                  <w:r>
                    <w:rPr>
                      <w:rFonts w:hint="eastAsia"/>
                      <w:color w:val="auto"/>
                      <w:sz w:val="21"/>
                      <w:szCs w:val="21"/>
                      <w:lang w:val="en-US" w:eastAsia="zh-CN"/>
                    </w:rPr>
                    <w:t>控</w:t>
                  </w:r>
                  <w:r>
                    <w:rPr>
                      <w:color w:val="auto"/>
                      <w:sz w:val="21"/>
                      <w:szCs w:val="21"/>
                    </w:rPr>
                    <w:t>应急体系建设，加强环境应急预案管理，定期开展应急演练，持续开展环境安全隐患排查整治，提升应急监测能力，加强应急物资管理。</w:t>
                  </w:r>
                  <w:r>
                    <w:rPr>
                      <w:color w:val="auto"/>
                      <w:sz w:val="21"/>
                      <w:szCs w:val="21"/>
                    </w:rPr>
                    <w:br w:type="textWrapping"/>
                  </w:r>
                  <w:r>
                    <w:rPr>
                      <w:b/>
                      <w:color w:val="auto"/>
                      <w:sz w:val="21"/>
                      <w:szCs w:val="21"/>
                    </w:rPr>
                    <w:t>（四）资源开发效率要求</w:t>
                  </w:r>
                  <w:r>
                    <w:rPr>
                      <w:b/>
                      <w:color w:val="auto"/>
                      <w:sz w:val="21"/>
                      <w:szCs w:val="21"/>
                    </w:rPr>
                    <w:br w:type="textWrapping"/>
                  </w:r>
                  <w:r>
                    <w:rPr>
                      <w:color w:val="auto"/>
                      <w:sz w:val="21"/>
                      <w:szCs w:val="21"/>
                    </w:rPr>
                    <w:t>1.优化能源结构，加强能源清洁利用。2.提高土地利用效率，节约集约利用土地资源。</w:t>
                  </w:r>
                </w:p>
              </w:tc>
              <w:tc>
                <w:tcPr>
                  <w:tcW w:w="1509" w:type="pct"/>
                  <w:tcBorders>
                    <w:tl2br w:val="nil"/>
                    <w:tr2bl w:val="nil"/>
                  </w:tcBorders>
                  <w:vAlign w:val="center"/>
                </w:tcPr>
                <w:p w14:paraId="1D116CE5">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eastAsia="宋体"/>
                      <w:color w:val="auto"/>
                      <w:sz w:val="21"/>
                      <w:szCs w:val="21"/>
                      <w:vertAlign w:val="baseline"/>
                      <w:lang w:val="en-US" w:eastAsia="zh-CN"/>
                    </w:rPr>
                  </w:pPr>
                  <w:r>
                    <w:rPr>
                      <w:rFonts w:hint="eastAsia"/>
                      <w:color w:val="auto"/>
                      <w:sz w:val="21"/>
                      <w:szCs w:val="21"/>
                      <w:vertAlign w:val="baseline"/>
                      <w:lang w:val="en-US" w:eastAsia="zh-CN"/>
                    </w:rPr>
                    <w:t>1.</w:t>
                  </w:r>
                  <w:r>
                    <w:rPr>
                      <w:rFonts w:hint="eastAsia"/>
                      <w:b/>
                      <w:bCs/>
                      <w:color w:val="auto"/>
                      <w:sz w:val="21"/>
                      <w:szCs w:val="21"/>
                      <w:vertAlign w:val="baseline"/>
                      <w:lang w:val="en-US" w:eastAsia="zh-CN"/>
                    </w:rPr>
                    <w:t>依据《宣威市自然资源局关于西泽风电场(二期)项目“三区三线”查询的意见》，以及本项目与宣威市自然资源局提供的永久基本农田矢量，本项目不占用永久基本农田</w:t>
                  </w:r>
                  <w:r>
                    <w:rPr>
                      <w:rFonts w:hint="eastAsia"/>
                      <w:color w:val="auto"/>
                      <w:sz w:val="21"/>
                      <w:szCs w:val="21"/>
                      <w:vertAlign w:val="baseline"/>
                      <w:lang w:val="en-US" w:eastAsia="zh-CN"/>
                    </w:rPr>
                    <w:t>；项目永久占地占用耕地0.1038hm</w:t>
                  </w:r>
                  <w:r>
                    <w:rPr>
                      <w:rFonts w:hint="eastAsia"/>
                      <w:color w:val="auto"/>
                      <w:sz w:val="21"/>
                      <w:szCs w:val="21"/>
                      <w:vertAlign w:val="superscript"/>
                      <w:lang w:val="en-US" w:eastAsia="zh-CN"/>
                    </w:rPr>
                    <w:t>2</w:t>
                  </w:r>
                  <w:r>
                    <w:rPr>
                      <w:rFonts w:hint="eastAsia"/>
                      <w:color w:val="auto"/>
                      <w:sz w:val="21"/>
                      <w:szCs w:val="21"/>
                      <w:vertAlign w:val="baseline"/>
                      <w:lang w:val="en-US" w:eastAsia="zh-CN"/>
                    </w:rPr>
                    <w:t>，目前已取得《西泽风电场(二期)用地预审证书》；临时用地占用耕</w:t>
                  </w:r>
                  <w:r>
                    <w:rPr>
                      <w:rFonts w:hint="eastAsia"/>
                      <w:color w:val="auto"/>
                      <w:sz w:val="21"/>
                      <w:szCs w:val="21"/>
                      <w:highlight w:val="none"/>
                      <w:vertAlign w:val="baseline"/>
                      <w:lang w:val="en-US" w:eastAsia="zh-CN"/>
                    </w:rPr>
                    <w:t>地0.6130h</w:t>
                  </w:r>
                  <w:r>
                    <w:rPr>
                      <w:rFonts w:hint="eastAsia"/>
                      <w:color w:val="auto"/>
                      <w:sz w:val="21"/>
                      <w:szCs w:val="21"/>
                      <w:vertAlign w:val="baseline"/>
                      <w:lang w:val="en-US" w:eastAsia="zh-CN"/>
                    </w:rPr>
                    <w:t>m</w:t>
                  </w:r>
                  <w:r>
                    <w:rPr>
                      <w:rFonts w:hint="eastAsia"/>
                      <w:color w:val="auto"/>
                      <w:sz w:val="21"/>
                      <w:szCs w:val="21"/>
                      <w:vertAlign w:val="superscript"/>
                      <w:lang w:val="en-US" w:eastAsia="zh-CN"/>
                    </w:rPr>
                    <w:t>2</w:t>
                  </w:r>
                  <w:r>
                    <w:rPr>
                      <w:rFonts w:hint="eastAsia"/>
                      <w:color w:val="auto"/>
                      <w:sz w:val="21"/>
                      <w:szCs w:val="21"/>
                      <w:vertAlign w:val="baseline"/>
                      <w:lang w:val="en-US" w:eastAsia="zh-CN"/>
                    </w:rPr>
                    <w:t>，用地手续正在办理中。本项目为风力发电项目，不涉及</w:t>
                  </w:r>
                  <w:r>
                    <w:rPr>
                      <w:color w:val="auto"/>
                      <w:sz w:val="21"/>
                      <w:szCs w:val="21"/>
                    </w:rPr>
                    <w:t>中小水电站</w:t>
                  </w:r>
                  <w:r>
                    <w:rPr>
                      <w:rFonts w:hint="eastAsia"/>
                      <w:color w:val="auto"/>
                      <w:sz w:val="21"/>
                      <w:szCs w:val="21"/>
                      <w:lang w:eastAsia="zh-CN"/>
                    </w:rPr>
                    <w:t>、</w:t>
                  </w:r>
                  <w:r>
                    <w:rPr>
                      <w:color w:val="auto"/>
                      <w:sz w:val="21"/>
                      <w:szCs w:val="21"/>
                    </w:rPr>
                    <w:t>污水灌溉</w:t>
                  </w:r>
                  <w:r>
                    <w:rPr>
                      <w:rFonts w:hint="eastAsia"/>
                      <w:color w:val="auto"/>
                      <w:sz w:val="21"/>
                      <w:szCs w:val="21"/>
                      <w:lang w:eastAsia="zh-CN"/>
                    </w:rPr>
                    <w:t>，</w:t>
                  </w:r>
                  <w:r>
                    <w:rPr>
                      <w:rFonts w:hint="eastAsia"/>
                      <w:color w:val="auto"/>
                      <w:sz w:val="21"/>
                      <w:szCs w:val="21"/>
                      <w:lang w:val="en-US" w:eastAsia="zh-CN"/>
                    </w:rPr>
                    <w:t>项目施工期和运营期污废水收集处理后回用，不外排。环评要求，建设单位制定《环境风险事故应急预案》并定期演练，降低事故风险影响。项目为风机发电项目，属于清洁能源；项目永久占地已取得</w:t>
                  </w:r>
                  <w:r>
                    <w:rPr>
                      <w:rFonts w:hint="eastAsia"/>
                      <w:color w:val="auto"/>
                      <w:sz w:val="21"/>
                      <w:szCs w:val="21"/>
                      <w:vertAlign w:val="baseline"/>
                      <w:lang w:val="en-US" w:eastAsia="zh-CN"/>
                    </w:rPr>
                    <w:t>《西泽风电场(二期)用地预审证书》，临时占地用地手续正在办理中。</w:t>
                  </w:r>
                  <w:r>
                    <w:rPr>
                      <w:rFonts w:hint="eastAsia"/>
                      <w:color w:val="auto"/>
                      <w:sz w:val="21"/>
                      <w:szCs w:val="21"/>
                      <w:lang w:val="en-US" w:eastAsia="zh-CN"/>
                    </w:rPr>
                    <w:t>建设前期和施工期应尽可能优化选址选线，</w:t>
                  </w:r>
                  <w:r>
                    <w:rPr>
                      <w:color w:val="auto"/>
                      <w:sz w:val="21"/>
                      <w:szCs w:val="21"/>
                    </w:rPr>
                    <w:t>节约集约利用土地资源。</w:t>
                  </w:r>
                </w:p>
              </w:tc>
              <w:tc>
                <w:tcPr>
                  <w:tcW w:w="465" w:type="pct"/>
                  <w:tcBorders>
                    <w:tl2br w:val="nil"/>
                    <w:tr2bl w:val="nil"/>
                  </w:tcBorders>
                  <w:vAlign w:val="center"/>
                </w:tcPr>
                <w:p w14:paraId="3539571E">
                  <w:pPr>
                    <w:keepNext w:val="0"/>
                    <w:keepLines w:val="0"/>
                    <w:pageBreakBefore w:val="0"/>
                    <w:widowControl/>
                    <w:kinsoku/>
                    <w:wordWrap/>
                    <w:overflowPunct/>
                    <w:topLinePunct w:val="0"/>
                    <w:autoSpaceDE w:val="0"/>
                    <w:autoSpaceDN w:val="0"/>
                    <w:bidi w:val="0"/>
                    <w:adjustRightInd w:val="0"/>
                    <w:snapToGrid w:val="0"/>
                    <w:ind w:firstLine="0" w:firstLineChars="0"/>
                    <w:jc w:val="center"/>
                    <w:textAlignment w:val="baseline"/>
                    <w:rPr>
                      <w:rFonts w:hint="default"/>
                      <w:color w:val="auto"/>
                      <w:sz w:val="21"/>
                      <w:szCs w:val="21"/>
                      <w:vertAlign w:val="baseline"/>
                      <w:lang w:val="en-US" w:eastAsia="zh-CN"/>
                    </w:rPr>
                  </w:pPr>
                  <w:r>
                    <w:rPr>
                      <w:rFonts w:hint="eastAsia"/>
                      <w:color w:val="auto"/>
                      <w:sz w:val="21"/>
                      <w:szCs w:val="21"/>
                      <w:vertAlign w:val="baseline"/>
                      <w:lang w:val="en-US" w:eastAsia="zh-CN"/>
                    </w:rPr>
                    <w:t>符合</w:t>
                  </w:r>
                </w:p>
              </w:tc>
            </w:tr>
          </w:tbl>
          <w:p w14:paraId="74C71377">
            <w:pPr>
              <w:pStyle w:val="37"/>
              <w:bidi w:val="0"/>
              <w:rPr>
                <w:rFonts w:hint="default"/>
                <w:color w:val="auto"/>
                <w:lang w:val="en-US" w:eastAsia="zh-CN"/>
              </w:rPr>
            </w:pPr>
          </w:p>
          <w:p w14:paraId="6BC9A6B1">
            <w:pPr>
              <w:pStyle w:val="27"/>
              <w:bidi w:val="0"/>
              <w:rPr>
                <w:rFonts w:hint="eastAsia"/>
                <w:color w:val="auto"/>
                <w:highlight w:val="none"/>
                <w:lang w:val="en-US" w:eastAsia="zh-CN"/>
              </w:rPr>
            </w:pPr>
            <w:r>
              <w:rPr>
                <w:rFonts w:hint="eastAsia"/>
                <w:color w:val="auto"/>
                <w:highlight w:val="none"/>
                <w:lang w:val="en-US" w:eastAsia="zh-CN"/>
              </w:rPr>
              <w:drawing>
                <wp:inline distT="0" distB="0" distL="114300" distR="114300">
                  <wp:extent cx="4079875" cy="7912735"/>
                  <wp:effectExtent l="0" t="0" r="15875" b="12065"/>
                  <wp:docPr id="40" name="图片 40" descr="管控单元截图2026060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管控单元截图20260604 (1)"/>
                          <pic:cNvPicPr>
                            <a:picLocks noChangeAspect="1"/>
                          </pic:cNvPicPr>
                        </pic:nvPicPr>
                        <pic:blipFill>
                          <a:blip r:embed="rId34"/>
                          <a:stretch>
                            <a:fillRect/>
                          </a:stretch>
                        </pic:blipFill>
                        <pic:spPr>
                          <a:xfrm>
                            <a:off x="0" y="0"/>
                            <a:ext cx="4079875" cy="7912735"/>
                          </a:xfrm>
                          <a:prstGeom prst="rect">
                            <a:avLst/>
                          </a:prstGeom>
                        </pic:spPr>
                      </pic:pic>
                    </a:graphicData>
                  </a:graphic>
                </wp:inline>
              </w:drawing>
            </w:r>
          </w:p>
          <w:p w14:paraId="6B2BFC2C">
            <w:pPr>
              <w:pStyle w:val="27"/>
              <w:bidi w:val="0"/>
              <w:rPr>
                <w:rFonts w:hint="default"/>
                <w:color w:val="auto"/>
                <w:highlight w:val="none"/>
                <w:lang w:val="en-US" w:eastAsia="zh-CN"/>
              </w:rPr>
            </w:pPr>
            <w:r>
              <w:rPr>
                <w:rFonts w:hint="eastAsia"/>
                <w:color w:val="auto"/>
                <w:highlight w:val="none"/>
                <w:lang w:val="en-US" w:eastAsia="zh-CN"/>
              </w:rPr>
              <w:t>图1-2  项目与曲靖市管控单元的位置关系图</w:t>
            </w:r>
          </w:p>
          <w:p w14:paraId="59F3FD84">
            <w:pPr>
              <w:pStyle w:val="5"/>
              <w:bidi w:val="0"/>
              <w:rPr>
                <w:rFonts w:hint="default" w:ascii="Times New Roman" w:hAnsi="Times New Roman" w:cs="Times New Roman"/>
                <w:color w:val="auto"/>
              </w:rPr>
            </w:pPr>
            <w:r>
              <w:rPr>
                <w:rFonts w:hint="default" w:ascii="Times New Roman" w:hAnsi="Times New Roman" w:cs="Times New Roman"/>
                <w:color w:val="auto"/>
                <w:lang w:val="en-US" w:eastAsia="zh-CN"/>
              </w:rPr>
              <w:t>3.</w:t>
            </w:r>
            <w:r>
              <w:rPr>
                <w:rFonts w:hint="default" w:ascii="Times New Roman" w:hAnsi="Times New Roman" w:cs="Times New Roman"/>
                <w:color w:val="auto"/>
              </w:rPr>
              <w:t>与云南省生物多样性保护战略与行动计划</w:t>
            </w:r>
            <w:r>
              <w:rPr>
                <w:rFonts w:hint="default" w:ascii="Times New Roman" w:hAnsi="Times New Roman" w:cs="Times New Roman"/>
                <w:color w:val="auto"/>
                <w:lang w:eastAsia="zh-CN"/>
              </w:rPr>
              <w:t>（</w:t>
            </w:r>
            <w:r>
              <w:rPr>
                <w:rFonts w:hint="default" w:ascii="Times New Roman" w:hAnsi="Times New Roman" w:cs="Times New Roman"/>
                <w:color w:val="auto"/>
              </w:rPr>
              <w:t>2024~2030</w:t>
            </w:r>
            <w:r>
              <w:rPr>
                <w:rFonts w:hint="default" w:ascii="Times New Roman" w:hAnsi="Times New Roman" w:cs="Times New Roman"/>
                <w:color w:val="auto"/>
                <w:lang w:eastAsia="zh-CN"/>
              </w:rPr>
              <w:t>）</w:t>
            </w:r>
            <w:r>
              <w:rPr>
                <w:rFonts w:hint="default" w:ascii="Times New Roman" w:hAnsi="Times New Roman" w:cs="Times New Roman"/>
                <w:color w:val="auto"/>
              </w:rPr>
              <w:t>的符合性分析</w:t>
            </w:r>
          </w:p>
          <w:p w14:paraId="7D13CA36">
            <w:pPr>
              <w:bidi w:val="0"/>
              <w:rPr>
                <w:rFonts w:hint="default" w:ascii="Times New Roman" w:hAnsi="Times New Roman" w:cs="Times New Roman"/>
                <w:color w:val="auto"/>
              </w:rPr>
            </w:pPr>
            <w:r>
              <w:rPr>
                <w:rFonts w:hint="default" w:ascii="Times New Roman" w:hAnsi="Times New Roman" w:cs="Times New Roman"/>
                <w:color w:val="auto"/>
              </w:rPr>
              <w:t>2013年2月5日云南省人民政府十二届第二次常务会议审议通过了《云南省生物多样性保护战略与行动计划</w:t>
            </w:r>
            <w:r>
              <w:rPr>
                <w:rFonts w:hint="default" w:ascii="Times New Roman" w:hAnsi="Times New Roman" w:cs="Times New Roman"/>
                <w:color w:val="auto"/>
                <w:lang w:eastAsia="zh-CN"/>
              </w:rPr>
              <w:t>（</w:t>
            </w:r>
            <w:r>
              <w:rPr>
                <w:rFonts w:hint="default" w:ascii="Times New Roman" w:hAnsi="Times New Roman" w:cs="Times New Roman"/>
                <w:color w:val="auto"/>
              </w:rPr>
              <w:t>2012</w:t>
            </w:r>
            <w:r>
              <w:rPr>
                <w:rFonts w:hint="eastAsia" w:cs="Times New Roman"/>
                <w:color w:val="auto"/>
                <w:lang w:eastAsia="zh-CN"/>
              </w:rPr>
              <w:t>—</w:t>
            </w:r>
            <w:r>
              <w:rPr>
                <w:rFonts w:hint="default" w:ascii="Times New Roman" w:hAnsi="Times New Roman" w:cs="Times New Roman"/>
                <w:color w:val="auto"/>
              </w:rPr>
              <w:t>2030年</w:t>
            </w:r>
            <w:r>
              <w:rPr>
                <w:rFonts w:hint="default" w:ascii="Times New Roman" w:hAnsi="Times New Roman" w:cs="Times New Roman"/>
                <w:color w:val="auto"/>
                <w:lang w:eastAsia="zh-CN"/>
              </w:rPr>
              <w:t>）</w:t>
            </w:r>
            <w:r>
              <w:rPr>
                <w:rFonts w:hint="default" w:ascii="Times New Roman" w:hAnsi="Times New Roman" w:cs="Times New Roman"/>
                <w:color w:val="auto"/>
              </w:rPr>
              <w:t>》</w:t>
            </w:r>
            <w:r>
              <w:rPr>
                <w:rFonts w:hint="default" w:ascii="Times New Roman" w:hAnsi="Times New Roman" w:cs="Times New Roman"/>
                <w:color w:val="auto"/>
                <w:lang w:eastAsia="zh-CN"/>
              </w:rPr>
              <w:t>，</w:t>
            </w:r>
            <w:r>
              <w:rPr>
                <w:rFonts w:hint="default" w:ascii="Times New Roman" w:hAnsi="Times New Roman" w:cs="Times New Roman"/>
                <w:color w:val="auto"/>
              </w:rPr>
              <w:t>2024年5月21日云南省生态环境厅等11个部门联合印发了《云南省生物多样性保护战略与行动计划</w:t>
            </w:r>
            <w:r>
              <w:rPr>
                <w:rFonts w:hint="default" w:ascii="Times New Roman" w:hAnsi="Times New Roman" w:cs="Times New Roman"/>
                <w:color w:val="auto"/>
                <w:lang w:eastAsia="zh-CN"/>
              </w:rPr>
              <w:t>（</w:t>
            </w:r>
            <w:r>
              <w:rPr>
                <w:rFonts w:hint="default" w:ascii="Times New Roman" w:hAnsi="Times New Roman" w:cs="Times New Roman"/>
                <w:color w:val="auto"/>
              </w:rPr>
              <w:t>2024—2030年</w:t>
            </w:r>
            <w:r>
              <w:rPr>
                <w:rFonts w:hint="default" w:ascii="Times New Roman" w:hAnsi="Times New Roman" w:cs="Times New Roman"/>
                <w:color w:val="auto"/>
                <w:lang w:eastAsia="zh-CN"/>
              </w:rPr>
              <w:t>）</w:t>
            </w:r>
            <w:r>
              <w:rPr>
                <w:rFonts w:hint="default" w:ascii="Times New Roman" w:hAnsi="Times New Roman" w:cs="Times New Roman"/>
                <w:color w:val="auto"/>
              </w:rPr>
              <w:t>》。该计划结合云南生态系统类型的典型性、特有程度、特殊生态功能以及物种的丰富程度、珍稀濒危程度、受威胁因子、经济用途、科学研究价值等其他因素，提出了全省生物多样性保护的6个一级优先区域和18个二级优先区域，16个州/市、101个县、市、区，总面积约9.5万km</w:t>
            </w:r>
            <w:r>
              <w:rPr>
                <w:rFonts w:hint="default" w:ascii="Times New Roman" w:hAnsi="Times New Roman" w:cs="Times New Roman"/>
                <w:color w:val="auto"/>
                <w:vertAlign w:val="superscript"/>
              </w:rPr>
              <w:t>2</w:t>
            </w:r>
            <w:r>
              <w:rPr>
                <w:rFonts w:hint="default" w:ascii="Times New Roman" w:hAnsi="Times New Roman" w:cs="Times New Roman"/>
                <w:color w:val="auto"/>
                <w:lang w:eastAsia="zh-CN"/>
              </w:rPr>
              <w:t>，</w:t>
            </w:r>
            <w:r>
              <w:rPr>
                <w:rFonts w:hint="default" w:ascii="Times New Roman" w:hAnsi="Times New Roman" w:cs="Times New Roman"/>
                <w:color w:val="auto"/>
              </w:rPr>
              <w:t>占云南国土面积的23.8</w:t>
            </w:r>
            <w:r>
              <w:rPr>
                <w:rFonts w:hint="default" w:ascii="Times New Roman" w:hAnsi="Times New Roman" w:cs="Times New Roman"/>
                <w:color w:val="auto"/>
                <w:lang w:val="en-US" w:eastAsia="zh-CN"/>
              </w:rPr>
              <w:t>%</w:t>
            </w:r>
            <w:r>
              <w:rPr>
                <w:rFonts w:hint="default" w:ascii="Times New Roman" w:hAnsi="Times New Roman" w:cs="Times New Roman"/>
                <w:color w:val="auto"/>
                <w:lang w:eastAsia="zh-CN"/>
              </w:rPr>
              <w:t>，</w:t>
            </w:r>
            <w:r>
              <w:rPr>
                <w:rFonts w:hint="default" w:ascii="Times New Roman" w:hAnsi="Times New Roman" w:cs="Times New Roman"/>
                <w:color w:val="auto"/>
              </w:rPr>
              <w:t>并针对6个优先区域提出了9大保护优先领域和34项行动。</w:t>
            </w:r>
          </w:p>
          <w:p w14:paraId="3438E771">
            <w:pPr>
              <w:bidi w:val="0"/>
              <w:rPr>
                <w:rFonts w:hint="default" w:ascii="Times New Roman" w:hAnsi="Times New Roman" w:cs="Times New Roman"/>
                <w:color w:val="auto"/>
              </w:rPr>
            </w:pPr>
            <w:r>
              <w:rPr>
                <w:rFonts w:hint="default" w:ascii="Times New Roman" w:hAnsi="Times New Roman" w:cs="Times New Roman"/>
                <w:color w:val="auto"/>
              </w:rPr>
              <w:t>经查，本项目所在区域不属于该计划划定的生物多样性保护的优先保护区域，与云南省生物多样性保护战略与行动计划</w:t>
            </w:r>
            <w:r>
              <w:rPr>
                <w:rFonts w:hint="default" w:ascii="Times New Roman" w:hAnsi="Times New Roman" w:cs="Times New Roman"/>
                <w:color w:val="auto"/>
                <w:lang w:eastAsia="zh-CN"/>
              </w:rPr>
              <w:t>（</w:t>
            </w:r>
            <w:r>
              <w:rPr>
                <w:rFonts w:hint="default" w:ascii="Times New Roman" w:hAnsi="Times New Roman" w:cs="Times New Roman"/>
                <w:color w:val="auto"/>
              </w:rPr>
              <w:t>2024~2030</w:t>
            </w:r>
            <w:r>
              <w:rPr>
                <w:rFonts w:hint="default" w:ascii="Times New Roman" w:hAnsi="Times New Roman" w:cs="Times New Roman"/>
                <w:color w:val="auto"/>
                <w:lang w:eastAsia="zh-CN"/>
              </w:rPr>
              <w:t>）</w:t>
            </w:r>
            <w:r>
              <w:rPr>
                <w:rFonts w:hint="default" w:ascii="Times New Roman" w:hAnsi="Times New Roman" w:cs="Times New Roman"/>
                <w:color w:val="auto"/>
              </w:rPr>
              <w:t>不冲突。</w:t>
            </w:r>
          </w:p>
          <w:p w14:paraId="3A261EC0">
            <w:pPr>
              <w:pStyle w:val="5"/>
              <w:bidi w:val="0"/>
              <w:rPr>
                <w:rFonts w:hint="default" w:ascii="Times New Roman" w:hAnsi="Times New Roman" w:cs="Times New Roman"/>
                <w:color w:val="auto"/>
              </w:rPr>
            </w:pPr>
            <w:r>
              <w:rPr>
                <w:rFonts w:hint="default" w:ascii="Times New Roman" w:hAnsi="Times New Roman" w:cs="Times New Roman"/>
                <w:color w:val="auto"/>
                <w:lang w:val="en-US" w:eastAsia="zh-CN"/>
              </w:rPr>
              <w:t>4</w:t>
            </w:r>
            <w:r>
              <w:rPr>
                <w:rFonts w:hint="default" w:ascii="Times New Roman" w:hAnsi="Times New Roman" w:cs="Times New Roman"/>
                <w:color w:val="auto"/>
                <w:lang w:eastAsia="zh-CN"/>
              </w:rPr>
              <w:t>.</w:t>
            </w:r>
            <w:r>
              <w:rPr>
                <w:rFonts w:hint="default" w:ascii="Times New Roman" w:hAnsi="Times New Roman" w:cs="Times New Roman"/>
                <w:color w:val="auto"/>
              </w:rPr>
              <w:t>与《云南省生物多样性保护条例》的符合性分析</w:t>
            </w:r>
          </w:p>
          <w:p w14:paraId="5F1E2BB7">
            <w:pPr>
              <w:pageBreakBefore w:val="0"/>
              <w:widowControl/>
              <w:kinsoku/>
              <w:wordWrap/>
              <w:overflowPunct/>
              <w:bidi w:val="0"/>
              <w:adjustRightInd w:val="0"/>
              <w:snapToGrid w:val="0"/>
              <w:spacing w:line="360" w:lineRule="auto"/>
              <w:ind w:firstLine="480" w:firstLineChars="200"/>
              <w:rPr>
                <w:rFonts w:hint="default" w:ascii="Times New Roman" w:hAnsi="Times New Roman" w:cs="Times New Roman"/>
                <w:color w:val="auto"/>
              </w:rPr>
            </w:pPr>
            <w:r>
              <w:rPr>
                <w:rFonts w:hint="default" w:ascii="Times New Roman" w:hAnsi="Times New Roman" w:eastAsia="宋体" w:cs="Times New Roman"/>
                <w:color w:val="auto"/>
                <w:kern w:val="0"/>
                <w:szCs w:val="21"/>
              </w:rPr>
              <w:t>《云南省生物多样性保护条例》于2018年9月21日经云南省第十三届人大常委会第五次会议通过，于2019年1月1日起施行。《条例》遵循保护优先、持续利用、公众参与、惠益分享、保护受益、损害担责的原则，共7章40条。</w:t>
            </w:r>
          </w:p>
          <w:p w14:paraId="435C32CE">
            <w:pPr>
              <w:pStyle w:val="27"/>
              <w:pageBreakBefore w:val="0"/>
              <w:kinsoku/>
              <w:wordWrap/>
              <w:overflowPunct/>
              <w:bidi w:val="0"/>
              <w:rPr>
                <w:rFonts w:hint="default" w:ascii="Times New Roman" w:hAnsi="Times New Roman" w:cs="Times New Roman"/>
                <w:color w:val="auto"/>
              </w:rPr>
            </w:pPr>
            <w:r>
              <w:rPr>
                <w:rFonts w:hint="default" w:ascii="Times New Roman" w:hAnsi="Times New Roman" w:cs="Times New Roman"/>
                <w:color w:val="auto"/>
              </w:rPr>
              <w:t>表1-</w:t>
            </w:r>
            <w:r>
              <w:rPr>
                <w:rFonts w:hint="eastAsia" w:cs="Times New Roman"/>
                <w:color w:val="auto"/>
                <w:lang w:val="en-US" w:eastAsia="zh-CN"/>
              </w:rPr>
              <w:t>5</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与《云南省生物多样性保护条例》符合性</w:t>
            </w:r>
          </w:p>
          <w:tbl>
            <w:tblPr>
              <w:tblStyle w:val="26"/>
              <w:tblW w:w="4892"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4259"/>
              <w:gridCol w:w="2805"/>
              <w:gridCol w:w="763"/>
            </w:tblGrid>
            <w:tr w14:paraId="38738D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2720" w:type="pct"/>
                  <w:tcBorders>
                    <w:tl2br w:val="nil"/>
                    <w:tr2bl w:val="nil"/>
                  </w:tcBorders>
                  <w:vAlign w:val="center"/>
                </w:tcPr>
                <w:p w14:paraId="596E0755">
                  <w:pPr>
                    <w:pStyle w:val="37"/>
                    <w:bidi w:val="0"/>
                    <w:rPr>
                      <w:rFonts w:hint="default" w:ascii="Times New Roman" w:hAnsi="Times New Roman" w:cs="Times New Roman"/>
                      <w:color w:val="auto"/>
                    </w:rPr>
                  </w:pPr>
                  <w:r>
                    <w:rPr>
                      <w:rFonts w:hint="default"/>
                      <w:color w:val="auto"/>
                    </w:rPr>
                    <w:t>《条例》要求</w:t>
                  </w:r>
                </w:p>
              </w:tc>
              <w:tc>
                <w:tcPr>
                  <w:tcW w:w="1791" w:type="pct"/>
                  <w:tcBorders>
                    <w:tl2br w:val="nil"/>
                    <w:tr2bl w:val="nil"/>
                  </w:tcBorders>
                  <w:vAlign w:val="center"/>
                </w:tcPr>
                <w:p w14:paraId="0A6FB16D">
                  <w:pPr>
                    <w:pStyle w:val="37"/>
                    <w:bidi w:val="0"/>
                    <w:rPr>
                      <w:rFonts w:hint="default" w:ascii="Times New Roman" w:hAnsi="Times New Roman" w:cs="Times New Roman"/>
                      <w:color w:val="auto"/>
                    </w:rPr>
                  </w:pPr>
                  <w:r>
                    <w:rPr>
                      <w:rFonts w:hint="default"/>
                      <w:color w:val="auto"/>
                    </w:rPr>
                    <w:t>项目情况</w:t>
                  </w:r>
                </w:p>
              </w:tc>
              <w:tc>
                <w:tcPr>
                  <w:tcW w:w="487" w:type="pct"/>
                  <w:tcBorders>
                    <w:tl2br w:val="nil"/>
                    <w:tr2bl w:val="nil"/>
                  </w:tcBorders>
                  <w:vAlign w:val="center"/>
                </w:tcPr>
                <w:p w14:paraId="113E39E0">
                  <w:pPr>
                    <w:pStyle w:val="37"/>
                    <w:bidi w:val="0"/>
                    <w:rPr>
                      <w:rFonts w:hint="default" w:ascii="Times New Roman" w:hAnsi="Times New Roman" w:cs="Times New Roman"/>
                      <w:color w:val="auto"/>
                    </w:rPr>
                  </w:pPr>
                  <w:r>
                    <w:rPr>
                      <w:rFonts w:hint="default"/>
                      <w:color w:val="auto"/>
                    </w:rPr>
                    <w:t>相符性</w:t>
                  </w:r>
                </w:p>
              </w:tc>
            </w:tr>
            <w:tr w14:paraId="4EAE9C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09" w:hRule="atLeast"/>
                <w:jc w:val="center"/>
              </w:trPr>
              <w:tc>
                <w:tcPr>
                  <w:tcW w:w="2720" w:type="pct"/>
                  <w:tcBorders>
                    <w:tl2br w:val="nil"/>
                    <w:tr2bl w:val="nil"/>
                  </w:tcBorders>
                  <w:vAlign w:val="center"/>
                </w:tcPr>
                <w:p w14:paraId="674C3239">
                  <w:pPr>
                    <w:pStyle w:val="37"/>
                    <w:bidi w:val="0"/>
                    <w:rPr>
                      <w:rFonts w:hint="default" w:ascii="Times New Roman" w:hAnsi="Times New Roman" w:cs="Times New Roman"/>
                      <w:color w:val="auto"/>
                    </w:rPr>
                  </w:pPr>
                  <w:r>
                    <w:rPr>
                      <w:rFonts w:hint="default"/>
                      <w:color w:val="auto"/>
                    </w:rPr>
                    <w:t>1.境内外组织或者个人对野生生物物种进行采集、收购、野外考察或者携带、邮寄出境，应当遵守有关法律法规规定。</w:t>
                  </w:r>
                </w:p>
              </w:tc>
              <w:tc>
                <w:tcPr>
                  <w:tcW w:w="1791" w:type="pct"/>
                  <w:tcBorders>
                    <w:tl2br w:val="nil"/>
                    <w:tr2bl w:val="nil"/>
                  </w:tcBorders>
                  <w:vAlign w:val="center"/>
                </w:tcPr>
                <w:p w14:paraId="11DFF0B0">
                  <w:pPr>
                    <w:pStyle w:val="37"/>
                    <w:bidi w:val="0"/>
                    <w:rPr>
                      <w:rFonts w:hint="default" w:ascii="Times New Roman" w:hAnsi="Times New Roman" w:cs="Times New Roman"/>
                      <w:color w:val="auto"/>
                    </w:rPr>
                  </w:pPr>
                  <w:r>
                    <w:rPr>
                      <w:rFonts w:hint="default"/>
                      <w:color w:val="auto"/>
                    </w:rPr>
                    <w:t>本项目野外调查时对调查区域内的生物物种主要采取拍照的调查记录方式。</w:t>
                  </w:r>
                </w:p>
              </w:tc>
              <w:tc>
                <w:tcPr>
                  <w:tcW w:w="487" w:type="pct"/>
                  <w:tcBorders>
                    <w:tl2br w:val="nil"/>
                    <w:tr2bl w:val="nil"/>
                  </w:tcBorders>
                  <w:vAlign w:val="center"/>
                </w:tcPr>
                <w:p w14:paraId="0A469A61">
                  <w:pPr>
                    <w:pStyle w:val="37"/>
                    <w:bidi w:val="0"/>
                    <w:rPr>
                      <w:rFonts w:hint="default" w:ascii="Times New Roman" w:hAnsi="Times New Roman" w:cs="Times New Roman"/>
                      <w:color w:val="auto"/>
                    </w:rPr>
                  </w:pPr>
                  <w:r>
                    <w:rPr>
                      <w:rFonts w:hint="default"/>
                      <w:color w:val="auto"/>
                    </w:rPr>
                    <w:t>符合</w:t>
                  </w:r>
                </w:p>
              </w:tc>
            </w:tr>
            <w:tr w14:paraId="1D31FB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09" w:hRule="atLeast"/>
                <w:jc w:val="center"/>
              </w:trPr>
              <w:tc>
                <w:tcPr>
                  <w:tcW w:w="2720" w:type="pct"/>
                  <w:tcBorders>
                    <w:tl2br w:val="nil"/>
                    <w:tr2bl w:val="nil"/>
                  </w:tcBorders>
                  <w:vAlign w:val="center"/>
                </w:tcPr>
                <w:p w14:paraId="639E16F1">
                  <w:pPr>
                    <w:pStyle w:val="37"/>
                    <w:bidi w:val="0"/>
                    <w:rPr>
                      <w:rFonts w:hint="default" w:ascii="Times New Roman" w:hAnsi="Times New Roman" w:cs="Times New Roman"/>
                      <w:color w:val="auto"/>
                    </w:rPr>
                  </w:pPr>
                  <w:r>
                    <w:rPr>
                      <w:rFonts w:hint="default"/>
                      <w:color w:val="auto"/>
                    </w:rPr>
                    <w:t>2.禁止扩散、放生或者丢弃外来入侵物种。</w:t>
                  </w:r>
                </w:p>
              </w:tc>
              <w:tc>
                <w:tcPr>
                  <w:tcW w:w="1791" w:type="pct"/>
                  <w:tcBorders>
                    <w:tl2br w:val="nil"/>
                    <w:tr2bl w:val="nil"/>
                  </w:tcBorders>
                  <w:vAlign w:val="center"/>
                </w:tcPr>
                <w:p w14:paraId="04E39555">
                  <w:pPr>
                    <w:pStyle w:val="37"/>
                    <w:bidi w:val="0"/>
                    <w:rPr>
                      <w:rFonts w:hint="default" w:ascii="Times New Roman" w:hAnsi="Times New Roman" w:cs="Times New Roman"/>
                      <w:color w:val="auto"/>
                    </w:rPr>
                  </w:pPr>
                  <w:r>
                    <w:rPr>
                      <w:rFonts w:hint="default"/>
                      <w:color w:val="auto"/>
                    </w:rPr>
                    <w:t>本项目生态修复时使用的植物物种均为项目区域常见本土物种。</w:t>
                  </w:r>
                </w:p>
              </w:tc>
              <w:tc>
                <w:tcPr>
                  <w:tcW w:w="487" w:type="pct"/>
                  <w:tcBorders>
                    <w:tl2br w:val="nil"/>
                    <w:tr2bl w:val="nil"/>
                  </w:tcBorders>
                  <w:vAlign w:val="center"/>
                </w:tcPr>
                <w:p w14:paraId="3BCDD093">
                  <w:pPr>
                    <w:pStyle w:val="37"/>
                    <w:bidi w:val="0"/>
                    <w:rPr>
                      <w:rFonts w:hint="default" w:ascii="Times New Roman" w:hAnsi="Times New Roman" w:cs="Times New Roman"/>
                      <w:color w:val="auto"/>
                    </w:rPr>
                  </w:pPr>
                  <w:r>
                    <w:rPr>
                      <w:rFonts w:hint="default"/>
                      <w:color w:val="auto"/>
                    </w:rPr>
                    <w:t>符合</w:t>
                  </w:r>
                </w:p>
              </w:tc>
            </w:tr>
            <w:tr w14:paraId="20C6D1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9" w:hRule="atLeast"/>
                <w:jc w:val="center"/>
              </w:trPr>
              <w:tc>
                <w:tcPr>
                  <w:tcW w:w="2720" w:type="pct"/>
                  <w:tcBorders>
                    <w:tl2br w:val="nil"/>
                    <w:tr2bl w:val="nil"/>
                  </w:tcBorders>
                  <w:vAlign w:val="center"/>
                </w:tcPr>
                <w:p w14:paraId="4EFCB0CD">
                  <w:pPr>
                    <w:pStyle w:val="37"/>
                    <w:bidi w:val="0"/>
                    <w:rPr>
                      <w:rFonts w:hint="default"/>
                      <w:color w:val="auto"/>
                    </w:rPr>
                  </w:pPr>
                  <w:r>
                    <w:rPr>
                      <w:rFonts w:hint="default"/>
                      <w:color w:val="auto"/>
                    </w:rPr>
                    <w:t>3.在生物多样性保护优先区域的建设项目以及自然资源开发，应当评价对生物多样性的影</w:t>
                  </w:r>
                </w:p>
                <w:p w14:paraId="01F8CDC7">
                  <w:pPr>
                    <w:pStyle w:val="37"/>
                    <w:bidi w:val="0"/>
                    <w:rPr>
                      <w:rFonts w:hint="default" w:ascii="Times New Roman" w:hAnsi="Times New Roman" w:cs="Times New Roman"/>
                      <w:color w:val="auto"/>
                    </w:rPr>
                  </w:pPr>
                  <w:r>
                    <w:rPr>
                      <w:rFonts w:hint="default"/>
                      <w:color w:val="auto"/>
                    </w:rPr>
                    <w:t>响，并作为环境影响评价的重要组成部分。</w:t>
                  </w:r>
                </w:p>
              </w:tc>
              <w:tc>
                <w:tcPr>
                  <w:tcW w:w="1791" w:type="pct"/>
                  <w:tcBorders>
                    <w:tl2br w:val="nil"/>
                    <w:tr2bl w:val="nil"/>
                  </w:tcBorders>
                  <w:vAlign w:val="center"/>
                </w:tcPr>
                <w:p w14:paraId="52B7EAC6">
                  <w:pPr>
                    <w:pStyle w:val="37"/>
                    <w:bidi w:val="0"/>
                    <w:rPr>
                      <w:rFonts w:hint="default" w:ascii="Times New Roman" w:hAnsi="Times New Roman" w:cs="Times New Roman"/>
                      <w:color w:val="auto"/>
                    </w:rPr>
                  </w:pPr>
                  <w:r>
                    <w:rPr>
                      <w:rFonts w:hint="default"/>
                      <w:color w:val="auto"/>
                    </w:rPr>
                    <w:t>本项目建设地点位于曲靖市</w:t>
                  </w:r>
                  <w:r>
                    <w:rPr>
                      <w:rFonts w:hint="default"/>
                      <w:color w:val="auto"/>
                      <w:lang w:val="en-US" w:eastAsia="zh-CN"/>
                    </w:rPr>
                    <w:t>宣威市</w:t>
                  </w:r>
                  <w:r>
                    <w:rPr>
                      <w:rFonts w:hint="default"/>
                      <w:color w:val="auto"/>
                    </w:rPr>
                    <w:t>，场址区域不属于生物多样性保护优先区域。</w:t>
                  </w:r>
                </w:p>
              </w:tc>
              <w:tc>
                <w:tcPr>
                  <w:tcW w:w="487" w:type="pct"/>
                  <w:tcBorders>
                    <w:tl2br w:val="nil"/>
                    <w:tr2bl w:val="nil"/>
                  </w:tcBorders>
                  <w:vAlign w:val="center"/>
                </w:tcPr>
                <w:p w14:paraId="01D03173">
                  <w:pPr>
                    <w:pStyle w:val="37"/>
                    <w:bidi w:val="0"/>
                    <w:rPr>
                      <w:rFonts w:hint="default" w:ascii="Times New Roman" w:hAnsi="Times New Roman" w:cs="Times New Roman"/>
                      <w:color w:val="auto"/>
                    </w:rPr>
                  </w:pPr>
                  <w:r>
                    <w:rPr>
                      <w:rFonts w:hint="default"/>
                      <w:color w:val="auto"/>
                    </w:rPr>
                    <w:t>符合</w:t>
                  </w:r>
                </w:p>
              </w:tc>
            </w:tr>
            <w:tr w14:paraId="688EFE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359" w:hRule="atLeast"/>
                <w:jc w:val="center"/>
              </w:trPr>
              <w:tc>
                <w:tcPr>
                  <w:tcW w:w="2720" w:type="pct"/>
                  <w:tcBorders>
                    <w:tl2br w:val="nil"/>
                    <w:tr2bl w:val="nil"/>
                  </w:tcBorders>
                  <w:vAlign w:val="center"/>
                </w:tcPr>
                <w:p w14:paraId="5C59DCE2">
                  <w:pPr>
                    <w:pStyle w:val="37"/>
                    <w:bidi w:val="0"/>
                    <w:rPr>
                      <w:rFonts w:hint="default" w:ascii="Times New Roman" w:hAnsi="Times New Roman" w:cs="Times New Roman"/>
                      <w:color w:val="auto"/>
                    </w:rPr>
                  </w:pPr>
                  <w:r>
                    <w:rPr>
                      <w:rFonts w:hint="default"/>
                      <w:color w:val="auto"/>
                    </w:rPr>
                    <w:t>4.扩散、放生或者丢弃外来入侵物种的，由县级以上人民政府林业、农业行政主管部门按照各自职权责令改正，处2000元以上1万元以下罚款；造成损失的，依法承担赔偿责任；构成犯罪的，依法追究刑事责任。</w:t>
                  </w:r>
                </w:p>
              </w:tc>
              <w:tc>
                <w:tcPr>
                  <w:tcW w:w="1791" w:type="pct"/>
                  <w:tcBorders>
                    <w:tl2br w:val="nil"/>
                    <w:tr2bl w:val="nil"/>
                  </w:tcBorders>
                  <w:vAlign w:val="center"/>
                </w:tcPr>
                <w:p w14:paraId="57DE52F1">
                  <w:pPr>
                    <w:pStyle w:val="37"/>
                    <w:bidi w:val="0"/>
                    <w:rPr>
                      <w:rFonts w:hint="default" w:ascii="Times New Roman" w:hAnsi="Times New Roman" w:cs="Times New Roman"/>
                      <w:color w:val="auto"/>
                    </w:rPr>
                  </w:pPr>
                  <w:r>
                    <w:rPr>
                      <w:rFonts w:hint="default"/>
                      <w:color w:val="auto"/>
                    </w:rPr>
                    <w:t>本项目生态修复时使用的植物物种均为项目区域常见本土物种。</w:t>
                  </w:r>
                </w:p>
              </w:tc>
              <w:tc>
                <w:tcPr>
                  <w:tcW w:w="487" w:type="pct"/>
                  <w:tcBorders>
                    <w:tl2br w:val="nil"/>
                    <w:tr2bl w:val="nil"/>
                  </w:tcBorders>
                  <w:vAlign w:val="center"/>
                </w:tcPr>
                <w:p w14:paraId="067A3E20">
                  <w:pPr>
                    <w:pStyle w:val="37"/>
                    <w:bidi w:val="0"/>
                    <w:rPr>
                      <w:rFonts w:hint="default" w:ascii="Times New Roman" w:hAnsi="Times New Roman" w:cs="Times New Roman"/>
                      <w:color w:val="auto"/>
                    </w:rPr>
                  </w:pPr>
                  <w:r>
                    <w:rPr>
                      <w:rFonts w:hint="default"/>
                      <w:color w:val="auto"/>
                    </w:rPr>
                    <w:t>符合</w:t>
                  </w:r>
                </w:p>
              </w:tc>
            </w:tr>
          </w:tbl>
          <w:p w14:paraId="3B3CF9C7">
            <w:pPr>
              <w:pageBreakBefore w:val="0"/>
              <w:widowControl/>
              <w:kinsoku/>
              <w:wordWrap/>
              <w:overflowPunct/>
              <w:bidi w:val="0"/>
              <w:adjustRightInd w:val="0"/>
              <w:snapToGrid w:val="0"/>
              <w:spacing w:line="360" w:lineRule="auto"/>
              <w:ind w:firstLine="480" w:firstLineChars="200"/>
              <w:rPr>
                <w:rFonts w:hint="default" w:ascii="Times New Roman" w:hAnsi="Times New Roman" w:eastAsia="宋体" w:cs="Times New Roman"/>
                <w:color w:val="auto"/>
                <w:kern w:val="0"/>
                <w:szCs w:val="21"/>
              </w:rPr>
            </w:pPr>
            <w:r>
              <w:rPr>
                <w:rFonts w:hint="default" w:ascii="Times New Roman" w:hAnsi="Times New Roman" w:eastAsia="宋体" w:cs="Times New Roman"/>
                <w:color w:val="auto"/>
                <w:kern w:val="0"/>
                <w:szCs w:val="21"/>
              </w:rPr>
              <w:t>综上所述，本项目建设符合《云南省生物多样性保护条例》要求。</w:t>
            </w:r>
          </w:p>
          <w:p w14:paraId="3F427C30">
            <w:pPr>
              <w:pStyle w:val="5"/>
              <w:bidi w:val="0"/>
              <w:rPr>
                <w:rFonts w:hint="default" w:ascii="Times New Roman" w:hAnsi="Times New Roman" w:cs="Times New Roman"/>
                <w:color w:val="auto"/>
              </w:rPr>
            </w:pPr>
            <w:r>
              <w:rPr>
                <w:rFonts w:hint="default"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default" w:ascii="Times New Roman" w:hAnsi="Times New Roman" w:cs="Times New Roman"/>
                <w:color w:val="auto"/>
              </w:rPr>
              <w:t>与《云南省关于进一步加强风电建设项目环境影响评价管理工作的通知》</w:t>
            </w:r>
            <w:r>
              <w:rPr>
                <w:rFonts w:hint="default" w:ascii="Times New Roman" w:hAnsi="Times New Roman" w:cs="Times New Roman"/>
                <w:color w:val="auto"/>
                <w:lang w:eastAsia="zh-CN"/>
              </w:rPr>
              <w:t>（</w:t>
            </w:r>
            <w:r>
              <w:rPr>
                <w:rFonts w:hint="default" w:ascii="Times New Roman" w:hAnsi="Times New Roman" w:cs="Times New Roman"/>
                <w:color w:val="auto"/>
              </w:rPr>
              <w:t>云环发</w:t>
            </w:r>
            <w:r>
              <w:rPr>
                <w:rFonts w:hint="eastAsia" w:cs="Times New Roman"/>
                <w:color w:val="auto"/>
                <w:lang w:eastAsia="zh-CN"/>
              </w:rPr>
              <w:t>〔2014〕50号</w:t>
            </w:r>
            <w:r>
              <w:rPr>
                <w:rFonts w:hint="default" w:ascii="Times New Roman" w:hAnsi="Times New Roman" w:cs="Times New Roman"/>
                <w:color w:val="auto"/>
              </w:rPr>
              <w:t>文</w:t>
            </w:r>
            <w:r>
              <w:rPr>
                <w:rFonts w:hint="default" w:ascii="Times New Roman" w:hAnsi="Times New Roman" w:cs="Times New Roman"/>
                <w:color w:val="auto"/>
                <w:lang w:eastAsia="zh-CN"/>
              </w:rPr>
              <w:t>）</w:t>
            </w:r>
            <w:r>
              <w:rPr>
                <w:rFonts w:hint="default" w:ascii="Times New Roman" w:hAnsi="Times New Roman" w:cs="Times New Roman"/>
                <w:color w:val="auto"/>
              </w:rPr>
              <w:t>的协调性分析</w:t>
            </w:r>
          </w:p>
          <w:p w14:paraId="3CF93E60">
            <w:pPr>
              <w:bidi w:val="0"/>
              <w:rPr>
                <w:rFonts w:hint="default" w:ascii="Times New Roman" w:hAnsi="Times New Roman" w:cs="Times New Roman"/>
                <w:color w:val="auto"/>
              </w:rPr>
            </w:pPr>
            <w:r>
              <w:rPr>
                <w:rFonts w:hint="default" w:ascii="Times New Roman" w:hAnsi="Times New Roman" w:cs="Times New Roman"/>
                <w:color w:val="auto"/>
              </w:rPr>
              <w:t>2014年5月，云南省环保厅印发了云环发</w:t>
            </w:r>
            <w:r>
              <w:rPr>
                <w:rFonts w:hint="eastAsia" w:cs="Times New Roman"/>
                <w:color w:val="auto"/>
                <w:lang w:eastAsia="zh-CN"/>
              </w:rPr>
              <w:t>〔2014〕50号</w:t>
            </w:r>
            <w:r>
              <w:rPr>
                <w:rFonts w:hint="default" w:ascii="Times New Roman" w:hAnsi="Times New Roman" w:cs="Times New Roman"/>
                <w:color w:val="auto"/>
              </w:rPr>
              <w:t>文“关于进一步加强风电建设项目环境影响评价管理工作的通知”</w:t>
            </w:r>
            <w:r>
              <w:rPr>
                <w:rFonts w:hint="default" w:ascii="Times New Roman" w:hAnsi="Times New Roman" w:cs="Times New Roman"/>
                <w:color w:val="auto"/>
                <w:lang w:eastAsia="zh-CN"/>
              </w:rPr>
              <w:t>，</w:t>
            </w:r>
            <w:r>
              <w:rPr>
                <w:rFonts w:hint="default" w:ascii="Times New Roman" w:hAnsi="Times New Roman" w:cs="Times New Roman"/>
                <w:color w:val="auto"/>
              </w:rPr>
              <w:t>要求风电建设要坚持生态优先的原则，结合国家和我省主体功能区规划、生态功能区划、云南省风电开发规划以及规划环境影响评价的有关要求，切实落实生态保护措施，科学、合理、有序推进风电建设；风电建设项目要有效避让环境敏感区和重点环境保护目标等相关要求开展工作。</w:t>
            </w:r>
          </w:p>
          <w:p w14:paraId="6ABF570A">
            <w:pPr>
              <w:bidi w:val="0"/>
              <w:rPr>
                <w:rFonts w:hint="default" w:ascii="Times New Roman" w:hAnsi="Times New Roman" w:cs="Times New Roman"/>
                <w:color w:val="auto"/>
              </w:rPr>
            </w:pPr>
            <w:r>
              <w:rPr>
                <w:rFonts w:hint="default" w:ascii="Times New Roman" w:hAnsi="Times New Roman" w:cs="Times New Roman"/>
                <w:color w:val="auto"/>
              </w:rPr>
              <w:t>本工程建设符合云南省主体功能区规划、生态功能区划、云南省风电开发规划以及规划环境影响评价的有关要求。具体分析如下：</w:t>
            </w:r>
          </w:p>
          <w:p w14:paraId="1ED9DE4C">
            <w:pPr>
              <w:bidi w:val="0"/>
              <w:rPr>
                <w:rFonts w:hint="default" w:ascii="Times New Roman" w:hAnsi="Times New Roman" w:cs="Times New Roman"/>
                <w:color w:val="auto"/>
              </w:rPr>
            </w:pPr>
            <w:r>
              <w:rPr>
                <w:rFonts w:hint="default" w:ascii="Times New Roman" w:hAnsi="Times New Roman" w:cs="Times New Roman"/>
                <w:color w:val="auto"/>
              </w:rPr>
              <w:t>通知要求“对涉及环境敏感区的风电建设项目，在开展前期工作的过程中，应按照生态优先的原则，优化风机选址、调整布局，有效避让环境敏感区，降低风电场对环境敏感区域等的不良环境影响，编制环境影响报告书，对项目建设产生的环境影响进行全面、详细评价”。</w:t>
            </w:r>
          </w:p>
          <w:p w14:paraId="197197B7">
            <w:pPr>
              <w:bidi w:val="0"/>
              <w:rPr>
                <w:rFonts w:hint="default" w:ascii="Times New Roman" w:hAnsi="Times New Roman" w:eastAsia="宋体" w:cs="Times New Roman"/>
                <w:color w:val="auto"/>
                <w:lang w:val="en-US" w:eastAsia="zh-CN"/>
              </w:rPr>
            </w:pPr>
            <w:r>
              <w:rPr>
                <w:rFonts w:hint="default" w:ascii="Times New Roman" w:hAnsi="Times New Roman" w:cs="Times New Roman"/>
                <w:color w:val="auto"/>
              </w:rPr>
              <w:t>本项目</w:t>
            </w:r>
            <w:r>
              <w:rPr>
                <w:rFonts w:hint="eastAsia" w:cs="Times New Roman"/>
                <w:color w:val="auto"/>
                <w:lang w:val="en-US" w:eastAsia="zh-CN"/>
              </w:rPr>
              <w:t>扩建的</w:t>
            </w:r>
            <w:r>
              <w:rPr>
                <w:rFonts w:hint="default" w:ascii="Times New Roman" w:hAnsi="Times New Roman" w:cs="Times New Roman"/>
                <w:color w:val="auto"/>
                <w:lang w:val="en-US" w:eastAsia="zh-CN"/>
              </w:rPr>
              <w:t>4</w:t>
            </w:r>
            <w:r>
              <w:rPr>
                <w:rFonts w:hint="default" w:ascii="Times New Roman" w:hAnsi="Times New Roman" w:cs="Times New Roman"/>
                <w:color w:val="auto"/>
              </w:rPr>
              <w:t>个机位</w:t>
            </w:r>
            <w:r>
              <w:rPr>
                <w:rFonts w:hint="eastAsia" w:cs="Times New Roman"/>
                <w:color w:val="auto"/>
                <w:lang w:eastAsia="zh-CN"/>
              </w:rPr>
              <w:t>、</w:t>
            </w:r>
            <w:r>
              <w:rPr>
                <w:rFonts w:hint="eastAsia" w:cs="Times New Roman"/>
                <w:color w:val="auto"/>
                <w:lang w:val="en-US" w:eastAsia="zh-CN"/>
              </w:rPr>
              <w:t>进场道路</w:t>
            </w:r>
            <w:r>
              <w:rPr>
                <w:rFonts w:hint="default" w:ascii="Times New Roman" w:hAnsi="Times New Roman" w:cs="Times New Roman"/>
                <w:color w:val="auto"/>
              </w:rPr>
              <w:t>及集电线路</w:t>
            </w:r>
            <w:r>
              <w:rPr>
                <w:rFonts w:hint="eastAsia" w:cs="Times New Roman"/>
                <w:color w:val="auto"/>
                <w:lang w:val="en-US" w:eastAsia="zh-CN"/>
              </w:rPr>
              <w:t>占地范围内均不涉及环境敏感区，但风机进场道路</w:t>
            </w:r>
            <w:r>
              <w:rPr>
                <w:rFonts w:hint="default" w:ascii="Times New Roman" w:hAnsi="Times New Roman" w:cs="Times New Roman"/>
                <w:color w:val="auto"/>
              </w:rPr>
              <w:t>及集电线路</w:t>
            </w:r>
            <w:r>
              <w:rPr>
                <w:rFonts w:hint="eastAsia" w:cs="Times New Roman"/>
                <w:color w:val="auto"/>
                <w:lang w:val="en-US" w:eastAsia="zh-CN"/>
              </w:rPr>
              <w:t>生态评价范围内涉及生态保护红线，与红线的最近距离为</w:t>
            </w:r>
            <w:r>
              <w:rPr>
                <w:rFonts w:hint="eastAsia" w:cs="Times New Roman"/>
                <w:color w:val="auto"/>
                <w:highlight w:val="none"/>
                <w:lang w:val="en-US" w:eastAsia="zh-CN"/>
              </w:rPr>
              <w:t>4m</w:t>
            </w:r>
            <w:r>
              <w:rPr>
                <w:rFonts w:hint="default" w:ascii="Times New Roman" w:hAnsi="Times New Roman" w:cs="Times New Roman"/>
                <w:color w:val="auto"/>
              </w:rPr>
              <w:t>。</w:t>
            </w:r>
            <w:r>
              <w:rPr>
                <w:rFonts w:hint="eastAsia" w:cs="Times New Roman"/>
                <w:color w:val="auto"/>
                <w:lang w:val="en-US" w:eastAsia="zh-CN"/>
              </w:rPr>
              <w:t>经分析，项目通过实施施工期的管理措施，可有效降低对周边生态保护红线的影响。</w:t>
            </w:r>
          </w:p>
          <w:p w14:paraId="7AEF5C61">
            <w:pPr>
              <w:bidi w:val="0"/>
              <w:rPr>
                <w:rFonts w:hint="default" w:ascii="Times New Roman" w:hAnsi="Times New Roman" w:cs="Times New Roman"/>
                <w:color w:val="auto"/>
              </w:rPr>
            </w:pPr>
            <w:r>
              <w:rPr>
                <w:rFonts w:hint="eastAsia" w:cs="Times New Roman"/>
                <w:color w:val="auto"/>
                <w:lang w:val="en-US" w:eastAsia="zh-CN"/>
              </w:rPr>
              <w:t>依据项目可研</w:t>
            </w:r>
            <w:r>
              <w:rPr>
                <w:rFonts w:hint="default" w:ascii="Times New Roman" w:hAnsi="Times New Roman" w:cs="Times New Roman"/>
                <w:color w:val="auto"/>
              </w:rPr>
              <w:t>，施工道路已尽可能利用已有的防火通道和乡道村道</w:t>
            </w:r>
            <w:r>
              <w:rPr>
                <w:rFonts w:hint="eastAsia" w:cs="Times New Roman"/>
                <w:color w:val="auto"/>
                <w:lang w:eastAsia="zh-CN"/>
              </w:rPr>
              <w:t>，</w:t>
            </w:r>
            <w:r>
              <w:rPr>
                <w:rFonts w:hint="eastAsia" w:cs="Times New Roman"/>
                <w:color w:val="auto"/>
                <w:lang w:val="en-US" w:eastAsia="zh-CN"/>
              </w:rPr>
              <w:t>仅346m新建道路</w:t>
            </w:r>
            <w:r>
              <w:rPr>
                <w:rFonts w:hint="default" w:ascii="Times New Roman" w:hAnsi="Times New Roman" w:cs="Times New Roman"/>
                <w:color w:val="auto"/>
              </w:rPr>
              <w:t>。通过生态调查可知受西泽风电场（二期）工程影响的植被主要为暖温性针叶林、</w:t>
            </w:r>
            <w:r>
              <w:rPr>
                <w:rFonts w:hint="eastAsia" w:cs="Times New Roman"/>
                <w:color w:val="auto"/>
                <w:lang w:val="en-US" w:eastAsia="zh-CN"/>
              </w:rPr>
              <w:t>禾草草丛</w:t>
            </w:r>
            <w:r>
              <w:rPr>
                <w:rFonts w:hint="default" w:ascii="Times New Roman" w:hAnsi="Times New Roman" w:cs="Times New Roman"/>
                <w:color w:val="auto"/>
                <w:lang w:val="en-US" w:eastAsia="zh-CN"/>
              </w:rPr>
              <w:t>、</w:t>
            </w:r>
            <w:r>
              <w:rPr>
                <w:rFonts w:hint="default" w:ascii="Times New Roman" w:hAnsi="Times New Roman" w:cs="Times New Roman"/>
                <w:color w:val="auto"/>
              </w:rPr>
              <w:t>人工植被等。受工程建设直接影响的暖温性针叶林是原生植被遭破坏后形成的次生性植被，群落以</w:t>
            </w:r>
            <w:r>
              <w:rPr>
                <w:rFonts w:hint="eastAsia" w:cs="Times New Roman"/>
                <w:color w:val="auto"/>
                <w:lang w:val="en-US" w:eastAsia="zh-CN"/>
              </w:rPr>
              <w:t>华山松、</w:t>
            </w:r>
            <w:r>
              <w:rPr>
                <w:rFonts w:hint="default" w:ascii="Times New Roman" w:hAnsi="Times New Roman" w:cs="Times New Roman"/>
                <w:color w:val="auto"/>
              </w:rPr>
              <w:t>云南松为主，在评价区及其周边区域广泛分布，且工程占地比例较低，对该植被类型的影响不大。工程已经避让了生态环境较好的区域</w:t>
            </w:r>
            <w:r>
              <w:rPr>
                <w:rFonts w:hint="default" w:ascii="Times New Roman" w:hAnsi="Times New Roman" w:cs="Times New Roman"/>
                <w:color w:val="auto"/>
                <w:lang w:eastAsia="zh-CN"/>
              </w:rPr>
              <w:t>（</w:t>
            </w:r>
            <w:r>
              <w:rPr>
                <w:rFonts w:hint="default" w:ascii="Times New Roman" w:hAnsi="Times New Roman" w:cs="Times New Roman"/>
                <w:color w:val="auto"/>
              </w:rPr>
              <w:t>长势良好的暖温性针叶林</w:t>
            </w:r>
            <w:r>
              <w:rPr>
                <w:rFonts w:hint="eastAsia" w:cs="Times New Roman"/>
                <w:color w:val="auto"/>
                <w:lang w:eastAsia="zh-CN"/>
              </w:rPr>
              <w:t>、</w:t>
            </w:r>
            <w:r>
              <w:rPr>
                <w:rFonts w:hint="eastAsia" w:cs="Times New Roman"/>
                <w:color w:val="auto"/>
                <w:lang w:val="en-US" w:eastAsia="zh-CN"/>
              </w:rPr>
              <w:t>半湿润常绿阔叶林</w:t>
            </w:r>
            <w:r>
              <w:rPr>
                <w:rFonts w:hint="default" w:ascii="Times New Roman" w:hAnsi="Times New Roman" w:cs="Times New Roman"/>
                <w:color w:val="auto"/>
                <w:lang w:eastAsia="zh-CN"/>
              </w:rPr>
              <w:t>）</w:t>
            </w:r>
            <w:r>
              <w:rPr>
                <w:rFonts w:hint="default" w:ascii="Times New Roman" w:hAnsi="Times New Roman" w:cs="Times New Roman"/>
                <w:color w:val="auto"/>
              </w:rPr>
              <w:t>。</w:t>
            </w:r>
          </w:p>
          <w:p w14:paraId="2BF3275E">
            <w:pPr>
              <w:bidi w:val="0"/>
              <w:rPr>
                <w:rFonts w:hint="default" w:ascii="Times New Roman" w:hAnsi="Times New Roman" w:cs="Times New Roman"/>
                <w:color w:val="auto"/>
              </w:rPr>
            </w:pPr>
            <w:r>
              <w:rPr>
                <w:rFonts w:hint="default" w:ascii="Times New Roman" w:hAnsi="Times New Roman" w:cs="Times New Roman"/>
                <w:color w:val="auto"/>
              </w:rPr>
              <w:t>综上分析，本项目在开展前期工作的过程中严格按照通知中的要求对工程进行优化布置，并拟定合理可行的保护措施，最大程度</w:t>
            </w:r>
            <w:r>
              <w:rPr>
                <w:rFonts w:hint="eastAsia" w:cs="Times New Roman"/>
                <w:color w:val="auto"/>
                <w:lang w:eastAsia="zh-CN"/>
              </w:rPr>
              <w:t>减少</w:t>
            </w:r>
            <w:r>
              <w:rPr>
                <w:rFonts w:hint="default" w:ascii="Times New Roman" w:hAnsi="Times New Roman" w:cs="Times New Roman"/>
                <w:color w:val="auto"/>
              </w:rPr>
              <w:t>工程建设的不良环境影响，与通知要求是相符的。</w:t>
            </w:r>
          </w:p>
          <w:p w14:paraId="7C596EF0">
            <w:pPr>
              <w:pStyle w:val="5"/>
              <w:bidi w:val="0"/>
              <w:rPr>
                <w:rFonts w:hint="default" w:ascii="Times New Roman" w:hAnsi="Times New Roman" w:cs="Times New Roman"/>
                <w:color w:val="auto"/>
              </w:rPr>
            </w:pPr>
            <w:r>
              <w:rPr>
                <w:rFonts w:hint="default" w:ascii="Times New Roman" w:hAnsi="Times New Roman" w:cs="Times New Roman"/>
                <w:color w:val="auto"/>
                <w:lang w:val="en-US" w:eastAsia="zh-CN"/>
              </w:rPr>
              <w:t>6</w:t>
            </w:r>
            <w:r>
              <w:rPr>
                <w:rFonts w:hint="default" w:ascii="Times New Roman" w:hAnsi="Times New Roman" w:cs="Times New Roman"/>
                <w:color w:val="auto"/>
                <w:lang w:eastAsia="zh-CN"/>
              </w:rPr>
              <w:t>.</w:t>
            </w:r>
            <w:r>
              <w:rPr>
                <w:rFonts w:hint="default" w:ascii="Times New Roman" w:hAnsi="Times New Roman" w:cs="Times New Roman"/>
                <w:color w:val="auto"/>
              </w:rPr>
              <w:t>与《国家级公益林管理办法》和《云南省地方公益林管理办法》相符性分析</w:t>
            </w:r>
          </w:p>
          <w:p w14:paraId="71254394">
            <w:pPr>
              <w:bidi w:val="0"/>
              <w:rPr>
                <w:rFonts w:hint="default" w:ascii="Times New Roman" w:hAnsi="Times New Roman" w:cs="Times New Roman"/>
                <w:color w:val="auto"/>
              </w:rPr>
            </w:pPr>
            <w:r>
              <w:rPr>
                <w:rFonts w:hint="default" w:ascii="Times New Roman" w:hAnsi="Times New Roman" w:cs="Times New Roman"/>
                <w:color w:val="auto"/>
              </w:rPr>
              <w:t>《国家级公益林管理办法》</w:t>
            </w:r>
            <w:r>
              <w:rPr>
                <w:rFonts w:hint="default" w:ascii="Times New Roman" w:hAnsi="Times New Roman" w:cs="Times New Roman"/>
                <w:color w:val="auto"/>
                <w:lang w:eastAsia="zh-CN"/>
              </w:rPr>
              <w:t>（</w:t>
            </w:r>
            <w:r>
              <w:rPr>
                <w:rFonts w:hint="default" w:ascii="Times New Roman" w:hAnsi="Times New Roman" w:cs="Times New Roman"/>
                <w:color w:val="auto"/>
              </w:rPr>
              <w:t>林资发</w:t>
            </w:r>
            <w:r>
              <w:rPr>
                <w:rFonts w:hint="eastAsia" w:cs="Times New Roman"/>
                <w:color w:val="auto"/>
                <w:lang w:eastAsia="zh-CN"/>
              </w:rPr>
              <w:t>〔2017〕34号</w:t>
            </w:r>
            <w:r>
              <w:rPr>
                <w:rFonts w:hint="default" w:ascii="Times New Roman" w:hAnsi="Times New Roman" w:cs="Times New Roman"/>
                <w:color w:val="auto"/>
                <w:lang w:eastAsia="zh-CN"/>
              </w:rPr>
              <w:t>）</w:t>
            </w:r>
            <w:r>
              <w:rPr>
                <w:rFonts w:hint="default" w:ascii="Times New Roman" w:hAnsi="Times New Roman" w:cs="Times New Roman"/>
                <w:color w:val="auto"/>
              </w:rPr>
              <w:t>在经营管理中的要求为“一级国家级公益林原则上不得开展生产经营活动，严禁林木采伐行为。在不破坏森林生态系统功能的前提下，可以合理利用二级国家级公益林的林地资源，适度开展林下种植养殖和森林游憩等非木质资源开发与利用，科学发展林下经济”。</w:t>
            </w:r>
          </w:p>
          <w:p w14:paraId="527AF5CF">
            <w:pPr>
              <w:bidi w:val="0"/>
              <w:rPr>
                <w:rFonts w:hint="default" w:ascii="Times New Roman" w:hAnsi="Times New Roman" w:cs="Times New Roman"/>
                <w:color w:val="auto"/>
              </w:rPr>
            </w:pPr>
            <w:r>
              <w:rPr>
                <w:rFonts w:hint="default" w:ascii="Times New Roman" w:hAnsi="Times New Roman" w:cs="Times New Roman"/>
                <w:color w:val="auto"/>
              </w:rPr>
              <w:t>《云南省地方公益林管理办法》</w:t>
            </w:r>
            <w:r>
              <w:rPr>
                <w:rFonts w:hint="default" w:ascii="Times New Roman" w:hAnsi="Times New Roman" w:cs="Times New Roman"/>
                <w:color w:val="auto"/>
                <w:lang w:eastAsia="zh-CN"/>
              </w:rPr>
              <w:t>（</w:t>
            </w:r>
            <w:r>
              <w:rPr>
                <w:rFonts w:hint="default" w:ascii="Times New Roman" w:hAnsi="Times New Roman" w:cs="Times New Roman"/>
                <w:color w:val="auto"/>
              </w:rPr>
              <w:t>云林规〔2019〕2号</w:t>
            </w:r>
            <w:r>
              <w:rPr>
                <w:rFonts w:hint="default" w:ascii="Times New Roman" w:hAnsi="Times New Roman" w:cs="Times New Roman"/>
                <w:color w:val="auto"/>
                <w:lang w:eastAsia="zh-CN"/>
              </w:rPr>
              <w:t>）</w:t>
            </w:r>
            <w:r>
              <w:rPr>
                <w:rFonts w:hint="default" w:ascii="Times New Roman" w:hAnsi="Times New Roman" w:cs="Times New Roman"/>
                <w:color w:val="auto"/>
              </w:rPr>
              <w:t>在保护管理中的要求为“因建设工程需要占用征用公益林的，县级以上林业行政主管部门应当进行核查，确需占用征用公益林林地的，必须依法办理用地审核、林木采伐审批手续。”</w:t>
            </w:r>
          </w:p>
          <w:p w14:paraId="067AED0C">
            <w:pPr>
              <w:bidi w:val="0"/>
              <w:rPr>
                <w:rFonts w:hint="default" w:ascii="Times New Roman" w:hAnsi="Times New Roman" w:cs="Times New Roman"/>
                <w:color w:val="auto"/>
              </w:rPr>
            </w:pPr>
            <w:r>
              <w:rPr>
                <w:rFonts w:hint="default" w:ascii="Times New Roman" w:hAnsi="Times New Roman" w:cs="Times New Roman"/>
                <w:color w:val="auto"/>
              </w:rPr>
              <w:t>拟建西泽风电场（二期）工程机位点已全部避让国家公益林</w:t>
            </w:r>
            <w:r>
              <w:rPr>
                <w:rFonts w:hint="eastAsia" w:cs="Times New Roman"/>
                <w:color w:val="auto"/>
                <w:lang w:eastAsia="zh-CN"/>
              </w:rPr>
              <w:t>，</w:t>
            </w:r>
            <w:r>
              <w:rPr>
                <w:rFonts w:hint="eastAsia" w:cs="Times New Roman"/>
                <w:b/>
                <w:bCs/>
                <w:color w:val="auto"/>
                <w:lang w:eastAsia="zh-CN"/>
              </w:rPr>
              <w:t>XZB16号风机占用</w:t>
            </w:r>
            <w:r>
              <w:rPr>
                <w:rFonts w:hint="eastAsia" w:cs="Times New Roman"/>
                <w:b/>
                <w:bCs/>
                <w:color w:val="auto"/>
                <w:lang w:val="en-US" w:eastAsia="zh-CN"/>
              </w:rPr>
              <w:t>省级公益林0.0338hm</w:t>
            </w:r>
            <w:r>
              <w:rPr>
                <w:rFonts w:hint="eastAsia" w:cs="Times New Roman"/>
                <w:b/>
                <w:bCs/>
                <w:color w:val="auto"/>
                <w:vertAlign w:val="superscript"/>
                <w:lang w:val="en-US" w:eastAsia="zh-CN"/>
              </w:rPr>
              <w:t>2</w:t>
            </w:r>
            <w:r>
              <w:rPr>
                <w:rFonts w:hint="eastAsia" w:cs="Times New Roman"/>
                <w:b/>
                <w:bCs/>
                <w:color w:val="auto"/>
                <w:lang w:val="en-US" w:eastAsia="zh-CN"/>
              </w:rPr>
              <w:t>，现状为次生性云南松林</w:t>
            </w:r>
            <w:r>
              <w:rPr>
                <w:rFonts w:hint="eastAsia" w:cs="Times New Roman"/>
                <w:color w:val="auto"/>
                <w:lang w:val="en-US" w:eastAsia="zh-CN"/>
              </w:rPr>
              <w:t>，施工期严格控制施工边界，做好施工期管理，不超范围施工，</w:t>
            </w:r>
            <w:r>
              <w:rPr>
                <w:rFonts w:hint="default" w:ascii="Times New Roman" w:hAnsi="Times New Roman" w:cs="Times New Roman"/>
                <w:color w:val="auto"/>
              </w:rPr>
              <w:t>项目建设与《国家</w:t>
            </w:r>
            <w:r>
              <w:rPr>
                <w:rFonts w:hint="eastAsia" w:cs="Times New Roman"/>
                <w:color w:val="auto"/>
                <w:lang w:val="en-US" w:eastAsia="zh-CN"/>
              </w:rPr>
              <w:t>级</w:t>
            </w:r>
            <w:r>
              <w:rPr>
                <w:rFonts w:hint="default" w:ascii="Times New Roman" w:hAnsi="Times New Roman" w:cs="Times New Roman"/>
                <w:color w:val="auto"/>
              </w:rPr>
              <w:t>公益林管理办法》和《云南省地方公益林管理办法</w:t>
            </w:r>
            <w:r>
              <w:rPr>
                <w:rFonts w:hint="eastAsia" w:cs="Times New Roman"/>
                <w:color w:val="auto"/>
                <w:lang w:eastAsia="zh-CN"/>
              </w:rPr>
              <w:t>》等</w:t>
            </w:r>
            <w:r>
              <w:rPr>
                <w:rFonts w:hint="default" w:ascii="Times New Roman" w:hAnsi="Times New Roman" w:cs="Times New Roman"/>
                <w:color w:val="auto"/>
              </w:rPr>
              <w:t>相关要求是相符的。</w:t>
            </w:r>
          </w:p>
          <w:p w14:paraId="7DF90EE3">
            <w:pPr>
              <w:pStyle w:val="27"/>
              <w:pageBreakBefore w:val="0"/>
              <w:kinsoku/>
              <w:wordWrap/>
              <w:overflowPunct/>
              <w:bidi w:val="0"/>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表1-6  XZB16号风机占用公益林情况</w:t>
            </w:r>
          </w:p>
          <w:tbl>
            <w:tblPr>
              <w:tblStyle w:val="21"/>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4026"/>
            </w:tblGrid>
            <w:tr w14:paraId="2FBA99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33" w:type="dxa"/>
                  <w:tcBorders>
                    <w:tl2br w:val="nil"/>
                    <w:tr2bl w:val="nil"/>
                  </w:tcBorders>
                </w:tcPr>
                <w:p w14:paraId="6457AF6D">
                  <w:pPr>
                    <w:pStyle w:val="37"/>
                    <w:bidi w:val="0"/>
                    <w:rPr>
                      <w:rFonts w:hint="default"/>
                      <w:color w:val="auto"/>
                      <w:lang w:val="en-US" w:eastAsia="zh-CN"/>
                    </w:rPr>
                  </w:pPr>
                  <w:r>
                    <w:rPr>
                      <w:color w:val="auto"/>
                    </w:rPr>
                    <w:drawing>
                      <wp:inline distT="0" distB="0" distL="114300" distR="114300">
                        <wp:extent cx="2383155" cy="1976120"/>
                        <wp:effectExtent l="0" t="0" r="0" b="0"/>
                        <wp:docPr id="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
                                <pic:cNvPicPr>
                                  <a:picLocks noChangeAspect="1"/>
                                </pic:cNvPicPr>
                              </pic:nvPicPr>
                              <pic:blipFill>
                                <a:blip r:embed="rId35"/>
                                <a:srcRect l="3497"/>
                                <a:stretch>
                                  <a:fillRect/>
                                </a:stretch>
                              </pic:blipFill>
                              <pic:spPr>
                                <a:xfrm>
                                  <a:off x="0" y="0"/>
                                  <a:ext cx="2383155" cy="1976120"/>
                                </a:xfrm>
                                <a:prstGeom prst="rect">
                                  <a:avLst/>
                                </a:prstGeom>
                                <a:noFill/>
                                <a:ln>
                                  <a:noFill/>
                                </a:ln>
                              </pic:spPr>
                            </pic:pic>
                          </a:graphicData>
                        </a:graphic>
                      </wp:inline>
                    </w:drawing>
                  </w:r>
                </w:p>
              </w:tc>
              <w:tc>
                <w:tcPr>
                  <w:tcW w:w="3834" w:type="dxa"/>
                  <w:tcBorders>
                    <w:tl2br w:val="nil"/>
                    <w:tr2bl w:val="nil"/>
                  </w:tcBorders>
                </w:tcPr>
                <w:p w14:paraId="1D80FD5D">
                  <w:pPr>
                    <w:pStyle w:val="37"/>
                    <w:bidi w:val="0"/>
                    <w:rPr>
                      <w:rFonts w:hint="default"/>
                      <w:color w:val="auto"/>
                      <w:lang w:val="en-US" w:eastAsia="zh-CN"/>
                    </w:rPr>
                  </w:pPr>
                  <w:r>
                    <w:rPr>
                      <w:color w:val="auto"/>
                    </w:rPr>
                    <w:drawing>
                      <wp:inline distT="0" distB="0" distL="114300" distR="114300">
                        <wp:extent cx="2402205" cy="1991995"/>
                        <wp:effectExtent l="0" t="0" r="17145" b="8255"/>
                        <wp:docPr id="4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
                                <pic:cNvPicPr>
                                  <a:picLocks noChangeAspect="1"/>
                                </pic:cNvPicPr>
                              </pic:nvPicPr>
                              <pic:blipFill>
                                <a:blip r:embed="rId31"/>
                                <a:srcRect l="30868"/>
                                <a:stretch>
                                  <a:fillRect/>
                                </a:stretch>
                              </pic:blipFill>
                              <pic:spPr>
                                <a:xfrm>
                                  <a:off x="0" y="0"/>
                                  <a:ext cx="2402205" cy="1991995"/>
                                </a:xfrm>
                                <a:prstGeom prst="rect">
                                  <a:avLst/>
                                </a:prstGeom>
                                <a:noFill/>
                                <a:ln>
                                  <a:noFill/>
                                </a:ln>
                              </pic:spPr>
                            </pic:pic>
                          </a:graphicData>
                        </a:graphic>
                      </wp:inline>
                    </w:drawing>
                  </w:r>
                </w:p>
              </w:tc>
            </w:tr>
            <w:tr w14:paraId="065175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3833" w:type="dxa"/>
                  <w:tcBorders>
                    <w:tl2br w:val="nil"/>
                    <w:tr2bl w:val="nil"/>
                  </w:tcBorders>
                </w:tcPr>
                <w:p w14:paraId="0C461756">
                  <w:pPr>
                    <w:pStyle w:val="37"/>
                    <w:bidi w:val="0"/>
                    <w:jc w:val="both"/>
                    <w:rPr>
                      <w:rFonts w:hint="default"/>
                      <w:color w:val="auto"/>
                      <w:lang w:val="en-US" w:eastAsia="zh-CN"/>
                    </w:rPr>
                  </w:pPr>
                  <w:r>
                    <w:rPr>
                      <w:rFonts w:hint="eastAsia"/>
                      <w:color w:val="auto"/>
                      <w:lang w:val="en-US" w:eastAsia="zh-CN"/>
                    </w:rPr>
                    <w:t>XZB16号风机占用省级公益林的情况</w:t>
                  </w:r>
                </w:p>
              </w:tc>
              <w:tc>
                <w:tcPr>
                  <w:tcW w:w="3834" w:type="dxa"/>
                  <w:tcBorders>
                    <w:tl2br w:val="nil"/>
                    <w:tr2bl w:val="nil"/>
                  </w:tcBorders>
                </w:tcPr>
                <w:p w14:paraId="502560AE">
                  <w:pPr>
                    <w:pStyle w:val="37"/>
                    <w:bidi w:val="0"/>
                    <w:rPr>
                      <w:rFonts w:hint="default"/>
                      <w:color w:val="auto"/>
                      <w:lang w:val="en-US" w:eastAsia="zh-CN"/>
                    </w:rPr>
                  </w:pPr>
                  <w:r>
                    <w:rPr>
                      <w:rFonts w:hint="eastAsia"/>
                      <w:color w:val="auto"/>
                      <w:lang w:val="en-US" w:eastAsia="zh-CN"/>
                    </w:rPr>
                    <w:t>占用区域公益林现状（云南松林）</w:t>
                  </w:r>
                </w:p>
              </w:tc>
            </w:tr>
          </w:tbl>
          <w:p w14:paraId="6BE11FA3">
            <w:pPr>
              <w:bidi w:val="0"/>
              <w:ind w:left="0" w:leftChars="0" w:firstLine="0" w:firstLineChars="0"/>
              <w:rPr>
                <w:rFonts w:hint="default" w:ascii="Times New Roman" w:hAnsi="Times New Roman" w:cs="Times New Roman"/>
                <w:color w:val="auto"/>
                <w:lang w:val="en-US" w:eastAsia="zh-CN"/>
              </w:rPr>
            </w:pPr>
          </w:p>
          <w:p w14:paraId="3DB8E6A1">
            <w:pPr>
              <w:pStyle w:val="5"/>
              <w:bidi w:val="0"/>
              <w:rPr>
                <w:rFonts w:hint="default" w:ascii="Times New Roman" w:hAnsi="Times New Roman" w:cs="Times New Roman"/>
                <w:color w:val="auto"/>
              </w:rPr>
            </w:pPr>
            <w:r>
              <w:rPr>
                <w:rFonts w:hint="default" w:ascii="Times New Roman" w:hAnsi="Times New Roman" w:cs="Times New Roman"/>
                <w:color w:val="auto"/>
              </w:rPr>
              <w:t>7</w:t>
            </w:r>
            <w:r>
              <w:rPr>
                <w:rFonts w:hint="default" w:ascii="Times New Roman" w:hAnsi="Times New Roman" w:cs="Times New Roman"/>
                <w:color w:val="auto"/>
                <w:lang w:eastAsia="zh-CN"/>
              </w:rPr>
              <w:t>.</w:t>
            </w:r>
            <w:r>
              <w:rPr>
                <w:rFonts w:hint="default" w:ascii="Times New Roman" w:hAnsi="Times New Roman" w:cs="Times New Roman"/>
                <w:color w:val="auto"/>
              </w:rPr>
              <w:t>与《输变电建设项目环境保护技术要求》</w:t>
            </w:r>
            <w:r>
              <w:rPr>
                <w:rFonts w:hint="default" w:ascii="Times New Roman" w:hAnsi="Times New Roman" w:cs="Times New Roman"/>
                <w:color w:val="auto"/>
                <w:lang w:eastAsia="zh-CN"/>
              </w:rPr>
              <w:t>（</w:t>
            </w:r>
            <w:r>
              <w:rPr>
                <w:rFonts w:hint="default" w:ascii="Times New Roman" w:hAnsi="Times New Roman" w:cs="Times New Roman"/>
                <w:color w:val="auto"/>
              </w:rPr>
              <w:t>HJ1113-2020</w:t>
            </w:r>
            <w:r>
              <w:rPr>
                <w:rFonts w:hint="default" w:ascii="Times New Roman" w:hAnsi="Times New Roman" w:cs="Times New Roman"/>
                <w:color w:val="auto"/>
                <w:lang w:eastAsia="zh-CN"/>
              </w:rPr>
              <w:t>）</w:t>
            </w:r>
            <w:r>
              <w:rPr>
                <w:rFonts w:hint="default" w:ascii="Times New Roman" w:hAnsi="Times New Roman" w:cs="Times New Roman"/>
                <w:color w:val="auto"/>
              </w:rPr>
              <w:t>符合性分析</w:t>
            </w:r>
          </w:p>
          <w:p w14:paraId="2F0507ED">
            <w:pPr>
              <w:bidi w:val="0"/>
              <w:rPr>
                <w:rFonts w:hint="default" w:ascii="Times New Roman" w:hAnsi="Times New Roman" w:cs="Times New Roman"/>
                <w:color w:val="auto"/>
              </w:rPr>
            </w:pPr>
            <w:r>
              <w:rPr>
                <w:rFonts w:hint="default" w:ascii="Times New Roman" w:hAnsi="Times New Roman" w:cs="Times New Roman"/>
                <w:color w:val="auto"/>
              </w:rPr>
              <w:t>本项目建设与《输变电建设项目环境保护技术要求》</w:t>
            </w:r>
            <w:r>
              <w:rPr>
                <w:rFonts w:hint="default" w:ascii="Times New Roman" w:hAnsi="Times New Roman" w:cs="Times New Roman"/>
                <w:color w:val="auto"/>
                <w:lang w:eastAsia="zh-CN"/>
              </w:rPr>
              <w:t>（</w:t>
            </w:r>
            <w:r>
              <w:rPr>
                <w:rFonts w:hint="default" w:ascii="Times New Roman" w:hAnsi="Times New Roman" w:cs="Times New Roman"/>
                <w:color w:val="auto"/>
              </w:rPr>
              <w:t>HJ1113-2020</w:t>
            </w:r>
            <w:r>
              <w:rPr>
                <w:rFonts w:hint="default" w:ascii="Times New Roman" w:hAnsi="Times New Roman" w:cs="Times New Roman"/>
                <w:color w:val="auto"/>
                <w:lang w:eastAsia="zh-CN"/>
              </w:rPr>
              <w:t>）</w:t>
            </w:r>
            <w:r>
              <w:rPr>
                <w:rFonts w:hint="default" w:ascii="Times New Roman" w:hAnsi="Times New Roman" w:cs="Times New Roman"/>
                <w:color w:val="auto"/>
              </w:rPr>
              <w:t>相关规定的符合性分析详见表1-3。</w:t>
            </w:r>
          </w:p>
          <w:p w14:paraId="561E9560">
            <w:pPr>
              <w:pStyle w:val="27"/>
              <w:bidi w:val="0"/>
              <w:rPr>
                <w:rFonts w:hint="default" w:ascii="Times New Roman" w:hAnsi="Times New Roman" w:cs="Times New Roman"/>
                <w:color w:val="auto"/>
              </w:rPr>
            </w:pPr>
            <w:r>
              <w:rPr>
                <w:rFonts w:hint="default" w:ascii="Times New Roman" w:hAnsi="Times New Roman" w:cs="Times New Roman"/>
                <w:color w:val="auto"/>
              </w:rPr>
              <w:drawing>
                <wp:anchor distT="0" distB="0" distL="0" distR="0" simplePos="0" relativeHeight="251659264" behindDoc="1" locked="0" layoutInCell="1" allowOverlap="1">
                  <wp:simplePos x="0" y="0"/>
                  <wp:positionH relativeFrom="column">
                    <wp:posOffset>5710555</wp:posOffset>
                  </wp:positionH>
                  <wp:positionV relativeFrom="paragraph">
                    <wp:posOffset>297815</wp:posOffset>
                  </wp:positionV>
                  <wp:extent cx="50800" cy="1397000"/>
                  <wp:effectExtent l="0" t="0" r="6350" b="12700"/>
                  <wp:wrapNone/>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r:embed="rId36"/>
                          <a:stretch>
                            <a:fillRect/>
                          </a:stretch>
                        </pic:blipFill>
                        <pic:spPr>
                          <a:xfrm>
                            <a:off x="0" y="0"/>
                            <a:ext cx="50822" cy="1397011"/>
                          </a:xfrm>
                          <a:prstGeom prst="rect">
                            <a:avLst/>
                          </a:prstGeom>
                        </pic:spPr>
                      </pic:pic>
                    </a:graphicData>
                  </a:graphic>
                </wp:anchor>
              </w:drawing>
            </w:r>
            <w:r>
              <w:rPr>
                <w:rFonts w:hint="default" w:ascii="Times New Roman" w:hAnsi="Times New Roman" w:cs="Times New Roman"/>
                <w:color w:val="auto"/>
              </w:rPr>
              <w:t>表1-</w:t>
            </w:r>
            <w:r>
              <w:rPr>
                <w:rFonts w:hint="eastAsia" w:cs="Times New Roman"/>
                <w:color w:val="auto"/>
                <w:lang w:val="en-US" w:eastAsia="zh-CN"/>
              </w:rPr>
              <w:t>7</w:t>
            </w:r>
            <w:r>
              <w:rPr>
                <w:rFonts w:hint="default" w:ascii="Times New Roman" w:hAnsi="Times New Roman" w:cs="Times New Roman"/>
                <w:color w:val="auto"/>
              </w:rPr>
              <w:t xml:space="preserve"> </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与《输变电建设项目环境保护技术要求》的符合性分析</w:t>
            </w:r>
          </w:p>
          <w:tbl>
            <w:tblPr>
              <w:tblStyle w:val="26"/>
              <w:tblW w:w="4940" w:type="pct"/>
              <w:tblInd w:w="99"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378"/>
              <w:gridCol w:w="471"/>
              <w:gridCol w:w="3726"/>
              <w:gridCol w:w="2352"/>
              <w:gridCol w:w="977"/>
            </w:tblGrid>
            <w:tr w14:paraId="01FD085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3" w:hRule="atLeast"/>
              </w:trPr>
              <w:tc>
                <w:tcPr>
                  <w:tcW w:w="239" w:type="pct"/>
                  <w:tcBorders>
                    <w:tl2br w:val="nil"/>
                    <w:tr2bl w:val="nil"/>
                  </w:tcBorders>
                  <w:vAlign w:val="center"/>
                </w:tcPr>
                <w:p w14:paraId="4C8EB042">
                  <w:pPr>
                    <w:pStyle w:val="37"/>
                    <w:bidi w:val="0"/>
                    <w:rPr>
                      <w:rFonts w:hint="default" w:ascii="Times New Roman" w:hAnsi="Times New Roman" w:cs="Times New Roman"/>
                      <w:color w:val="auto"/>
                      <w:lang w:val="en-US" w:eastAsia="zh-CN"/>
                    </w:rPr>
                  </w:pPr>
                  <w:r>
                    <w:rPr>
                      <w:rFonts w:hint="default"/>
                      <w:color w:val="auto"/>
                      <w:lang w:val="en-US" w:eastAsia="zh-CN"/>
                    </w:rPr>
                    <w:t>序号</w:t>
                  </w:r>
                </w:p>
              </w:tc>
              <w:tc>
                <w:tcPr>
                  <w:tcW w:w="298" w:type="pct"/>
                  <w:tcBorders>
                    <w:tl2br w:val="nil"/>
                    <w:tr2bl w:val="nil"/>
                  </w:tcBorders>
                  <w:vAlign w:val="center"/>
                </w:tcPr>
                <w:p w14:paraId="3811D147">
                  <w:pPr>
                    <w:pStyle w:val="37"/>
                    <w:bidi w:val="0"/>
                    <w:rPr>
                      <w:rFonts w:hint="default" w:ascii="Times New Roman" w:hAnsi="Times New Roman" w:cs="Times New Roman"/>
                      <w:color w:val="auto"/>
                    </w:rPr>
                  </w:pPr>
                  <w:r>
                    <w:rPr>
                      <w:rFonts w:hint="default"/>
                      <w:color w:val="auto"/>
                    </w:rPr>
                    <w:t>类别</w:t>
                  </w:r>
                </w:p>
              </w:tc>
              <w:tc>
                <w:tcPr>
                  <w:tcW w:w="2356" w:type="pct"/>
                  <w:tcBorders>
                    <w:tl2br w:val="nil"/>
                    <w:tr2bl w:val="nil"/>
                  </w:tcBorders>
                  <w:vAlign w:val="center"/>
                </w:tcPr>
                <w:p w14:paraId="2A8C4243">
                  <w:pPr>
                    <w:pStyle w:val="37"/>
                    <w:bidi w:val="0"/>
                    <w:rPr>
                      <w:rFonts w:hint="default" w:ascii="Times New Roman" w:hAnsi="Times New Roman" w:eastAsia="宋体" w:cs="Times New Roman"/>
                      <w:color w:val="auto"/>
                      <w:lang w:eastAsia="zh-CN"/>
                    </w:rPr>
                  </w:pPr>
                  <w:r>
                    <w:rPr>
                      <w:rFonts w:hint="default"/>
                      <w:color w:val="auto"/>
                    </w:rPr>
                    <w:t>《输变电建设项目环境保护技术要求》</w:t>
                  </w:r>
                  <w:r>
                    <w:rPr>
                      <w:rFonts w:hint="default"/>
                      <w:color w:val="auto"/>
                      <w:lang w:eastAsia="zh-CN"/>
                    </w:rPr>
                    <w:t>（</w:t>
                  </w:r>
                  <w:r>
                    <w:rPr>
                      <w:rFonts w:hint="default"/>
                      <w:color w:val="auto"/>
                    </w:rPr>
                    <w:t>HJ1113-2020</w:t>
                  </w:r>
                  <w:r>
                    <w:rPr>
                      <w:rFonts w:hint="default"/>
                      <w:color w:val="auto"/>
                      <w:lang w:eastAsia="zh-CN"/>
                    </w:rPr>
                    <w:t>）</w:t>
                  </w:r>
                </w:p>
              </w:tc>
              <w:tc>
                <w:tcPr>
                  <w:tcW w:w="1487" w:type="pct"/>
                  <w:tcBorders>
                    <w:tl2br w:val="nil"/>
                    <w:tr2bl w:val="nil"/>
                  </w:tcBorders>
                  <w:vAlign w:val="center"/>
                </w:tcPr>
                <w:p w14:paraId="08ACE531">
                  <w:pPr>
                    <w:pStyle w:val="37"/>
                    <w:bidi w:val="0"/>
                    <w:rPr>
                      <w:rFonts w:hint="default" w:ascii="Times New Roman" w:hAnsi="Times New Roman" w:cs="Times New Roman"/>
                      <w:color w:val="auto"/>
                    </w:rPr>
                  </w:pPr>
                  <w:r>
                    <w:rPr>
                      <w:rFonts w:hint="default"/>
                      <w:color w:val="auto"/>
                    </w:rPr>
                    <w:t>本项目情况</w:t>
                  </w:r>
                </w:p>
              </w:tc>
              <w:tc>
                <w:tcPr>
                  <w:tcW w:w="618" w:type="pct"/>
                  <w:tcBorders>
                    <w:tl2br w:val="nil"/>
                    <w:tr2bl w:val="nil"/>
                  </w:tcBorders>
                  <w:vAlign w:val="center"/>
                </w:tcPr>
                <w:p w14:paraId="195A40B6">
                  <w:pPr>
                    <w:pStyle w:val="37"/>
                    <w:bidi w:val="0"/>
                    <w:rPr>
                      <w:rFonts w:hint="default" w:ascii="Times New Roman" w:hAnsi="Times New Roman" w:cs="Times New Roman"/>
                      <w:color w:val="auto"/>
                    </w:rPr>
                  </w:pPr>
                  <w:r>
                    <w:rPr>
                      <w:rFonts w:hint="default"/>
                      <w:color w:val="auto"/>
                    </w:rPr>
                    <w:t>符合性</w:t>
                  </w:r>
                </w:p>
              </w:tc>
            </w:tr>
            <w:tr w14:paraId="0FDC51D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75" w:hRule="atLeast"/>
              </w:trPr>
              <w:tc>
                <w:tcPr>
                  <w:tcW w:w="239" w:type="pct"/>
                  <w:vMerge w:val="restart"/>
                  <w:tcBorders>
                    <w:tl2br w:val="nil"/>
                    <w:tr2bl w:val="nil"/>
                  </w:tcBorders>
                  <w:vAlign w:val="center"/>
                </w:tcPr>
                <w:p w14:paraId="14E2EEF4">
                  <w:pPr>
                    <w:pStyle w:val="37"/>
                    <w:bidi w:val="0"/>
                    <w:rPr>
                      <w:rFonts w:hint="default" w:ascii="Times New Roman" w:hAnsi="Times New Roman" w:cs="Times New Roman"/>
                      <w:color w:val="auto"/>
                      <w:lang w:val="en-US" w:eastAsia="zh-CN"/>
                    </w:rPr>
                  </w:pPr>
                  <w:r>
                    <w:rPr>
                      <w:rFonts w:hint="default"/>
                      <w:color w:val="auto"/>
                      <w:lang w:val="en-US" w:eastAsia="zh-CN"/>
                    </w:rPr>
                    <w:t>1</w:t>
                  </w:r>
                </w:p>
              </w:tc>
              <w:tc>
                <w:tcPr>
                  <w:tcW w:w="298" w:type="pct"/>
                  <w:vMerge w:val="restart"/>
                  <w:tcBorders>
                    <w:tl2br w:val="nil"/>
                    <w:tr2bl w:val="nil"/>
                  </w:tcBorders>
                  <w:vAlign w:val="center"/>
                </w:tcPr>
                <w:p w14:paraId="0287206C">
                  <w:pPr>
                    <w:pStyle w:val="37"/>
                    <w:bidi w:val="0"/>
                    <w:rPr>
                      <w:rFonts w:hint="default" w:ascii="Times New Roman" w:hAnsi="Times New Roman" w:cs="Times New Roman"/>
                      <w:color w:val="auto"/>
                    </w:rPr>
                  </w:pPr>
                  <w:r>
                    <w:rPr>
                      <w:rFonts w:hint="default"/>
                      <w:color w:val="auto"/>
                    </w:rPr>
                    <w:t>选址选线</w:t>
                  </w:r>
                </w:p>
              </w:tc>
              <w:tc>
                <w:tcPr>
                  <w:tcW w:w="2356" w:type="pct"/>
                  <w:tcBorders>
                    <w:tl2br w:val="nil"/>
                    <w:tr2bl w:val="nil"/>
                  </w:tcBorders>
                  <w:vAlign w:val="center"/>
                </w:tcPr>
                <w:p w14:paraId="7E11DA7A">
                  <w:pPr>
                    <w:pStyle w:val="37"/>
                    <w:bidi w:val="0"/>
                    <w:rPr>
                      <w:rFonts w:hint="default" w:ascii="Times New Roman" w:hAnsi="Times New Roman" w:cs="Times New Roman"/>
                      <w:color w:val="auto"/>
                    </w:rPr>
                  </w:pPr>
                  <w:r>
                    <w:rPr>
                      <w:rFonts w:hint="default"/>
                      <w:color w:val="auto"/>
                    </w:rPr>
                    <w:t>输变电建设项目选址选线应符合生态保护红线管控要求，避让自然保护区、饮用水水源保护区等环境敏感区。</w:t>
                  </w:r>
                </w:p>
              </w:tc>
              <w:tc>
                <w:tcPr>
                  <w:tcW w:w="1487" w:type="pct"/>
                  <w:tcBorders>
                    <w:tl2br w:val="nil"/>
                    <w:tr2bl w:val="nil"/>
                  </w:tcBorders>
                  <w:vAlign w:val="center"/>
                </w:tcPr>
                <w:p w14:paraId="37A3AF93">
                  <w:pPr>
                    <w:pStyle w:val="37"/>
                    <w:bidi w:val="0"/>
                    <w:rPr>
                      <w:rFonts w:hint="default" w:ascii="Times New Roman" w:hAnsi="Times New Roman" w:cs="Times New Roman"/>
                      <w:color w:val="auto"/>
                    </w:rPr>
                  </w:pPr>
                  <w:r>
                    <w:rPr>
                      <w:rFonts w:hint="default"/>
                      <w:color w:val="auto"/>
                    </w:rPr>
                    <w:t>项目</w:t>
                  </w:r>
                  <w:r>
                    <w:rPr>
                      <w:rFonts w:hint="eastAsia"/>
                      <w:color w:val="auto"/>
                      <w:lang w:val="en-US" w:eastAsia="zh-CN"/>
                    </w:rPr>
                    <w:t>占地范围内</w:t>
                  </w:r>
                  <w:r>
                    <w:rPr>
                      <w:rFonts w:hint="default"/>
                      <w:color w:val="auto"/>
                    </w:rPr>
                    <w:t>不涉及生态保护红线、自然保护区、饮用水水源保护区等环境敏感区。</w:t>
                  </w:r>
                </w:p>
              </w:tc>
              <w:tc>
                <w:tcPr>
                  <w:tcW w:w="618" w:type="pct"/>
                  <w:tcBorders>
                    <w:tl2br w:val="nil"/>
                    <w:tr2bl w:val="nil"/>
                  </w:tcBorders>
                  <w:vAlign w:val="center"/>
                </w:tcPr>
                <w:p w14:paraId="35CAE904">
                  <w:pPr>
                    <w:pStyle w:val="37"/>
                    <w:bidi w:val="0"/>
                    <w:rPr>
                      <w:rFonts w:hint="default" w:ascii="Times New Roman" w:hAnsi="Times New Roman" w:cs="Times New Roman"/>
                      <w:color w:val="auto"/>
                    </w:rPr>
                  </w:pPr>
                  <w:r>
                    <w:rPr>
                      <w:rFonts w:hint="default"/>
                      <w:color w:val="auto"/>
                    </w:rPr>
                    <w:t>符合</w:t>
                  </w:r>
                </w:p>
              </w:tc>
            </w:tr>
            <w:tr w14:paraId="30943F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52" w:hRule="atLeast"/>
              </w:trPr>
              <w:tc>
                <w:tcPr>
                  <w:tcW w:w="239" w:type="pct"/>
                  <w:vMerge w:val="continue"/>
                  <w:tcBorders>
                    <w:tl2br w:val="nil"/>
                    <w:tr2bl w:val="nil"/>
                  </w:tcBorders>
                  <w:vAlign w:val="center"/>
                </w:tcPr>
                <w:p w14:paraId="05DD1272">
                  <w:pPr>
                    <w:pageBreakBefore w:val="0"/>
                    <w:kinsoku/>
                    <w:wordWrap/>
                    <w:overflowPunct/>
                    <w:bidi w:val="0"/>
                    <w:rPr>
                      <w:rFonts w:hint="default" w:ascii="Times New Roman" w:hAnsi="Times New Roman" w:cs="Times New Roman"/>
                      <w:color w:val="auto"/>
                    </w:rPr>
                  </w:pPr>
                </w:p>
              </w:tc>
              <w:tc>
                <w:tcPr>
                  <w:tcW w:w="298" w:type="pct"/>
                  <w:vMerge w:val="continue"/>
                  <w:tcBorders>
                    <w:tl2br w:val="nil"/>
                    <w:tr2bl w:val="nil"/>
                  </w:tcBorders>
                  <w:vAlign w:val="center"/>
                </w:tcPr>
                <w:p w14:paraId="72D83A82">
                  <w:pPr>
                    <w:pageBreakBefore w:val="0"/>
                    <w:kinsoku/>
                    <w:wordWrap/>
                    <w:overflowPunct/>
                    <w:bidi w:val="0"/>
                    <w:rPr>
                      <w:rFonts w:hint="default" w:ascii="Times New Roman" w:hAnsi="Times New Roman" w:cs="Times New Roman"/>
                      <w:color w:val="auto"/>
                    </w:rPr>
                  </w:pPr>
                </w:p>
              </w:tc>
              <w:tc>
                <w:tcPr>
                  <w:tcW w:w="2356" w:type="pct"/>
                  <w:tcBorders>
                    <w:tl2br w:val="nil"/>
                    <w:tr2bl w:val="nil"/>
                  </w:tcBorders>
                  <w:vAlign w:val="center"/>
                </w:tcPr>
                <w:p w14:paraId="060547D4">
                  <w:pPr>
                    <w:pStyle w:val="37"/>
                    <w:bidi w:val="0"/>
                    <w:rPr>
                      <w:rFonts w:hint="default" w:ascii="Times New Roman" w:hAnsi="Times New Roman" w:cs="Times New Roman"/>
                      <w:color w:val="auto"/>
                    </w:rPr>
                  </w:pPr>
                  <w:r>
                    <w:rPr>
                      <w:rFonts w:hint="default"/>
                      <w:color w:val="auto"/>
                    </w:rPr>
                    <w:t>变电工程在选址时应按终期规模综合考虑进出线走廊规划，避免进出线进入自然保护区、饮用水水源保护区等环境敏感区。</w:t>
                  </w:r>
                </w:p>
              </w:tc>
              <w:tc>
                <w:tcPr>
                  <w:tcW w:w="1487" w:type="pct"/>
                  <w:tcBorders>
                    <w:tl2br w:val="nil"/>
                    <w:tr2bl w:val="nil"/>
                  </w:tcBorders>
                  <w:vAlign w:val="center"/>
                </w:tcPr>
                <w:p w14:paraId="5AD00378">
                  <w:pPr>
                    <w:pStyle w:val="37"/>
                    <w:bidi w:val="0"/>
                    <w:rPr>
                      <w:rFonts w:hint="default" w:ascii="Times New Roman" w:hAnsi="Times New Roman" w:cs="Times New Roman"/>
                      <w:color w:val="auto"/>
                    </w:rPr>
                  </w:pPr>
                  <w:r>
                    <w:rPr>
                      <w:rFonts w:hint="default"/>
                      <w:color w:val="auto"/>
                    </w:rPr>
                    <w:t>本项目升压站在选址时已综合考虑进出线走廊规划，避免进出线进入自然保护区、饮用水水源保护区等环境敏感区。</w:t>
                  </w:r>
                </w:p>
              </w:tc>
              <w:tc>
                <w:tcPr>
                  <w:tcW w:w="618" w:type="pct"/>
                  <w:tcBorders>
                    <w:tl2br w:val="nil"/>
                    <w:tr2bl w:val="nil"/>
                  </w:tcBorders>
                  <w:vAlign w:val="center"/>
                </w:tcPr>
                <w:p w14:paraId="202438C3">
                  <w:pPr>
                    <w:pStyle w:val="37"/>
                    <w:bidi w:val="0"/>
                    <w:rPr>
                      <w:rFonts w:hint="default" w:ascii="Times New Roman" w:hAnsi="Times New Roman" w:cs="Times New Roman"/>
                      <w:color w:val="auto"/>
                    </w:rPr>
                  </w:pPr>
                  <w:r>
                    <w:rPr>
                      <w:rFonts w:hint="default"/>
                      <w:color w:val="auto"/>
                    </w:rPr>
                    <w:t>符合</w:t>
                  </w:r>
                </w:p>
              </w:tc>
            </w:tr>
            <w:tr w14:paraId="5A11687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879" w:hRule="atLeast"/>
              </w:trPr>
              <w:tc>
                <w:tcPr>
                  <w:tcW w:w="239" w:type="pct"/>
                  <w:vMerge w:val="continue"/>
                  <w:tcBorders>
                    <w:tl2br w:val="nil"/>
                    <w:tr2bl w:val="nil"/>
                  </w:tcBorders>
                  <w:vAlign w:val="center"/>
                </w:tcPr>
                <w:p w14:paraId="09399557">
                  <w:pPr>
                    <w:pageBreakBefore w:val="0"/>
                    <w:kinsoku/>
                    <w:wordWrap/>
                    <w:overflowPunct/>
                    <w:bidi w:val="0"/>
                    <w:rPr>
                      <w:rFonts w:hint="default" w:ascii="Times New Roman" w:hAnsi="Times New Roman" w:cs="Times New Roman"/>
                      <w:color w:val="auto"/>
                    </w:rPr>
                  </w:pPr>
                </w:p>
              </w:tc>
              <w:tc>
                <w:tcPr>
                  <w:tcW w:w="298" w:type="pct"/>
                  <w:vMerge w:val="continue"/>
                  <w:tcBorders>
                    <w:tl2br w:val="nil"/>
                    <w:tr2bl w:val="nil"/>
                  </w:tcBorders>
                  <w:vAlign w:val="center"/>
                </w:tcPr>
                <w:p w14:paraId="56A778F9">
                  <w:pPr>
                    <w:pageBreakBefore w:val="0"/>
                    <w:kinsoku/>
                    <w:wordWrap/>
                    <w:overflowPunct/>
                    <w:bidi w:val="0"/>
                    <w:rPr>
                      <w:rFonts w:hint="default" w:ascii="Times New Roman" w:hAnsi="Times New Roman" w:cs="Times New Roman"/>
                      <w:color w:val="auto"/>
                    </w:rPr>
                  </w:pPr>
                </w:p>
              </w:tc>
              <w:tc>
                <w:tcPr>
                  <w:tcW w:w="2356" w:type="pct"/>
                  <w:tcBorders>
                    <w:tl2br w:val="nil"/>
                    <w:tr2bl w:val="nil"/>
                  </w:tcBorders>
                  <w:vAlign w:val="center"/>
                </w:tcPr>
                <w:p w14:paraId="0084BC56">
                  <w:pPr>
                    <w:pStyle w:val="37"/>
                    <w:bidi w:val="0"/>
                    <w:rPr>
                      <w:rFonts w:hint="default" w:ascii="Times New Roman" w:hAnsi="Times New Roman" w:cs="Times New Roman"/>
                      <w:color w:val="auto"/>
                    </w:rPr>
                  </w:pPr>
                  <w:r>
                    <w:rPr>
                      <w:rFonts w:hint="default"/>
                      <w:color w:val="auto"/>
                    </w:rPr>
                    <w:t>户外变电工程及规划架空进出线选址选线时，应关注以居住、医疗卫生、文化教育、科研、行政办公等为主要功能的区域，采取综合措施，减少电磁和声环境影响。</w:t>
                  </w:r>
                </w:p>
              </w:tc>
              <w:tc>
                <w:tcPr>
                  <w:tcW w:w="1487" w:type="pct"/>
                  <w:tcBorders>
                    <w:tl2br w:val="nil"/>
                    <w:tr2bl w:val="nil"/>
                  </w:tcBorders>
                  <w:vAlign w:val="center"/>
                </w:tcPr>
                <w:p w14:paraId="37E0EE5C">
                  <w:pPr>
                    <w:pStyle w:val="37"/>
                    <w:bidi w:val="0"/>
                    <w:rPr>
                      <w:rFonts w:hint="default" w:ascii="Times New Roman" w:hAnsi="Times New Roman" w:cs="Times New Roman"/>
                      <w:color w:val="auto"/>
                    </w:rPr>
                  </w:pPr>
                  <w:r>
                    <w:rPr>
                      <w:rFonts w:hint="default"/>
                      <w:color w:val="auto"/>
                    </w:rPr>
                    <w:t>升压站及规划架空进出线选址选线时已避开以居住、医疗卫生、文化教育、科研、行政办公等为主要功能的区域，设计时已考虑了电磁、声环境防护措施。</w:t>
                  </w:r>
                </w:p>
              </w:tc>
              <w:tc>
                <w:tcPr>
                  <w:tcW w:w="618" w:type="pct"/>
                  <w:tcBorders>
                    <w:tl2br w:val="nil"/>
                    <w:tr2bl w:val="nil"/>
                  </w:tcBorders>
                  <w:vAlign w:val="center"/>
                </w:tcPr>
                <w:p w14:paraId="0C90A92D">
                  <w:pPr>
                    <w:pStyle w:val="37"/>
                    <w:bidi w:val="0"/>
                    <w:rPr>
                      <w:rFonts w:hint="default" w:ascii="Times New Roman" w:hAnsi="Times New Roman" w:cs="Times New Roman"/>
                      <w:color w:val="auto"/>
                    </w:rPr>
                  </w:pPr>
                  <w:r>
                    <w:rPr>
                      <w:rFonts w:hint="default"/>
                      <w:color w:val="auto"/>
                    </w:rPr>
                    <w:t>符合</w:t>
                  </w:r>
                </w:p>
              </w:tc>
            </w:tr>
            <w:tr w14:paraId="6BFB4A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639" w:hRule="atLeast"/>
              </w:trPr>
              <w:tc>
                <w:tcPr>
                  <w:tcW w:w="239" w:type="pct"/>
                  <w:tcBorders>
                    <w:tl2br w:val="nil"/>
                    <w:tr2bl w:val="nil"/>
                  </w:tcBorders>
                  <w:vAlign w:val="center"/>
                </w:tcPr>
                <w:p w14:paraId="0BC30CFB">
                  <w:pPr>
                    <w:pStyle w:val="37"/>
                    <w:bidi w:val="0"/>
                    <w:rPr>
                      <w:rFonts w:hint="default" w:ascii="Times New Roman" w:hAnsi="Times New Roman" w:cs="Times New Roman"/>
                      <w:color w:val="auto"/>
                      <w:lang w:val="en-US" w:eastAsia="zh-CN"/>
                    </w:rPr>
                  </w:pPr>
                  <w:r>
                    <w:rPr>
                      <w:rFonts w:hint="default"/>
                      <w:color w:val="auto"/>
                      <w:lang w:val="en-US" w:eastAsia="zh-CN"/>
                    </w:rPr>
                    <w:t>2</w:t>
                  </w:r>
                </w:p>
              </w:tc>
              <w:tc>
                <w:tcPr>
                  <w:tcW w:w="298" w:type="pct"/>
                  <w:tcBorders>
                    <w:tl2br w:val="nil"/>
                    <w:tr2bl w:val="nil"/>
                  </w:tcBorders>
                  <w:vAlign w:val="center"/>
                </w:tcPr>
                <w:p w14:paraId="022FFAE2">
                  <w:pPr>
                    <w:pStyle w:val="37"/>
                    <w:bidi w:val="0"/>
                    <w:rPr>
                      <w:rFonts w:hint="default" w:ascii="Times New Roman" w:hAnsi="Times New Roman" w:cs="Times New Roman"/>
                      <w:color w:val="auto"/>
                      <w:lang w:val="en-US" w:eastAsia="zh-CN"/>
                    </w:rPr>
                  </w:pPr>
                  <w:r>
                    <w:rPr>
                      <w:rFonts w:hint="default"/>
                      <w:color w:val="auto"/>
                      <w:lang w:val="en-US" w:eastAsia="zh-CN"/>
                    </w:rPr>
                    <w:t>设计总体要求</w:t>
                  </w:r>
                </w:p>
              </w:tc>
              <w:tc>
                <w:tcPr>
                  <w:tcW w:w="2356" w:type="pct"/>
                  <w:tcBorders>
                    <w:tl2br w:val="nil"/>
                    <w:tr2bl w:val="nil"/>
                  </w:tcBorders>
                  <w:vAlign w:val="center"/>
                </w:tcPr>
                <w:p w14:paraId="3DCBE7DB">
                  <w:pPr>
                    <w:pStyle w:val="37"/>
                    <w:bidi w:val="0"/>
                    <w:rPr>
                      <w:rFonts w:hint="default" w:ascii="Times New Roman" w:hAnsi="Times New Roman" w:cs="Times New Roman"/>
                      <w:color w:val="auto"/>
                    </w:rPr>
                  </w:pPr>
                  <w:r>
                    <w:rPr>
                      <w:rFonts w:hint="default"/>
                      <w:color w:val="auto"/>
                    </w:rPr>
                    <w:t>变电工程应设置足够容量的事故油池及其配套的拦截、防雨、防渗等措施和设施。一旦发生泄漏，应能及时进行拦截和处理，确保油及油水混合物全部收集、不外排。</w:t>
                  </w:r>
                </w:p>
              </w:tc>
              <w:tc>
                <w:tcPr>
                  <w:tcW w:w="1487" w:type="pct"/>
                  <w:tcBorders>
                    <w:tl2br w:val="nil"/>
                    <w:tr2bl w:val="nil"/>
                  </w:tcBorders>
                  <w:vAlign w:val="center"/>
                </w:tcPr>
                <w:p w14:paraId="56126F4F">
                  <w:pPr>
                    <w:pStyle w:val="37"/>
                    <w:bidi w:val="0"/>
                    <w:rPr>
                      <w:rFonts w:hint="default" w:ascii="Times New Roman" w:hAnsi="Times New Roman" w:eastAsia="宋体" w:cs="Times New Roman"/>
                      <w:color w:val="auto"/>
                      <w:lang w:val="en-US" w:eastAsia="zh-CN"/>
                    </w:rPr>
                  </w:pPr>
                  <w:r>
                    <w:rPr>
                      <w:rFonts w:hint="default"/>
                      <w:color w:val="auto"/>
                    </w:rPr>
                    <w:t>本工程在新建的主变下方设置</w:t>
                  </w:r>
                  <w:r>
                    <w:rPr>
                      <w:rFonts w:hint="eastAsia"/>
                      <w:color w:val="auto"/>
                      <w:lang w:val="en-US" w:eastAsia="zh-CN"/>
                    </w:rPr>
                    <w:t>地埋式</w:t>
                  </w:r>
                  <w:r>
                    <w:rPr>
                      <w:rFonts w:hint="default"/>
                      <w:color w:val="auto"/>
                    </w:rPr>
                    <w:t>事故油池，</w:t>
                  </w:r>
                  <w:r>
                    <w:rPr>
                      <w:rFonts w:hint="eastAsia"/>
                      <w:color w:val="auto"/>
                      <w:lang w:val="en-US" w:eastAsia="zh-CN"/>
                    </w:rPr>
                    <w:t>事故油池周边配套封闭集油沟和集油坑，报告就</w:t>
                  </w:r>
                  <w:r>
                    <w:rPr>
                      <w:rFonts w:hint="default"/>
                      <w:color w:val="auto"/>
                    </w:rPr>
                    <w:t>事故油池提出了防渗要求。</w:t>
                  </w:r>
                  <w:r>
                    <w:rPr>
                      <w:rFonts w:hint="eastAsia"/>
                      <w:color w:val="auto"/>
                      <w:lang w:val="en-US" w:eastAsia="zh-CN"/>
                    </w:rPr>
                    <w:t>事故发生时，主变压器事故废油沿集油沟进入集油坑而后进入事故油池。</w:t>
                  </w:r>
                </w:p>
              </w:tc>
              <w:tc>
                <w:tcPr>
                  <w:tcW w:w="618" w:type="pct"/>
                  <w:tcBorders>
                    <w:tl2br w:val="nil"/>
                    <w:tr2bl w:val="nil"/>
                  </w:tcBorders>
                  <w:vAlign w:val="center"/>
                </w:tcPr>
                <w:p w14:paraId="35889B33">
                  <w:pPr>
                    <w:pStyle w:val="37"/>
                    <w:bidi w:val="0"/>
                    <w:rPr>
                      <w:rFonts w:hint="default" w:ascii="Times New Roman" w:hAnsi="Times New Roman" w:cs="Times New Roman"/>
                      <w:color w:val="auto"/>
                    </w:rPr>
                  </w:pPr>
                  <w:r>
                    <w:rPr>
                      <w:rFonts w:hint="default"/>
                      <w:color w:val="auto"/>
                    </w:rPr>
                    <w:t>符合</w:t>
                  </w:r>
                </w:p>
              </w:tc>
            </w:tr>
            <w:tr w14:paraId="36BE3FE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158" w:hRule="atLeast"/>
              </w:trPr>
              <w:tc>
                <w:tcPr>
                  <w:tcW w:w="239" w:type="pct"/>
                  <w:tcBorders>
                    <w:tl2br w:val="nil"/>
                    <w:tr2bl w:val="nil"/>
                  </w:tcBorders>
                  <w:vAlign w:val="center"/>
                </w:tcPr>
                <w:p w14:paraId="29B6659E">
                  <w:pPr>
                    <w:pStyle w:val="37"/>
                    <w:bidi w:val="0"/>
                    <w:rPr>
                      <w:rFonts w:hint="default" w:ascii="Times New Roman" w:hAnsi="Times New Roman" w:cs="Times New Roman"/>
                      <w:color w:val="auto"/>
                      <w:lang w:val="en-US" w:eastAsia="zh-CN"/>
                    </w:rPr>
                  </w:pPr>
                  <w:r>
                    <w:rPr>
                      <w:rFonts w:hint="default"/>
                      <w:color w:val="auto"/>
                      <w:lang w:val="en-US" w:eastAsia="zh-CN"/>
                    </w:rPr>
                    <w:t>3</w:t>
                  </w:r>
                </w:p>
              </w:tc>
              <w:tc>
                <w:tcPr>
                  <w:tcW w:w="298" w:type="pct"/>
                  <w:tcBorders>
                    <w:tl2br w:val="nil"/>
                    <w:tr2bl w:val="nil"/>
                  </w:tcBorders>
                  <w:vAlign w:val="center"/>
                </w:tcPr>
                <w:p w14:paraId="64FFD6A1">
                  <w:pPr>
                    <w:pStyle w:val="37"/>
                    <w:bidi w:val="0"/>
                    <w:rPr>
                      <w:rFonts w:hint="default" w:ascii="Times New Roman" w:hAnsi="Times New Roman" w:cs="Times New Roman"/>
                      <w:color w:val="auto"/>
                      <w:lang w:val="en-US" w:eastAsia="zh-CN"/>
                    </w:rPr>
                  </w:pPr>
                  <w:r>
                    <w:rPr>
                      <w:rFonts w:hint="default"/>
                      <w:color w:val="auto"/>
                      <w:lang w:val="en-US" w:eastAsia="zh-CN"/>
                    </w:rPr>
                    <w:t>设计电磁环境保护</w:t>
                  </w:r>
                </w:p>
              </w:tc>
              <w:tc>
                <w:tcPr>
                  <w:tcW w:w="2356" w:type="pct"/>
                  <w:tcBorders>
                    <w:tl2br w:val="nil"/>
                    <w:tr2bl w:val="nil"/>
                  </w:tcBorders>
                  <w:vAlign w:val="center"/>
                </w:tcPr>
                <w:p w14:paraId="699A577C">
                  <w:pPr>
                    <w:pStyle w:val="37"/>
                    <w:bidi w:val="0"/>
                    <w:rPr>
                      <w:rFonts w:hint="default" w:ascii="Times New Roman" w:hAnsi="Times New Roman" w:cs="Times New Roman"/>
                      <w:color w:val="auto"/>
                    </w:rPr>
                  </w:pPr>
                  <w:r>
                    <w:rPr>
                      <w:rFonts w:hint="default"/>
                      <w:color w:val="auto"/>
                    </w:rPr>
                    <w:t>工程设计应对产生的工频电场、工频磁场等电磁环境影响因子进行验算，采取相应防护措施，确保电磁环境影响满足国家标准要求。</w:t>
                  </w:r>
                </w:p>
              </w:tc>
              <w:tc>
                <w:tcPr>
                  <w:tcW w:w="1487" w:type="pct"/>
                  <w:tcBorders>
                    <w:tl2br w:val="nil"/>
                    <w:tr2bl w:val="nil"/>
                  </w:tcBorders>
                  <w:vAlign w:val="center"/>
                </w:tcPr>
                <w:p w14:paraId="315791E6">
                  <w:pPr>
                    <w:pStyle w:val="37"/>
                    <w:bidi w:val="0"/>
                    <w:rPr>
                      <w:rFonts w:hint="default" w:ascii="Times New Roman" w:hAnsi="Times New Roman" w:cs="Times New Roman"/>
                      <w:color w:val="auto"/>
                    </w:rPr>
                  </w:pPr>
                  <w:r>
                    <w:rPr>
                      <w:rFonts w:hint="default"/>
                      <w:color w:val="auto"/>
                    </w:rPr>
                    <w:t>设计通过合理布置升压站内电气设备，</w:t>
                  </w:r>
                  <w:r>
                    <w:rPr>
                      <w:rFonts w:hint="eastAsia"/>
                      <w:color w:val="auto"/>
                      <w:lang w:eastAsia="zh-CN"/>
                    </w:rPr>
                    <w:t>减少</w:t>
                  </w:r>
                  <w:r>
                    <w:rPr>
                      <w:rFonts w:hint="default"/>
                      <w:color w:val="auto"/>
                    </w:rPr>
                    <w:t>站外电磁环境的影响。架空线路通过合理布设导线距地高度，选择适宜的导线截面，降低导线对地产生的电磁环境影响。</w:t>
                  </w:r>
                </w:p>
              </w:tc>
              <w:tc>
                <w:tcPr>
                  <w:tcW w:w="618" w:type="pct"/>
                  <w:tcBorders>
                    <w:tl2br w:val="nil"/>
                    <w:tr2bl w:val="nil"/>
                  </w:tcBorders>
                  <w:vAlign w:val="center"/>
                </w:tcPr>
                <w:p w14:paraId="0161FD6A">
                  <w:pPr>
                    <w:pStyle w:val="37"/>
                    <w:bidi w:val="0"/>
                    <w:rPr>
                      <w:rFonts w:hint="default" w:ascii="Times New Roman" w:hAnsi="Times New Roman" w:cs="Times New Roman"/>
                      <w:color w:val="auto"/>
                    </w:rPr>
                  </w:pPr>
                  <w:r>
                    <w:rPr>
                      <w:rFonts w:hint="default"/>
                      <w:color w:val="auto"/>
                    </w:rPr>
                    <w:t>符合</w:t>
                  </w:r>
                </w:p>
              </w:tc>
            </w:tr>
            <w:tr w14:paraId="5A1F91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609" w:hRule="atLeast"/>
              </w:trPr>
              <w:tc>
                <w:tcPr>
                  <w:tcW w:w="239" w:type="pct"/>
                  <w:vMerge w:val="restart"/>
                  <w:tcBorders>
                    <w:tl2br w:val="nil"/>
                    <w:tr2bl w:val="nil"/>
                  </w:tcBorders>
                  <w:vAlign w:val="center"/>
                </w:tcPr>
                <w:p w14:paraId="27127696">
                  <w:pPr>
                    <w:pStyle w:val="37"/>
                    <w:bidi w:val="0"/>
                    <w:rPr>
                      <w:rFonts w:hint="default" w:ascii="Times New Roman" w:hAnsi="Times New Roman" w:cs="Times New Roman"/>
                      <w:color w:val="auto"/>
                      <w:lang w:val="en-US" w:eastAsia="zh-CN"/>
                    </w:rPr>
                  </w:pPr>
                  <w:r>
                    <w:rPr>
                      <w:rFonts w:hint="default"/>
                      <w:color w:val="auto"/>
                      <w:lang w:val="en-US" w:eastAsia="zh-CN"/>
                    </w:rPr>
                    <w:t>4</w:t>
                  </w:r>
                </w:p>
              </w:tc>
              <w:tc>
                <w:tcPr>
                  <w:tcW w:w="298" w:type="pct"/>
                  <w:vMerge w:val="restart"/>
                  <w:tcBorders>
                    <w:tl2br w:val="nil"/>
                    <w:tr2bl w:val="nil"/>
                  </w:tcBorders>
                  <w:vAlign w:val="center"/>
                </w:tcPr>
                <w:p w14:paraId="03D50745">
                  <w:pPr>
                    <w:pStyle w:val="37"/>
                    <w:bidi w:val="0"/>
                    <w:rPr>
                      <w:rFonts w:hint="default" w:ascii="Times New Roman" w:hAnsi="Times New Roman" w:cs="Times New Roman"/>
                      <w:color w:val="auto"/>
                      <w:lang w:val="en-US" w:eastAsia="zh-CN"/>
                    </w:rPr>
                  </w:pPr>
                  <w:r>
                    <w:rPr>
                      <w:rFonts w:hint="default"/>
                      <w:color w:val="auto"/>
                      <w:lang w:val="en-US" w:eastAsia="zh-CN"/>
                    </w:rPr>
                    <w:t>设计声环境保护</w:t>
                  </w:r>
                </w:p>
              </w:tc>
              <w:tc>
                <w:tcPr>
                  <w:tcW w:w="2356" w:type="pct"/>
                  <w:tcBorders>
                    <w:tl2br w:val="nil"/>
                    <w:tr2bl w:val="nil"/>
                  </w:tcBorders>
                  <w:vAlign w:val="center"/>
                </w:tcPr>
                <w:p w14:paraId="4530599B">
                  <w:pPr>
                    <w:pStyle w:val="37"/>
                    <w:bidi w:val="0"/>
                    <w:rPr>
                      <w:rFonts w:hint="eastAsia" w:ascii="Times New Roman" w:hAnsi="Times New Roman" w:eastAsia="宋体" w:cs="Times New Roman"/>
                      <w:color w:val="auto"/>
                      <w:lang w:eastAsia="zh-CN"/>
                    </w:rPr>
                  </w:pPr>
                  <w:r>
                    <w:rPr>
                      <w:rFonts w:hint="default"/>
                      <w:color w:val="auto"/>
                    </w:rPr>
                    <w:t>变电工程噪声控制设计应首先从噪声源强上进行控制，选择低噪声设备；对于声源上无法根治的噪声，应采用隔声、吸声、消声、防振、减振等降噪措施，确保厂界排放噪声和周围声环境敏感目标分别满足GB12348和GB3096</w:t>
                  </w:r>
                  <w:r>
                    <w:rPr>
                      <w:rFonts w:hint="eastAsia"/>
                      <w:color w:val="auto"/>
                      <w:lang w:eastAsia="zh-CN"/>
                    </w:rPr>
                    <w:t>。</w:t>
                  </w:r>
                </w:p>
              </w:tc>
              <w:tc>
                <w:tcPr>
                  <w:tcW w:w="1487" w:type="pct"/>
                  <w:vMerge w:val="restart"/>
                  <w:tcBorders>
                    <w:tl2br w:val="nil"/>
                    <w:tr2bl w:val="nil"/>
                  </w:tcBorders>
                  <w:vAlign w:val="center"/>
                </w:tcPr>
                <w:p w14:paraId="4AC1097E">
                  <w:pPr>
                    <w:pStyle w:val="37"/>
                    <w:bidi w:val="0"/>
                    <w:rPr>
                      <w:rFonts w:hint="default" w:ascii="Times New Roman" w:hAnsi="Times New Roman" w:cs="Times New Roman"/>
                      <w:color w:val="auto"/>
                    </w:rPr>
                  </w:pPr>
                  <w:r>
                    <w:rPr>
                      <w:rFonts w:hint="default"/>
                      <w:color w:val="auto"/>
                    </w:rPr>
                    <w:t>本工程采取将主变压器布置在站址中央、选用低噪声设备等降噪措施，厂界排放噪声满足GB12348</w:t>
                  </w:r>
                  <w:r>
                    <w:rPr>
                      <w:rFonts w:hint="eastAsia"/>
                      <w:color w:val="auto"/>
                      <w:lang w:val="en-US" w:eastAsia="zh-CN"/>
                    </w:rPr>
                    <w:t>中的1</w:t>
                  </w:r>
                  <w:r>
                    <w:rPr>
                      <w:rFonts w:hint="default"/>
                      <w:color w:val="auto"/>
                    </w:rPr>
                    <w:t>类标准。</w:t>
                  </w:r>
                </w:p>
              </w:tc>
              <w:tc>
                <w:tcPr>
                  <w:tcW w:w="618" w:type="pct"/>
                  <w:tcBorders>
                    <w:tl2br w:val="nil"/>
                    <w:tr2bl w:val="nil"/>
                  </w:tcBorders>
                  <w:vAlign w:val="center"/>
                </w:tcPr>
                <w:p w14:paraId="56C491EC">
                  <w:pPr>
                    <w:pStyle w:val="37"/>
                    <w:bidi w:val="0"/>
                    <w:rPr>
                      <w:rFonts w:hint="default" w:ascii="Times New Roman" w:hAnsi="Times New Roman" w:cs="Times New Roman"/>
                      <w:color w:val="auto"/>
                    </w:rPr>
                  </w:pPr>
                  <w:r>
                    <w:rPr>
                      <w:rFonts w:hint="default"/>
                      <w:color w:val="auto"/>
                    </w:rPr>
                    <w:t>符合</w:t>
                  </w:r>
                </w:p>
              </w:tc>
            </w:tr>
            <w:tr w14:paraId="77CFCB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369" w:hRule="atLeast"/>
              </w:trPr>
              <w:tc>
                <w:tcPr>
                  <w:tcW w:w="239" w:type="pct"/>
                  <w:vMerge w:val="continue"/>
                  <w:tcBorders>
                    <w:tl2br w:val="nil"/>
                    <w:tr2bl w:val="nil"/>
                  </w:tcBorders>
                  <w:vAlign w:val="center"/>
                </w:tcPr>
                <w:p w14:paraId="763D49CE">
                  <w:pPr>
                    <w:pageBreakBefore w:val="0"/>
                    <w:kinsoku/>
                    <w:wordWrap/>
                    <w:overflowPunct/>
                    <w:bidi w:val="0"/>
                    <w:rPr>
                      <w:rFonts w:hint="default" w:ascii="Times New Roman" w:hAnsi="Times New Roman" w:cs="Times New Roman"/>
                      <w:color w:val="auto"/>
                    </w:rPr>
                  </w:pPr>
                </w:p>
              </w:tc>
              <w:tc>
                <w:tcPr>
                  <w:tcW w:w="298" w:type="pct"/>
                  <w:vMerge w:val="continue"/>
                  <w:tcBorders>
                    <w:tl2br w:val="nil"/>
                    <w:tr2bl w:val="nil"/>
                  </w:tcBorders>
                  <w:vAlign w:val="center"/>
                </w:tcPr>
                <w:p w14:paraId="31C1864C">
                  <w:pPr>
                    <w:pageBreakBefore w:val="0"/>
                    <w:kinsoku/>
                    <w:wordWrap/>
                    <w:overflowPunct/>
                    <w:bidi w:val="0"/>
                    <w:rPr>
                      <w:rFonts w:hint="default" w:ascii="Times New Roman" w:hAnsi="Times New Roman" w:cs="Times New Roman"/>
                      <w:color w:val="auto"/>
                    </w:rPr>
                  </w:pPr>
                </w:p>
              </w:tc>
              <w:tc>
                <w:tcPr>
                  <w:tcW w:w="2356" w:type="pct"/>
                  <w:tcBorders>
                    <w:tl2br w:val="nil"/>
                    <w:tr2bl w:val="nil"/>
                  </w:tcBorders>
                  <w:vAlign w:val="center"/>
                </w:tcPr>
                <w:p w14:paraId="43F114DB">
                  <w:pPr>
                    <w:pStyle w:val="37"/>
                    <w:bidi w:val="0"/>
                    <w:rPr>
                      <w:rFonts w:hint="default"/>
                      <w:color w:val="auto"/>
                    </w:rPr>
                  </w:pPr>
                  <w:r>
                    <w:rPr>
                      <w:rFonts w:hint="default"/>
                      <w:color w:val="auto"/>
                    </w:rPr>
                    <w:t>户外变电工程在设计过程中应进行平面布置优化，将主变压器、换流变压器、高压电抗器等主要声源设备布置在站址中央区域或远离站外声环境敏感目标侧的区域。</w:t>
                  </w:r>
                </w:p>
                <w:p w14:paraId="2FAC5CD6">
                  <w:pPr>
                    <w:pageBreakBefore w:val="0"/>
                    <w:kinsoku/>
                    <w:wordWrap/>
                    <w:overflowPunct/>
                    <w:bidi w:val="0"/>
                    <w:rPr>
                      <w:rFonts w:hint="default" w:ascii="Times New Roman" w:hAnsi="Times New Roman" w:cs="Times New Roman"/>
                      <w:color w:val="auto"/>
                    </w:rPr>
                  </w:pPr>
                </w:p>
              </w:tc>
              <w:tc>
                <w:tcPr>
                  <w:tcW w:w="1487" w:type="pct"/>
                  <w:vMerge w:val="continue"/>
                  <w:tcBorders>
                    <w:tl2br w:val="nil"/>
                    <w:tr2bl w:val="nil"/>
                  </w:tcBorders>
                  <w:vAlign w:val="center"/>
                </w:tcPr>
                <w:p w14:paraId="1C2B5E87">
                  <w:pPr>
                    <w:pageBreakBefore w:val="0"/>
                    <w:kinsoku/>
                    <w:wordWrap/>
                    <w:overflowPunct/>
                    <w:bidi w:val="0"/>
                    <w:rPr>
                      <w:rFonts w:hint="default" w:ascii="Times New Roman" w:hAnsi="Times New Roman" w:cs="Times New Roman"/>
                      <w:color w:val="auto"/>
                    </w:rPr>
                  </w:pPr>
                </w:p>
              </w:tc>
              <w:tc>
                <w:tcPr>
                  <w:tcW w:w="618" w:type="pct"/>
                  <w:tcBorders>
                    <w:tl2br w:val="nil"/>
                    <w:tr2bl w:val="nil"/>
                  </w:tcBorders>
                  <w:vAlign w:val="center"/>
                </w:tcPr>
                <w:p w14:paraId="5388155C">
                  <w:pPr>
                    <w:pStyle w:val="37"/>
                    <w:bidi w:val="0"/>
                    <w:rPr>
                      <w:rFonts w:hint="default" w:ascii="Times New Roman" w:hAnsi="Times New Roman" w:cs="Times New Roman"/>
                      <w:color w:val="auto"/>
                    </w:rPr>
                  </w:pPr>
                  <w:r>
                    <w:rPr>
                      <w:rFonts w:hint="default"/>
                      <w:color w:val="auto"/>
                    </w:rPr>
                    <w:t>符合</w:t>
                  </w:r>
                </w:p>
              </w:tc>
            </w:tr>
            <w:tr w14:paraId="26029F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09" w:hRule="atLeast"/>
              </w:trPr>
              <w:tc>
                <w:tcPr>
                  <w:tcW w:w="239" w:type="pct"/>
                  <w:vMerge w:val="restart"/>
                  <w:tcBorders>
                    <w:tl2br w:val="nil"/>
                    <w:tr2bl w:val="nil"/>
                  </w:tcBorders>
                  <w:vAlign w:val="center"/>
                </w:tcPr>
                <w:p w14:paraId="5C00145D">
                  <w:pPr>
                    <w:pStyle w:val="37"/>
                    <w:bidi w:val="0"/>
                    <w:rPr>
                      <w:rFonts w:hint="default" w:ascii="Times New Roman" w:hAnsi="Times New Roman" w:cs="Times New Roman"/>
                      <w:color w:val="auto"/>
                      <w:lang w:val="en-US" w:eastAsia="zh-CN"/>
                    </w:rPr>
                  </w:pPr>
                  <w:r>
                    <w:rPr>
                      <w:rFonts w:hint="default"/>
                      <w:color w:val="auto"/>
                      <w:lang w:val="en-US" w:eastAsia="zh-CN"/>
                    </w:rPr>
                    <w:t>5</w:t>
                  </w:r>
                </w:p>
              </w:tc>
              <w:tc>
                <w:tcPr>
                  <w:tcW w:w="298" w:type="pct"/>
                  <w:vMerge w:val="restart"/>
                  <w:tcBorders>
                    <w:tl2br w:val="nil"/>
                    <w:tr2bl w:val="nil"/>
                  </w:tcBorders>
                  <w:vAlign w:val="center"/>
                </w:tcPr>
                <w:p w14:paraId="330C5747">
                  <w:pPr>
                    <w:pStyle w:val="37"/>
                    <w:bidi w:val="0"/>
                    <w:rPr>
                      <w:rFonts w:hint="default" w:ascii="Times New Roman" w:hAnsi="Times New Roman" w:cs="Times New Roman"/>
                      <w:color w:val="auto"/>
                      <w:lang w:val="en-US" w:eastAsia="zh-CN"/>
                    </w:rPr>
                  </w:pPr>
                  <w:r>
                    <w:rPr>
                      <w:rFonts w:hint="default"/>
                      <w:color w:val="auto"/>
                      <w:lang w:val="en-US" w:eastAsia="zh-CN"/>
                    </w:rPr>
                    <w:t>设计水环境保护</w:t>
                  </w:r>
                </w:p>
              </w:tc>
              <w:tc>
                <w:tcPr>
                  <w:tcW w:w="2356" w:type="pct"/>
                  <w:tcBorders>
                    <w:tl2br w:val="nil"/>
                    <w:tr2bl w:val="nil"/>
                  </w:tcBorders>
                  <w:vAlign w:val="center"/>
                </w:tcPr>
                <w:p w14:paraId="56E7A47F">
                  <w:pPr>
                    <w:pStyle w:val="37"/>
                    <w:bidi w:val="0"/>
                    <w:rPr>
                      <w:rFonts w:hint="default" w:ascii="Times New Roman" w:hAnsi="Times New Roman" w:cs="Times New Roman"/>
                      <w:color w:val="auto"/>
                    </w:rPr>
                  </w:pPr>
                  <w:r>
                    <w:rPr>
                      <w:rFonts w:hint="default"/>
                      <w:color w:val="auto"/>
                    </w:rPr>
                    <w:t>变电工程应采取节水措施，加强水的重复利用，减少废</w:t>
                  </w:r>
                  <w:r>
                    <w:rPr>
                      <w:rFonts w:hint="default"/>
                      <w:color w:val="auto"/>
                      <w:lang w:eastAsia="zh-CN"/>
                    </w:rPr>
                    <w:t>（</w:t>
                  </w:r>
                  <w:r>
                    <w:rPr>
                      <w:rFonts w:hint="default"/>
                      <w:color w:val="auto"/>
                    </w:rPr>
                    <w:t>污</w:t>
                  </w:r>
                  <w:r>
                    <w:rPr>
                      <w:rFonts w:hint="default"/>
                      <w:color w:val="auto"/>
                      <w:lang w:eastAsia="zh-CN"/>
                    </w:rPr>
                    <w:t>）</w:t>
                  </w:r>
                  <w:r>
                    <w:rPr>
                      <w:rFonts w:hint="default"/>
                      <w:color w:val="auto"/>
                    </w:rPr>
                    <w:t>水排放。雨水和生活污水应采取分流制。</w:t>
                  </w:r>
                </w:p>
              </w:tc>
              <w:tc>
                <w:tcPr>
                  <w:tcW w:w="1487" w:type="pct"/>
                  <w:vMerge w:val="restart"/>
                  <w:tcBorders>
                    <w:tl2br w:val="nil"/>
                    <w:tr2bl w:val="nil"/>
                  </w:tcBorders>
                  <w:vAlign w:val="center"/>
                </w:tcPr>
                <w:p w14:paraId="37F8C11F">
                  <w:pPr>
                    <w:pStyle w:val="37"/>
                    <w:bidi w:val="0"/>
                    <w:rPr>
                      <w:rFonts w:hint="default" w:ascii="Times New Roman" w:hAnsi="Times New Roman" w:cs="Times New Roman"/>
                      <w:color w:val="auto"/>
                    </w:rPr>
                  </w:pPr>
                  <w:r>
                    <w:rPr>
                      <w:rFonts w:hint="eastAsia"/>
                      <w:color w:val="auto"/>
                      <w:lang w:val="en-US" w:eastAsia="zh-CN"/>
                    </w:rPr>
                    <w:t>本项目依托的</w:t>
                  </w:r>
                  <w:r>
                    <w:rPr>
                      <w:rFonts w:hint="default"/>
                      <w:color w:val="auto"/>
                    </w:rPr>
                    <w:t>升压站已设计了较完善的供水系统和污水处理设备，能有效加强水的重复利用。升压站内实行雨污分流，升压站内食堂废水经隔油池隔油处理，连同</w:t>
                  </w:r>
                  <w:r>
                    <w:rPr>
                      <w:rFonts w:hint="eastAsia"/>
                      <w:color w:val="auto"/>
                      <w:lang w:eastAsia="zh-CN"/>
                    </w:rPr>
                    <w:t>其他生活</w:t>
                  </w:r>
                  <w:r>
                    <w:rPr>
                      <w:rFonts w:hint="default"/>
                      <w:color w:val="auto"/>
                    </w:rPr>
                    <w:t>污水经化粪池预处理后，进入一体化污水处理设施处理达到标准后晴天全部回用于升压站内绿化，不外排。</w:t>
                  </w:r>
                </w:p>
              </w:tc>
              <w:tc>
                <w:tcPr>
                  <w:tcW w:w="618" w:type="pct"/>
                  <w:tcBorders>
                    <w:tl2br w:val="nil"/>
                    <w:tr2bl w:val="nil"/>
                  </w:tcBorders>
                  <w:vAlign w:val="center"/>
                </w:tcPr>
                <w:p w14:paraId="5A8A09BF">
                  <w:pPr>
                    <w:pStyle w:val="37"/>
                    <w:bidi w:val="0"/>
                    <w:rPr>
                      <w:rFonts w:hint="default" w:ascii="Times New Roman" w:hAnsi="Times New Roman" w:cs="Times New Roman"/>
                      <w:color w:val="auto"/>
                    </w:rPr>
                  </w:pPr>
                  <w:r>
                    <w:rPr>
                      <w:rFonts w:hint="default"/>
                      <w:color w:val="auto"/>
                    </w:rPr>
                    <w:t>符合</w:t>
                  </w:r>
                </w:p>
              </w:tc>
            </w:tr>
            <w:tr w14:paraId="33187E3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18" w:hRule="atLeast"/>
              </w:trPr>
              <w:tc>
                <w:tcPr>
                  <w:tcW w:w="239" w:type="pct"/>
                  <w:vMerge w:val="continue"/>
                  <w:tcBorders>
                    <w:tl2br w:val="nil"/>
                    <w:tr2bl w:val="nil"/>
                  </w:tcBorders>
                  <w:vAlign w:val="center"/>
                </w:tcPr>
                <w:p w14:paraId="31B7E973">
                  <w:pPr>
                    <w:pageBreakBefore w:val="0"/>
                    <w:kinsoku/>
                    <w:wordWrap/>
                    <w:overflowPunct/>
                    <w:bidi w:val="0"/>
                    <w:rPr>
                      <w:rFonts w:hint="default" w:ascii="Times New Roman" w:hAnsi="Times New Roman" w:cs="Times New Roman"/>
                      <w:color w:val="auto"/>
                    </w:rPr>
                  </w:pPr>
                </w:p>
              </w:tc>
              <w:tc>
                <w:tcPr>
                  <w:tcW w:w="298" w:type="pct"/>
                  <w:vMerge w:val="continue"/>
                  <w:tcBorders>
                    <w:tl2br w:val="nil"/>
                    <w:tr2bl w:val="nil"/>
                  </w:tcBorders>
                  <w:vAlign w:val="center"/>
                </w:tcPr>
                <w:p w14:paraId="3A235667">
                  <w:pPr>
                    <w:pageBreakBefore w:val="0"/>
                    <w:kinsoku/>
                    <w:wordWrap/>
                    <w:overflowPunct/>
                    <w:bidi w:val="0"/>
                    <w:rPr>
                      <w:rFonts w:hint="default" w:ascii="Times New Roman" w:hAnsi="Times New Roman" w:cs="Times New Roman"/>
                      <w:color w:val="auto"/>
                    </w:rPr>
                  </w:pPr>
                </w:p>
              </w:tc>
              <w:tc>
                <w:tcPr>
                  <w:tcW w:w="2356" w:type="pct"/>
                  <w:tcBorders>
                    <w:tl2br w:val="nil"/>
                    <w:tr2bl w:val="nil"/>
                  </w:tcBorders>
                  <w:vAlign w:val="center"/>
                </w:tcPr>
                <w:p w14:paraId="4F210161">
                  <w:pPr>
                    <w:pStyle w:val="37"/>
                    <w:bidi w:val="0"/>
                    <w:rPr>
                      <w:rFonts w:hint="default" w:ascii="Times New Roman" w:hAnsi="Times New Roman" w:cs="Times New Roman"/>
                      <w:color w:val="auto"/>
                    </w:rPr>
                  </w:pPr>
                  <w:r>
                    <w:rPr>
                      <w:rFonts w:hint="default"/>
                      <w:color w:val="auto"/>
                    </w:rPr>
                    <w:t>变电工程站内产生的生活污水宜考虑处理后纳入城市污水管网；不具备纳入城市污水管网条件的变电工程，应根据站内生活污水产生情况设置生活污水处理装置</w:t>
                  </w:r>
                  <w:r>
                    <w:rPr>
                      <w:rFonts w:hint="default"/>
                      <w:color w:val="auto"/>
                      <w:lang w:eastAsia="zh-CN"/>
                    </w:rPr>
                    <w:t>（</w:t>
                  </w:r>
                  <w:r>
                    <w:rPr>
                      <w:rFonts w:hint="default"/>
                      <w:color w:val="auto"/>
                    </w:rPr>
                    <w:t>化粪池、地埋式污水处理装置、回用水池、蒸发池等</w:t>
                  </w:r>
                  <w:r>
                    <w:rPr>
                      <w:rFonts w:hint="default"/>
                      <w:color w:val="auto"/>
                      <w:lang w:eastAsia="zh-CN"/>
                    </w:rPr>
                    <w:t>），</w:t>
                  </w:r>
                  <w:r>
                    <w:rPr>
                      <w:rFonts w:hint="default"/>
                      <w:color w:val="auto"/>
                    </w:rPr>
                    <w:t>生活污水经处理后回收利用、定期清理或外排，外排时应严格执行相应的国家和地方</w:t>
                  </w:r>
                  <w:r>
                    <w:rPr>
                      <w:rFonts w:hint="eastAsia"/>
                      <w:color w:val="auto"/>
                      <w:lang w:eastAsia="zh-CN"/>
                    </w:rPr>
                    <w:t>水污染物排放</w:t>
                  </w:r>
                  <w:r>
                    <w:rPr>
                      <w:rFonts w:hint="default"/>
                      <w:color w:val="auto"/>
                    </w:rPr>
                    <w:t>标准相关要求。</w:t>
                  </w:r>
                </w:p>
              </w:tc>
              <w:tc>
                <w:tcPr>
                  <w:tcW w:w="1487" w:type="pct"/>
                  <w:vMerge w:val="continue"/>
                  <w:tcBorders>
                    <w:tl2br w:val="nil"/>
                    <w:tr2bl w:val="nil"/>
                  </w:tcBorders>
                  <w:vAlign w:val="center"/>
                </w:tcPr>
                <w:p w14:paraId="60EC312C">
                  <w:pPr>
                    <w:pageBreakBefore w:val="0"/>
                    <w:kinsoku/>
                    <w:wordWrap/>
                    <w:overflowPunct/>
                    <w:bidi w:val="0"/>
                    <w:rPr>
                      <w:rFonts w:hint="default" w:ascii="Times New Roman" w:hAnsi="Times New Roman" w:cs="Times New Roman"/>
                      <w:color w:val="auto"/>
                    </w:rPr>
                  </w:pPr>
                </w:p>
              </w:tc>
              <w:tc>
                <w:tcPr>
                  <w:tcW w:w="618" w:type="pct"/>
                  <w:tcBorders>
                    <w:tl2br w:val="nil"/>
                    <w:tr2bl w:val="nil"/>
                  </w:tcBorders>
                  <w:vAlign w:val="center"/>
                </w:tcPr>
                <w:p w14:paraId="56023E9C">
                  <w:pPr>
                    <w:pStyle w:val="37"/>
                    <w:bidi w:val="0"/>
                    <w:rPr>
                      <w:rFonts w:hint="default" w:ascii="Times New Roman" w:hAnsi="Times New Roman" w:cs="Times New Roman"/>
                      <w:color w:val="auto"/>
                    </w:rPr>
                  </w:pPr>
                  <w:r>
                    <w:rPr>
                      <w:rFonts w:hint="default"/>
                      <w:color w:val="auto"/>
                    </w:rPr>
                    <w:t>符合</w:t>
                  </w:r>
                </w:p>
              </w:tc>
            </w:tr>
            <w:tr w14:paraId="367A89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30" w:hRule="atLeast"/>
              </w:trPr>
              <w:tc>
                <w:tcPr>
                  <w:tcW w:w="239" w:type="pct"/>
                  <w:vMerge w:val="restart"/>
                  <w:tcBorders>
                    <w:tl2br w:val="nil"/>
                    <w:tr2bl w:val="nil"/>
                  </w:tcBorders>
                  <w:vAlign w:val="center"/>
                </w:tcPr>
                <w:p w14:paraId="45B34A75">
                  <w:pPr>
                    <w:pStyle w:val="37"/>
                    <w:bidi w:val="0"/>
                    <w:rPr>
                      <w:rFonts w:hint="default" w:ascii="Times New Roman" w:hAnsi="Times New Roman" w:cs="Times New Roman"/>
                      <w:color w:val="auto"/>
                      <w:lang w:val="en-US" w:eastAsia="zh-CN"/>
                    </w:rPr>
                  </w:pPr>
                  <w:r>
                    <w:rPr>
                      <w:rFonts w:hint="default"/>
                      <w:color w:val="auto"/>
                      <w:lang w:val="en-US" w:eastAsia="zh-CN"/>
                    </w:rPr>
                    <w:t>6</w:t>
                  </w:r>
                </w:p>
              </w:tc>
              <w:tc>
                <w:tcPr>
                  <w:tcW w:w="298" w:type="pct"/>
                  <w:vMerge w:val="restart"/>
                  <w:tcBorders>
                    <w:tl2br w:val="nil"/>
                    <w:tr2bl w:val="nil"/>
                  </w:tcBorders>
                  <w:vAlign w:val="center"/>
                </w:tcPr>
                <w:p w14:paraId="0FC27E71">
                  <w:pPr>
                    <w:pStyle w:val="37"/>
                    <w:bidi w:val="0"/>
                    <w:rPr>
                      <w:rFonts w:hint="default" w:ascii="Times New Roman" w:hAnsi="Times New Roman" w:cs="Times New Roman"/>
                      <w:color w:val="auto"/>
                      <w:lang w:val="en-US" w:eastAsia="zh-CN"/>
                    </w:rPr>
                  </w:pPr>
                  <w:r>
                    <w:rPr>
                      <w:rFonts w:hint="default"/>
                      <w:color w:val="auto"/>
                      <w:lang w:val="en-US" w:eastAsia="zh-CN"/>
                    </w:rPr>
                    <w:t>施工声环境保护</w:t>
                  </w:r>
                </w:p>
              </w:tc>
              <w:tc>
                <w:tcPr>
                  <w:tcW w:w="2356" w:type="pct"/>
                  <w:tcBorders>
                    <w:tl2br w:val="nil"/>
                    <w:tr2bl w:val="nil"/>
                  </w:tcBorders>
                  <w:vAlign w:val="center"/>
                </w:tcPr>
                <w:p w14:paraId="7A06BD8C">
                  <w:pPr>
                    <w:pStyle w:val="37"/>
                    <w:bidi w:val="0"/>
                    <w:rPr>
                      <w:rFonts w:hint="default" w:ascii="Times New Roman" w:hAnsi="Times New Roman" w:cs="Times New Roman"/>
                      <w:color w:val="auto"/>
                    </w:rPr>
                  </w:pPr>
                  <w:r>
                    <w:rPr>
                      <w:rFonts w:hint="default"/>
                      <w:color w:val="auto"/>
                    </w:rPr>
                    <w:t>变电工程施工过程中场界环境噪声排放应满足GB12523中的要求。</w:t>
                  </w:r>
                </w:p>
              </w:tc>
              <w:tc>
                <w:tcPr>
                  <w:tcW w:w="1487" w:type="pct"/>
                  <w:vMerge w:val="restart"/>
                  <w:tcBorders>
                    <w:tl2br w:val="nil"/>
                    <w:tr2bl w:val="nil"/>
                  </w:tcBorders>
                  <w:vAlign w:val="center"/>
                </w:tcPr>
                <w:p w14:paraId="6DB38656">
                  <w:pPr>
                    <w:pStyle w:val="37"/>
                    <w:bidi w:val="0"/>
                    <w:rPr>
                      <w:rFonts w:hint="default" w:ascii="Times New Roman" w:hAnsi="Times New Roman" w:cs="Times New Roman"/>
                      <w:color w:val="auto"/>
                    </w:rPr>
                  </w:pPr>
                  <w:r>
                    <w:rPr>
                      <w:rFonts w:hint="default"/>
                      <w:color w:val="auto"/>
                    </w:rPr>
                    <w:t>本环评要求施工单位采取低噪声设备，确保场界环境噪声排放满足GB12523中的要求。同时要求施工活动在白天进行，禁止夜间施工</w:t>
                  </w:r>
                </w:p>
              </w:tc>
              <w:tc>
                <w:tcPr>
                  <w:tcW w:w="618" w:type="pct"/>
                  <w:tcBorders>
                    <w:tl2br w:val="nil"/>
                    <w:tr2bl w:val="nil"/>
                  </w:tcBorders>
                  <w:vAlign w:val="center"/>
                </w:tcPr>
                <w:p w14:paraId="0680D633">
                  <w:pPr>
                    <w:pStyle w:val="37"/>
                    <w:bidi w:val="0"/>
                    <w:rPr>
                      <w:rFonts w:hint="default" w:ascii="Times New Roman" w:hAnsi="Times New Roman" w:cs="Times New Roman"/>
                      <w:color w:val="auto"/>
                    </w:rPr>
                  </w:pPr>
                  <w:r>
                    <w:rPr>
                      <w:rFonts w:hint="default"/>
                      <w:color w:val="auto"/>
                    </w:rPr>
                    <w:t>符合</w:t>
                  </w:r>
                </w:p>
              </w:tc>
            </w:tr>
            <w:tr w14:paraId="6A56D1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39" w:type="pct"/>
                  <w:vMerge w:val="continue"/>
                  <w:tcBorders>
                    <w:tl2br w:val="nil"/>
                    <w:tr2bl w:val="nil"/>
                  </w:tcBorders>
                  <w:vAlign w:val="center"/>
                </w:tcPr>
                <w:p w14:paraId="63A3E550">
                  <w:pPr>
                    <w:pageBreakBefore w:val="0"/>
                    <w:kinsoku/>
                    <w:wordWrap/>
                    <w:overflowPunct/>
                    <w:bidi w:val="0"/>
                    <w:rPr>
                      <w:rFonts w:hint="default" w:ascii="Times New Roman" w:hAnsi="Times New Roman" w:cs="Times New Roman"/>
                      <w:color w:val="auto"/>
                    </w:rPr>
                  </w:pPr>
                </w:p>
              </w:tc>
              <w:tc>
                <w:tcPr>
                  <w:tcW w:w="298" w:type="pct"/>
                  <w:vMerge w:val="continue"/>
                  <w:tcBorders>
                    <w:tl2br w:val="nil"/>
                    <w:tr2bl w:val="nil"/>
                  </w:tcBorders>
                  <w:vAlign w:val="center"/>
                </w:tcPr>
                <w:p w14:paraId="4F3C5FA0">
                  <w:pPr>
                    <w:pageBreakBefore w:val="0"/>
                    <w:kinsoku/>
                    <w:wordWrap/>
                    <w:overflowPunct/>
                    <w:bidi w:val="0"/>
                    <w:rPr>
                      <w:rFonts w:hint="default" w:ascii="Times New Roman" w:hAnsi="Times New Roman" w:cs="Times New Roman"/>
                      <w:color w:val="auto"/>
                    </w:rPr>
                  </w:pPr>
                </w:p>
              </w:tc>
              <w:tc>
                <w:tcPr>
                  <w:tcW w:w="2356" w:type="pct"/>
                  <w:tcBorders>
                    <w:tl2br w:val="nil"/>
                    <w:tr2bl w:val="nil"/>
                  </w:tcBorders>
                  <w:vAlign w:val="center"/>
                </w:tcPr>
                <w:p w14:paraId="2A943FCE">
                  <w:pPr>
                    <w:pStyle w:val="37"/>
                    <w:bidi w:val="0"/>
                    <w:rPr>
                      <w:rFonts w:hint="default" w:ascii="Times New Roman" w:hAnsi="Times New Roman" w:cs="Times New Roman"/>
                      <w:color w:val="auto"/>
                    </w:rPr>
                  </w:pPr>
                  <w:r>
                    <w:rPr>
                      <w:rFonts w:hint="default"/>
                      <w:color w:val="auto"/>
                    </w:rPr>
                    <w:t>在城市市区噪声敏感建筑物集中区域内，禁止夜间进行产生环境噪声污染的建筑施工作业，但抢修、抢险作业和因生产工艺上要求或者特殊需要必须连续作业的除外。夜间作业必须公告附近居民。</w:t>
                  </w:r>
                </w:p>
              </w:tc>
              <w:tc>
                <w:tcPr>
                  <w:tcW w:w="1487" w:type="pct"/>
                  <w:vMerge w:val="continue"/>
                  <w:tcBorders>
                    <w:tl2br w:val="nil"/>
                    <w:tr2bl w:val="nil"/>
                  </w:tcBorders>
                  <w:vAlign w:val="center"/>
                </w:tcPr>
                <w:p w14:paraId="273BB29F">
                  <w:pPr>
                    <w:pageBreakBefore w:val="0"/>
                    <w:kinsoku/>
                    <w:wordWrap/>
                    <w:overflowPunct/>
                    <w:bidi w:val="0"/>
                    <w:rPr>
                      <w:rFonts w:hint="default" w:ascii="Times New Roman" w:hAnsi="Times New Roman" w:cs="Times New Roman"/>
                      <w:color w:val="auto"/>
                    </w:rPr>
                  </w:pPr>
                </w:p>
              </w:tc>
              <w:tc>
                <w:tcPr>
                  <w:tcW w:w="618" w:type="pct"/>
                  <w:tcBorders>
                    <w:tl2br w:val="nil"/>
                    <w:tr2bl w:val="nil"/>
                  </w:tcBorders>
                  <w:vAlign w:val="center"/>
                </w:tcPr>
                <w:p w14:paraId="371CCB2A">
                  <w:pPr>
                    <w:pStyle w:val="37"/>
                    <w:bidi w:val="0"/>
                    <w:rPr>
                      <w:rFonts w:hint="default" w:ascii="Times New Roman" w:hAnsi="Times New Roman" w:cs="Times New Roman"/>
                      <w:color w:val="auto"/>
                    </w:rPr>
                  </w:pPr>
                  <w:r>
                    <w:rPr>
                      <w:rFonts w:hint="default"/>
                      <w:color w:val="auto"/>
                    </w:rPr>
                    <w:t>符合</w:t>
                  </w:r>
                </w:p>
              </w:tc>
            </w:tr>
            <w:tr w14:paraId="2AE892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99" w:hRule="atLeast"/>
              </w:trPr>
              <w:tc>
                <w:tcPr>
                  <w:tcW w:w="239" w:type="pct"/>
                  <w:vMerge w:val="restart"/>
                  <w:tcBorders>
                    <w:tl2br w:val="nil"/>
                    <w:tr2bl w:val="nil"/>
                  </w:tcBorders>
                  <w:vAlign w:val="center"/>
                </w:tcPr>
                <w:p w14:paraId="6EC42B7C">
                  <w:pPr>
                    <w:pStyle w:val="37"/>
                    <w:bidi w:val="0"/>
                    <w:rPr>
                      <w:rFonts w:hint="default" w:ascii="Times New Roman" w:hAnsi="Times New Roman" w:cs="Times New Roman"/>
                      <w:color w:val="auto"/>
                      <w:lang w:val="en-US" w:eastAsia="zh-CN"/>
                    </w:rPr>
                  </w:pPr>
                  <w:r>
                    <w:rPr>
                      <w:rFonts w:hint="default"/>
                      <w:color w:val="auto"/>
                      <w:lang w:val="en-US" w:eastAsia="zh-CN"/>
                    </w:rPr>
                    <w:t>7</w:t>
                  </w:r>
                </w:p>
              </w:tc>
              <w:tc>
                <w:tcPr>
                  <w:tcW w:w="298" w:type="pct"/>
                  <w:vMerge w:val="restart"/>
                  <w:tcBorders>
                    <w:tl2br w:val="nil"/>
                    <w:tr2bl w:val="nil"/>
                  </w:tcBorders>
                  <w:vAlign w:val="center"/>
                </w:tcPr>
                <w:p w14:paraId="37FD9770">
                  <w:pPr>
                    <w:pStyle w:val="37"/>
                    <w:bidi w:val="0"/>
                    <w:rPr>
                      <w:rFonts w:hint="default" w:ascii="Times New Roman" w:hAnsi="Times New Roman" w:cs="Times New Roman"/>
                      <w:color w:val="auto"/>
                      <w:lang w:val="en-US" w:eastAsia="zh-CN"/>
                    </w:rPr>
                  </w:pPr>
                  <w:r>
                    <w:rPr>
                      <w:rFonts w:hint="default"/>
                      <w:color w:val="auto"/>
                      <w:lang w:val="en-US" w:eastAsia="zh-CN"/>
                    </w:rPr>
                    <w:t>施工水环境保护</w:t>
                  </w:r>
                </w:p>
              </w:tc>
              <w:tc>
                <w:tcPr>
                  <w:tcW w:w="2356" w:type="pct"/>
                  <w:tcBorders>
                    <w:tl2br w:val="nil"/>
                    <w:tr2bl w:val="nil"/>
                  </w:tcBorders>
                  <w:vAlign w:val="center"/>
                </w:tcPr>
                <w:p w14:paraId="2E8F041E">
                  <w:pPr>
                    <w:pStyle w:val="37"/>
                    <w:bidi w:val="0"/>
                    <w:rPr>
                      <w:rFonts w:hint="eastAsia" w:ascii="Times New Roman" w:hAnsi="Times New Roman" w:eastAsia="宋体" w:cs="Times New Roman"/>
                      <w:color w:val="auto"/>
                      <w:lang w:eastAsia="zh-CN"/>
                    </w:rPr>
                  </w:pPr>
                  <w:r>
                    <w:rPr>
                      <w:rFonts w:hint="default"/>
                      <w:color w:val="auto"/>
                    </w:rPr>
                    <w:t>施工现场使用带油料的机械器具，应采取措施防止油料跑、冒、滴、漏，防止对土壤和水体造成污染</w:t>
                  </w:r>
                  <w:r>
                    <w:rPr>
                      <w:rFonts w:hint="eastAsia"/>
                      <w:color w:val="auto"/>
                      <w:lang w:eastAsia="zh-CN"/>
                    </w:rPr>
                    <w:t>。</w:t>
                  </w:r>
                </w:p>
              </w:tc>
              <w:tc>
                <w:tcPr>
                  <w:tcW w:w="1487" w:type="pct"/>
                  <w:vMerge w:val="restart"/>
                  <w:tcBorders>
                    <w:tl2br w:val="nil"/>
                    <w:tr2bl w:val="nil"/>
                  </w:tcBorders>
                  <w:vAlign w:val="center"/>
                </w:tcPr>
                <w:p w14:paraId="4565A1B7">
                  <w:pPr>
                    <w:pStyle w:val="37"/>
                    <w:bidi w:val="0"/>
                    <w:rPr>
                      <w:rFonts w:hint="default" w:ascii="Times New Roman" w:hAnsi="Times New Roman" w:cs="Times New Roman"/>
                      <w:color w:val="auto"/>
                    </w:rPr>
                  </w:pPr>
                  <w:r>
                    <w:rPr>
                      <w:rFonts w:hint="default"/>
                      <w:color w:val="auto"/>
                    </w:rPr>
                    <w:t>本环评要求施工单位加强对施工现场使用带油的机械器具的检修和维护，采取措施防止跑、冒、滴、漏油。同时要求施工单位在施工结束后对裸露地表进行硬化或铺设碎石。</w:t>
                  </w:r>
                </w:p>
              </w:tc>
              <w:tc>
                <w:tcPr>
                  <w:tcW w:w="618" w:type="pct"/>
                  <w:tcBorders>
                    <w:tl2br w:val="nil"/>
                    <w:tr2bl w:val="nil"/>
                  </w:tcBorders>
                  <w:vAlign w:val="center"/>
                </w:tcPr>
                <w:p w14:paraId="525A6CBC">
                  <w:pPr>
                    <w:pStyle w:val="37"/>
                    <w:bidi w:val="0"/>
                    <w:rPr>
                      <w:rFonts w:hint="default" w:ascii="Times New Roman" w:hAnsi="Times New Roman" w:cs="Times New Roman"/>
                      <w:color w:val="auto"/>
                    </w:rPr>
                  </w:pPr>
                  <w:r>
                    <w:rPr>
                      <w:rFonts w:hint="default"/>
                      <w:color w:val="auto"/>
                    </w:rPr>
                    <w:t>符合</w:t>
                  </w:r>
                </w:p>
              </w:tc>
            </w:tr>
            <w:tr w14:paraId="075552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239" w:type="pct"/>
                  <w:vMerge w:val="continue"/>
                  <w:tcBorders>
                    <w:tl2br w:val="nil"/>
                    <w:tr2bl w:val="nil"/>
                  </w:tcBorders>
                  <w:vAlign w:val="center"/>
                </w:tcPr>
                <w:p w14:paraId="421B8E82">
                  <w:pPr>
                    <w:pageBreakBefore w:val="0"/>
                    <w:kinsoku/>
                    <w:wordWrap/>
                    <w:overflowPunct/>
                    <w:bidi w:val="0"/>
                    <w:rPr>
                      <w:rFonts w:hint="default" w:ascii="Times New Roman" w:hAnsi="Times New Roman" w:cs="Times New Roman"/>
                      <w:color w:val="auto"/>
                    </w:rPr>
                  </w:pPr>
                </w:p>
              </w:tc>
              <w:tc>
                <w:tcPr>
                  <w:tcW w:w="298" w:type="pct"/>
                  <w:vMerge w:val="continue"/>
                  <w:tcBorders>
                    <w:tl2br w:val="nil"/>
                    <w:tr2bl w:val="nil"/>
                  </w:tcBorders>
                  <w:vAlign w:val="center"/>
                </w:tcPr>
                <w:p w14:paraId="2E6115D3">
                  <w:pPr>
                    <w:pageBreakBefore w:val="0"/>
                    <w:kinsoku/>
                    <w:wordWrap/>
                    <w:overflowPunct/>
                    <w:bidi w:val="0"/>
                    <w:rPr>
                      <w:rFonts w:hint="default" w:ascii="Times New Roman" w:hAnsi="Times New Roman" w:cs="Times New Roman"/>
                      <w:color w:val="auto"/>
                    </w:rPr>
                  </w:pPr>
                </w:p>
              </w:tc>
              <w:tc>
                <w:tcPr>
                  <w:tcW w:w="2356" w:type="pct"/>
                  <w:tcBorders>
                    <w:tl2br w:val="nil"/>
                    <w:tr2bl w:val="nil"/>
                  </w:tcBorders>
                  <w:vAlign w:val="center"/>
                </w:tcPr>
                <w:p w14:paraId="141770D5">
                  <w:pPr>
                    <w:pStyle w:val="37"/>
                    <w:bidi w:val="0"/>
                    <w:rPr>
                      <w:rFonts w:hint="default" w:ascii="Times New Roman" w:hAnsi="Times New Roman" w:cs="Times New Roman"/>
                      <w:color w:val="auto"/>
                    </w:rPr>
                  </w:pPr>
                  <w:r>
                    <w:rPr>
                      <w:rFonts w:hint="default"/>
                      <w:color w:val="auto"/>
                    </w:rPr>
                    <w:t>施工结束后，应及时清理施工现场，因地制宜进行土地功能恢复。</w:t>
                  </w:r>
                </w:p>
              </w:tc>
              <w:tc>
                <w:tcPr>
                  <w:tcW w:w="1487" w:type="pct"/>
                  <w:vMerge w:val="continue"/>
                  <w:tcBorders>
                    <w:tl2br w:val="nil"/>
                    <w:tr2bl w:val="nil"/>
                  </w:tcBorders>
                  <w:vAlign w:val="center"/>
                </w:tcPr>
                <w:p w14:paraId="70823845">
                  <w:pPr>
                    <w:pageBreakBefore w:val="0"/>
                    <w:kinsoku/>
                    <w:wordWrap/>
                    <w:overflowPunct/>
                    <w:bidi w:val="0"/>
                    <w:rPr>
                      <w:rFonts w:hint="default" w:ascii="Times New Roman" w:hAnsi="Times New Roman" w:cs="Times New Roman"/>
                      <w:color w:val="auto"/>
                    </w:rPr>
                  </w:pPr>
                </w:p>
              </w:tc>
              <w:tc>
                <w:tcPr>
                  <w:tcW w:w="618" w:type="pct"/>
                  <w:tcBorders>
                    <w:tl2br w:val="nil"/>
                    <w:tr2bl w:val="nil"/>
                  </w:tcBorders>
                  <w:vAlign w:val="center"/>
                </w:tcPr>
                <w:p w14:paraId="37E0788C">
                  <w:pPr>
                    <w:pStyle w:val="37"/>
                    <w:bidi w:val="0"/>
                    <w:rPr>
                      <w:rFonts w:hint="default" w:ascii="Times New Roman" w:hAnsi="Times New Roman" w:cs="Times New Roman"/>
                      <w:color w:val="auto"/>
                    </w:rPr>
                  </w:pPr>
                  <w:r>
                    <w:rPr>
                      <w:rFonts w:hint="default"/>
                      <w:color w:val="auto"/>
                    </w:rPr>
                    <w:t>符合</w:t>
                  </w:r>
                </w:p>
              </w:tc>
            </w:tr>
            <w:tr w14:paraId="2EB49C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239" w:type="pct"/>
                  <w:vMerge w:val="continue"/>
                  <w:tcBorders>
                    <w:tl2br w:val="nil"/>
                    <w:tr2bl w:val="nil"/>
                  </w:tcBorders>
                  <w:vAlign w:val="center"/>
                </w:tcPr>
                <w:p w14:paraId="1A88978D">
                  <w:pPr>
                    <w:pageBreakBefore w:val="0"/>
                    <w:kinsoku/>
                    <w:wordWrap/>
                    <w:overflowPunct/>
                    <w:bidi w:val="0"/>
                    <w:rPr>
                      <w:rFonts w:hint="default" w:ascii="Times New Roman" w:hAnsi="Times New Roman" w:cs="Times New Roman"/>
                      <w:color w:val="auto"/>
                    </w:rPr>
                  </w:pPr>
                </w:p>
              </w:tc>
              <w:tc>
                <w:tcPr>
                  <w:tcW w:w="298" w:type="pct"/>
                  <w:vMerge w:val="continue"/>
                  <w:tcBorders>
                    <w:tl2br w:val="nil"/>
                    <w:tr2bl w:val="nil"/>
                  </w:tcBorders>
                  <w:vAlign w:val="center"/>
                </w:tcPr>
                <w:p w14:paraId="77373159">
                  <w:pPr>
                    <w:pageBreakBefore w:val="0"/>
                    <w:kinsoku/>
                    <w:wordWrap/>
                    <w:overflowPunct/>
                    <w:bidi w:val="0"/>
                    <w:rPr>
                      <w:rFonts w:hint="default" w:ascii="Times New Roman" w:hAnsi="Times New Roman" w:cs="Times New Roman"/>
                      <w:color w:val="auto"/>
                    </w:rPr>
                  </w:pPr>
                </w:p>
              </w:tc>
              <w:tc>
                <w:tcPr>
                  <w:tcW w:w="2356" w:type="pct"/>
                  <w:tcBorders>
                    <w:tl2br w:val="nil"/>
                    <w:tr2bl w:val="nil"/>
                  </w:tcBorders>
                  <w:vAlign w:val="center"/>
                </w:tcPr>
                <w:p w14:paraId="62A06437">
                  <w:pPr>
                    <w:pStyle w:val="37"/>
                    <w:bidi w:val="0"/>
                    <w:rPr>
                      <w:rFonts w:hint="default" w:ascii="Times New Roman" w:hAnsi="Times New Roman" w:cs="Times New Roman"/>
                      <w:color w:val="auto"/>
                    </w:rPr>
                  </w:pPr>
                  <w:r>
                    <w:rPr>
                      <w:rFonts w:hint="default"/>
                      <w:color w:val="auto"/>
                    </w:rPr>
                    <w:t>施工期间禁止向水体排放、倾倒垃圾、弃土、弃渣，禁止排放未经处理的钻浆等废弃物。</w:t>
                  </w:r>
                </w:p>
              </w:tc>
              <w:tc>
                <w:tcPr>
                  <w:tcW w:w="1487" w:type="pct"/>
                  <w:tcBorders>
                    <w:tl2br w:val="nil"/>
                    <w:tr2bl w:val="nil"/>
                  </w:tcBorders>
                  <w:vAlign w:val="center"/>
                </w:tcPr>
                <w:p w14:paraId="0905E563">
                  <w:pPr>
                    <w:pStyle w:val="37"/>
                    <w:bidi w:val="0"/>
                    <w:rPr>
                      <w:rFonts w:hint="default" w:ascii="Times New Roman" w:hAnsi="Times New Roman" w:cs="Times New Roman"/>
                      <w:color w:val="auto"/>
                    </w:rPr>
                  </w:pPr>
                  <w:r>
                    <w:rPr>
                      <w:rFonts w:hint="default"/>
                      <w:color w:val="auto"/>
                    </w:rPr>
                    <w:t>本环评要求施工期废水经处理后回用，不外排。</w:t>
                  </w:r>
                </w:p>
              </w:tc>
              <w:tc>
                <w:tcPr>
                  <w:tcW w:w="618" w:type="pct"/>
                  <w:tcBorders>
                    <w:tl2br w:val="nil"/>
                    <w:tr2bl w:val="nil"/>
                  </w:tcBorders>
                  <w:vAlign w:val="center"/>
                </w:tcPr>
                <w:p w14:paraId="15E9296E">
                  <w:pPr>
                    <w:pStyle w:val="37"/>
                    <w:bidi w:val="0"/>
                    <w:rPr>
                      <w:rFonts w:hint="default" w:ascii="Times New Roman" w:hAnsi="Times New Roman" w:cs="Times New Roman"/>
                      <w:color w:val="auto"/>
                    </w:rPr>
                  </w:pPr>
                  <w:r>
                    <w:rPr>
                      <w:rFonts w:hint="default"/>
                      <w:color w:val="auto"/>
                    </w:rPr>
                    <w:t>符合</w:t>
                  </w:r>
                </w:p>
              </w:tc>
            </w:tr>
            <w:tr w14:paraId="2E4C9F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60" w:hRule="atLeast"/>
              </w:trPr>
              <w:tc>
                <w:tcPr>
                  <w:tcW w:w="239" w:type="pct"/>
                  <w:vMerge w:val="continue"/>
                  <w:tcBorders>
                    <w:tl2br w:val="nil"/>
                    <w:tr2bl w:val="nil"/>
                  </w:tcBorders>
                  <w:vAlign w:val="center"/>
                </w:tcPr>
                <w:p w14:paraId="3FCB7E8B">
                  <w:pPr>
                    <w:pageBreakBefore w:val="0"/>
                    <w:kinsoku/>
                    <w:wordWrap/>
                    <w:overflowPunct/>
                    <w:bidi w:val="0"/>
                    <w:rPr>
                      <w:rFonts w:hint="default" w:ascii="Times New Roman" w:hAnsi="Times New Roman" w:cs="Times New Roman"/>
                      <w:color w:val="auto"/>
                    </w:rPr>
                  </w:pPr>
                </w:p>
              </w:tc>
              <w:tc>
                <w:tcPr>
                  <w:tcW w:w="298" w:type="pct"/>
                  <w:vMerge w:val="continue"/>
                  <w:tcBorders>
                    <w:tl2br w:val="nil"/>
                    <w:tr2bl w:val="nil"/>
                  </w:tcBorders>
                  <w:vAlign w:val="center"/>
                </w:tcPr>
                <w:p w14:paraId="203C5B1E">
                  <w:pPr>
                    <w:pageBreakBefore w:val="0"/>
                    <w:kinsoku/>
                    <w:wordWrap/>
                    <w:overflowPunct/>
                    <w:bidi w:val="0"/>
                    <w:rPr>
                      <w:rFonts w:hint="default" w:ascii="Times New Roman" w:hAnsi="Times New Roman" w:cs="Times New Roman"/>
                      <w:color w:val="auto"/>
                    </w:rPr>
                  </w:pPr>
                </w:p>
              </w:tc>
              <w:tc>
                <w:tcPr>
                  <w:tcW w:w="2356" w:type="pct"/>
                  <w:tcBorders>
                    <w:tl2br w:val="nil"/>
                    <w:tr2bl w:val="nil"/>
                  </w:tcBorders>
                  <w:vAlign w:val="center"/>
                </w:tcPr>
                <w:p w14:paraId="1A57B9C2">
                  <w:pPr>
                    <w:pStyle w:val="37"/>
                    <w:bidi w:val="0"/>
                    <w:rPr>
                      <w:rFonts w:hint="default" w:ascii="Times New Roman" w:hAnsi="Times New Roman" w:cs="Times New Roman"/>
                      <w:color w:val="auto"/>
                    </w:rPr>
                  </w:pPr>
                  <w:r>
                    <w:rPr>
                      <w:rFonts w:hint="default"/>
                      <w:color w:val="auto"/>
                    </w:rPr>
                    <w:t>变电工程施工现场临时厕所的化粪池应进行防渗处理。</w:t>
                  </w:r>
                </w:p>
              </w:tc>
              <w:tc>
                <w:tcPr>
                  <w:tcW w:w="1487" w:type="pct"/>
                  <w:tcBorders>
                    <w:tl2br w:val="nil"/>
                    <w:tr2bl w:val="nil"/>
                  </w:tcBorders>
                  <w:vAlign w:val="center"/>
                </w:tcPr>
                <w:p w14:paraId="03EEC35C">
                  <w:pPr>
                    <w:pStyle w:val="37"/>
                    <w:bidi w:val="0"/>
                    <w:rPr>
                      <w:rFonts w:hint="default" w:ascii="Times New Roman" w:hAnsi="Times New Roman" w:cs="Times New Roman"/>
                      <w:color w:val="auto"/>
                    </w:rPr>
                  </w:pPr>
                  <w:r>
                    <w:rPr>
                      <w:rFonts w:hint="default"/>
                      <w:color w:val="auto"/>
                    </w:rPr>
                    <w:t>施工现场使用的化粪池将进行一般防渗处理。</w:t>
                  </w:r>
                </w:p>
              </w:tc>
              <w:tc>
                <w:tcPr>
                  <w:tcW w:w="618" w:type="pct"/>
                  <w:tcBorders>
                    <w:tl2br w:val="nil"/>
                    <w:tr2bl w:val="nil"/>
                  </w:tcBorders>
                  <w:vAlign w:val="center"/>
                </w:tcPr>
                <w:p w14:paraId="64F7BB83">
                  <w:pPr>
                    <w:pStyle w:val="37"/>
                    <w:bidi w:val="0"/>
                    <w:rPr>
                      <w:rFonts w:hint="default" w:ascii="Times New Roman" w:hAnsi="Times New Roman" w:cs="Times New Roman"/>
                      <w:color w:val="auto"/>
                    </w:rPr>
                  </w:pPr>
                  <w:r>
                    <w:rPr>
                      <w:rFonts w:hint="default"/>
                      <w:color w:val="auto"/>
                    </w:rPr>
                    <w:t>符合</w:t>
                  </w:r>
                </w:p>
              </w:tc>
            </w:tr>
            <w:tr w14:paraId="411076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639" w:hRule="atLeast"/>
              </w:trPr>
              <w:tc>
                <w:tcPr>
                  <w:tcW w:w="239" w:type="pct"/>
                  <w:tcBorders>
                    <w:tl2br w:val="nil"/>
                    <w:tr2bl w:val="nil"/>
                  </w:tcBorders>
                  <w:vAlign w:val="center"/>
                </w:tcPr>
                <w:p w14:paraId="6953D16B">
                  <w:pPr>
                    <w:pStyle w:val="37"/>
                    <w:bidi w:val="0"/>
                    <w:rPr>
                      <w:rFonts w:hint="default" w:ascii="Times New Roman" w:hAnsi="Times New Roman" w:cs="Times New Roman"/>
                      <w:color w:val="auto"/>
                      <w:lang w:val="en-US" w:eastAsia="zh-CN"/>
                    </w:rPr>
                  </w:pPr>
                  <w:r>
                    <w:rPr>
                      <w:rFonts w:hint="default"/>
                      <w:color w:val="auto"/>
                      <w:lang w:val="en-US" w:eastAsia="zh-CN"/>
                    </w:rPr>
                    <w:t>8</w:t>
                  </w:r>
                </w:p>
              </w:tc>
              <w:tc>
                <w:tcPr>
                  <w:tcW w:w="298" w:type="pct"/>
                  <w:tcBorders>
                    <w:tl2br w:val="nil"/>
                    <w:tr2bl w:val="nil"/>
                  </w:tcBorders>
                  <w:vAlign w:val="center"/>
                </w:tcPr>
                <w:p w14:paraId="4499A05C">
                  <w:pPr>
                    <w:pStyle w:val="37"/>
                    <w:bidi w:val="0"/>
                    <w:rPr>
                      <w:rFonts w:hint="default" w:ascii="Times New Roman" w:hAnsi="Times New Roman" w:cs="Times New Roman"/>
                      <w:color w:val="auto"/>
                      <w:lang w:val="en-US" w:eastAsia="zh-CN"/>
                    </w:rPr>
                  </w:pPr>
                  <w:r>
                    <w:rPr>
                      <w:rFonts w:hint="default"/>
                      <w:color w:val="auto"/>
                      <w:lang w:val="en-US" w:eastAsia="zh-CN"/>
                    </w:rPr>
                    <w:t>施工大气环境保护</w:t>
                  </w:r>
                </w:p>
              </w:tc>
              <w:tc>
                <w:tcPr>
                  <w:tcW w:w="2356" w:type="pct"/>
                  <w:tcBorders>
                    <w:tl2br w:val="nil"/>
                    <w:tr2bl w:val="nil"/>
                  </w:tcBorders>
                  <w:vAlign w:val="center"/>
                </w:tcPr>
                <w:p w14:paraId="231B42F2">
                  <w:pPr>
                    <w:pStyle w:val="37"/>
                    <w:bidi w:val="0"/>
                    <w:rPr>
                      <w:rFonts w:hint="default" w:ascii="Times New Roman" w:hAnsi="Times New Roman" w:cs="Times New Roman"/>
                      <w:color w:val="auto"/>
                    </w:rPr>
                  </w:pPr>
                  <w:r>
                    <w:rPr>
                      <w:rFonts w:hint="default"/>
                      <w:color w:val="auto"/>
                    </w:rPr>
                    <w:t>施工过程中，应当加强对施工现场和物料运输的管理，在施工工地设置硬质围挡，保持道路清洁，管控料堆和渣土堆放，</w:t>
                  </w:r>
                  <w:r>
                    <w:rPr>
                      <w:rFonts w:hint="eastAsia"/>
                      <w:color w:val="auto"/>
                      <w:lang w:eastAsia="zh-CN"/>
                    </w:rPr>
                    <w:t>防止</w:t>
                  </w:r>
                  <w:r>
                    <w:rPr>
                      <w:rFonts w:hint="default"/>
                      <w:color w:val="auto"/>
                    </w:rPr>
                    <w:t>扬尘污染。施工过程中，对易起尘的临时堆土、运输过程中的</w:t>
                  </w:r>
                  <w:r>
                    <w:rPr>
                      <w:rFonts w:hint="eastAsia"/>
                      <w:color w:val="auto"/>
                      <w:lang w:eastAsia="zh-CN"/>
                    </w:rPr>
                    <w:t>土石方</w:t>
                  </w:r>
                  <w:r>
                    <w:rPr>
                      <w:rFonts w:hint="default"/>
                      <w:color w:val="auto"/>
                    </w:rPr>
                    <w:t>等应采用密闭式防尘布</w:t>
                  </w:r>
                  <w:r>
                    <w:rPr>
                      <w:rFonts w:hint="default"/>
                      <w:color w:val="auto"/>
                      <w:lang w:eastAsia="zh-CN"/>
                    </w:rPr>
                    <w:t>（</w:t>
                  </w:r>
                  <w:r>
                    <w:rPr>
                      <w:rFonts w:hint="default"/>
                      <w:color w:val="auto"/>
                    </w:rPr>
                    <w:t>网</w:t>
                  </w:r>
                  <w:r>
                    <w:rPr>
                      <w:rFonts w:hint="default"/>
                      <w:color w:val="auto"/>
                      <w:lang w:eastAsia="zh-CN"/>
                    </w:rPr>
                    <w:t>）</w:t>
                  </w:r>
                  <w:r>
                    <w:rPr>
                      <w:rFonts w:hint="default"/>
                      <w:color w:val="auto"/>
                    </w:rPr>
                    <w:t>进行苫盖，施工面集中且有条件的地方宜采取洒水降尘等有效措施，减少易造成大气污染的施工作业。施工过程中，建设单位应当对裸露地面进行覆盖：暂时不能开工的建设用地超过三个月的，应当进行绿化、铺装或者遮盖。施工现场禁止将包装物、可燃垃圾等固体废弃物就地焚烧。</w:t>
                  </w:r>
                </w:p>
              </w:tc>
              <w:tc>
                <w:tcPr>
                  <w:tcW w:w="1487" w:type="pct"/>
                  <w:tcBorders>
                    <w:tl2br w:val="nil"/>
                    <w:tr2bl w:val="nil"/>
                  </w:tcBorders>
                  <w:vAlign w:val="center"/>
                </w:tcPr>
                <w:p w14:paraId="49B1A298">
                  <w:pPr>
                    <w:pStyle w:val="37"/>
                    <w:bidi w:val="0"/>
                    <w:rPr>
                      <w:rFonts w:hint="default" w:ascii="Times New Roman" w:hAnsi="Times New Roman" w:cs="Times New Roman"/>
                      <w:color w:val="auto"/>
                    </w:rPr>
                  </w:pPr>
                  <w:r>
                    <w:rPr>
                      <w:rFonts w:hint="default"/>
                      <w:color w:val="auto"/>
                    </w:rPr>
                    <w:t>施工工地将设置硬质围挡，并在临时堆土、运输过程中的</w:t>
                  </w:r>
                  <w:r>
                    <w:rPr>
                      <w:rFonts w:hint="eastAsia"/>
                      <w:color w:val="auto"/>
                      <w:lang w:eastAsia="zh-CN"/>
                    </w:rPr>
                    <w:t>土石方</w:t>
                  </w:r>
                  <w:r>
                    <w:rPr>
                      <w:rFonts w:hint="default"/>
                      <w:color w:val="auto"/>
                    </w:rPr>
                    <w:t>等应采用密闭式防尘布进行苫盖，施工现场进行洒水降尘。施工过程中将对裸露地面进行覆盖，禁止就地焚烧包装物、可燃垃圾等固体废弃物。本环评要求施工单位采取覆盖、洒水等措施，以减少工程对大气环境的影响。</w:t>
                  </w:r>
                </w:p>
              </w:tc>
              <w:tc>
                <w:tcPr>
                  <w:tcW w:w="618" w:type="pct"/>
                  <w:tcBorders>
                    <w:tl2br w:val="nil"/>
                    <w:tr2bl w:val="nil"/>
                  </w:tcBorders>
                  <w:vAlign w:val="center"/>
                </w:tcPr>
                <w:p w14:paraId="1B2FB9D3">
                  <w:pPr>
                    <w:pStyle w:val="37"/>
                    <w:bidi w:val="0"/>
                    <w:rPr>
                      <w:rFonts w:hint="default" w:ascii="Times New Roman" w:hAnsi="Times New Roman" w:cs="Times New Roman"/>
                      <w:color w:val="auto"/>
                    </w:rPr>
                  </w:pPr>
                  <w:r>
                    <w:rPr>
                      <w:rFonts w:hint="default"/>
                      <w:color w:val="auto"/>
                    </w:rPr>
                    <w:t>符合</w:t>
                  </w:r>
                </w:p>
              </w:tc>
            </w:tr>
            <w:tr w14:paraId="32CEDF5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889" w:hRule="atLeast"/>
              </w:trPr>
              <w:tc>
                <w:tcPr>
                  <w:tcW w:w="239" w:type="pct"/>
                  <w:tcBorders>
                    <w:tl2br w:val="nil"/>
                    <w:tr2bl w:val="nil"/>
                  </w:tcBorders>
                  <w:vAlign w:val="center"/>
                </w:tcPr>
                <w:p w14:paraId="5D1CD2D4">
                  <w:pPr>
                    <w:pStyle w:val="37"/>
                    <w:bidi w:val="0"/>
                    <w:rPr>
                      <w:rFonts w:hint="default" w:ascii="Times New Roman" w:hAnsi="Times New Roman" w:cs="Times New Roman"/>
                      <w:color w:val="auto"/>
                      <w:lang w:val="en-US" w:eastAsia="zh-CN"/>
                    </w:rPr>
                  </w:pPr>
                  <w:r>
                    <w:rPr>
                      <w:rFonts w:hint="default"/>
                      <w:color w:val="auto"/>
                      <w:lang w:val="en-US" w:eastAsia="zh-CN"/>
                    </w:rPr>
                    <w:t>9</w:t>
                  </w:r>
                </w:p>
              </w:tc>
              <w:tc>
                <w:tcPr>
                  <w:tcW w:w="298" w:type="pct"/>
                  <w:tcBorders>
                    <w:tl2br w:val="nil"/>
                    <w:tr2bl w:val="nil"/>
                  </w:tcBorders>
                  <w:vAlign w:val="center"/>
                </w:tcPr>
                <w:p w14:paraId="51D654FE">
                  <w:pPr>
                    <w:pStyle w:val="37"/>
                    <w:bidi w:val="0"/>
                    <w:rPr>
                      <w:rFonts w:hint="default"/>
                      <w:color w:val="auto"/>
                      <w:lang w:val="en-US" w:eastAsia="zh-CN"/>
                    </w:rPr>
                  </w:pPr>
                  <w:r>
                    <w:rPr>
                      <w:rFonts w:hint="default"/>
                      <w:color w:val="auto"/>
                      <w:lang w:val="en-US" w:eastAsia="zh-CN"/>
                    </w:rPr>
                    <w:t>施工固体</w:t>
                  </w:r>
                </w:p>
                <w:p w14:paraId="32AD71C9">
                  <w:pPr>
                    <w:pStyle w:val="37"/>
                    <w:bidi w:val="0"/>
                    <w:rPr>
                      <w:rFonts w:hint="default" w:ascii="Times New Roman" w:hAnsi="Times New Roman" w:cs="Times New Roman"/>
                      <w:color w:val="auto"/>
                    </w:rPr>
                  </w:pPr>
                  <w:r>
                    <w:rPr>
                      <w:rFonts w:hint="default"/>
                      <w:color w:val="auto"/>
                      <w:lang w:val="en-US" w:eastAsia="zh-CN"/>
                    </w:rPr>
                    <w:t>废弃物处置</w:t>
                  </w:r>
                </w:p>
              </w:tc>
              <w:tc>
                <w:tcPr>
                  <w:tcW w:w="2356" w:type="pct"/>
                  <w:tcBorders>
                    <w:tl2br w:val="nil"/>
                    <w:tr2bl w:val="nil"/>
                  </w:tcBorders>
                  <w:vAlign w:val="center"/>
                </w:tcPr>
                <w:p w14:paraId="60DB057E">
                  <w:pPr>
                    <w:pStyle w:val="37"/>
                    <w:bidi w:val="0"/>
                    <w:rPr>
                      <w:rFonts w:hint="default" w:ascii="Times New Roman" w:hAnsi="Times New Roman" w:cs="Times New Roman"/>
                      <w:color w:val="auto"/>
                    </w:rPr>
                  </w:pPr>
                  <w:r>
                    <w:rPr>
                      <w:rFonts w:hint="default"/>
                      <w:color w:val="auto"/>
                    </w:rPr>
                    <w:t>施工过程中产生的土石方、建筑垃圾、生活垃圾分类集中收集，并按国家和地方有关规定定期进行清运处置，施工完成后及时做好迹地清理工作。</w:t>
                  </w:r>
                </w:p>
              </w:tc>
              <w:tc>
                <w:tcPr>
                  <w:tcW w:w="1487" w:type="pct"/>
                  <w:tcBorders>
                    <w:tl2br w:val="nil"/>
                    <w:tr2bl w:val="nil"/>
                  </w:tcBorders>
                  <w:vAlign w:val="center"/>
                </w:tcPr>
                <w:p w14:paraId="731FC1B2">
                  <w:pPr>
                    <w:pStyle w:val="37"/>
                    <w:bidi w:val="0"/>
                    <w:rPr>
                      <w:rFonts w:hint="default" w:ascii="Times New Roman" w:hAnsi="Times New Roman" w:cs="Times New Roman"/>
                      <w:color w:val="auto"/>
                    </w:rPr>
                  </w:pPr>
                  <w:r>
                    <w:rPr>
                      <w:rFonts w:hint="default"/>
                      <w:color w:val="auto"/>
                    </w:rPr>
                    <w:t>本环评要求施工过程中的建筑垃圾及生活垃圾应分别收集堆放，并采取必要的防护措施</w:t>
                  </w:r>
                  <w:r>
                    <w:rPr>
                      <w:rFonts w:hint="default"/>
                      <w:color w:val="auto"/>
                      <w:lang w:eastAsia="zh-CN"/>
                    </w:rPr>
                    <w:t>（</w:t>
                  </w:r>
                  <w:r>
                    <w:rPr>
                      <w:rFonts w:hint="default"/>
                      <w:color w:val="auto"/>
                    </w:rPr>
                    <w:t>防雨、防飞扬等</w:t>
                  </w:r>
                  <w:r>
                    <w:rPr>
                      <w:rFonts w:hint="default"/>
                      <w:color w:val="auto"/>
                      <w:lang w:eastAsia="zh-CN"/>
                    </w:rPr>
                    <w:t>），</w:t>
                  </w:r>
                  <w:r>
                    <w:rPr>
                      <w:rFonts w:hint="default"/>
                      <w:color w:val="auto"/>
                    </w:rPr>
                    <w:t>定期运至当地政府指定的合法合规的地点由环卫部门处置。</w:t>
                  </w:r>
                </w:p>
              </w:tc>
              <w:tc>
                <w:tcPr>
                  <w:tcW w:w="618" w:type="pct"/>
                  <w:tcBorders>
                    <w:tl2br w:val="nil"/>
                    <w:tr2bl w:val="nil"/>
                  </w:tcBorders>
                  <w:vAlign w:val="center"/>
                </w:tcPr>
                <w:p w14:paraId="3178F5D8">
                  <w:pPr>
                    <w:pStyle w:val="37"/>
                    <w:bidi w:val="0"/>
                    <w:rPr>
                      <w:rFonts w:hint="default" w:ascii="Times New Roman" w:hAnsi="Times New Roman" w:cs="Times New Roman"/>
                      <w:color w:val="auto"/>
                    </w:rPr>
                  </w:pPr>
                  <w:r>
                    <w:rPr>
                      <w:rFonts w:hint="default"/>
                      <w:color w:val="auto"/>
                    </w:rPr>
                    <w:t>符合</w:t>
                  </w:r>
                </w:p>
              </w:tc>
            </w:tr>
            <w:tr w14:paraId="6520A5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188" w:hRule="atLeast"/>
              </w:trPr>
              <w:tc>
                <w:tcPr>
                  <w:tcW w:w="239" w:type="pct"/>
                  <w:tcBorders>
                    <w:tl2br w:val="nil"/>
                    <w:tr2bl w:val="nil"/>
                  </w:tcBorders>
                  <w:vAlign w:val="center"/>
                </w:tcPr>
                <w:p w14:paraId="31FC5832">
                  <w:pPr>
                    <w:pStyle w:val="37"/>
                    <w:bidi w:val="0"/>
                    <w:rPr>
                      <w:rFonts w:hint="default" w:ascii="Times New Roman" w:hAnsi="Times New Roman" w:cs="Times New Roman"/>
                      <w:color w:val="auto"/>
                      <w:lang w:val="en-US" w:eastAsia="zh-CN"/>
                    </w:rPr>
                  </w:pPr>
                  <w:r>
                    <w:rPr>
                      <w:rFonts w:hint="default"/>
                      <w:color w:val="auto"/>
                      <w:lang w:val="en-US" w:eastAsia="zh-CN"/>
                    </w:rPr>
                    <w:t>10</w:t>
                  </w:r>
                </w:p>
              </w:tc>
              <w:tc>
                <w:tcPr>
                  <w:tcW w:w="298" w:type="pct"/>
                  <w:tcBorders>
                    <w:tl2br w:val="nil"/>
                    <w:tr2bl w:val="nil"/>
                  </w:tcBorders>
                  <w:vAlign w:val="center"/>
                </w:tcPr>
                <w:p w14:paraId="2335C98D">
                  <w:pPr>
                    <w:pStyle w:val="37"/>
                    <w:bidi w:val="0"/>
                    <w:rPr>
                      <w:rFonts w:hint="default" w:ascii="Times New Roman" w:hAnsi="Times New Roman" w:cs="Times New Roman"/>
                      <w:color w:val="auto"/>
                      <w:lang w:val="en-US" w:eastAsia="zh-CN"/>
                    </w:rPr>
                  </w:pPr>
                  <w:r>
                    <w:rPr>
                      <w:rFonts w:hint="default"/>
                      <w:color w:val="auto"/>
                      <w:lang w:val="en-US" w:eastAsia="zh-CN"/>
                    </w:rPr>
                    <w:t>运行</w:t>
                  </w:r>
                </w:p>
              </w:tc>
              <w:tc>
                <w:tcPr>
                  <w:tcW w:w="2356" w:type="pct"/>
                  <w:tcBorders>
                    <w:tl2br w:val="nil"/>
                    <w:tr2bl w:val="nil"/>
                  </w:tcBorders>
                  <w:vAlign w:val="center"/>
                </w:tcPr>
                <w:p w14:paraId="4067D224">
                  <w:pPr>
                    <w:pStyle w:val="37"/>
                    <w:bidi w:val="0"/>
                    <w:rPr>
                      <w:rFonts w:hint="default" w:ascii="Times New Roman" w:hAnsi="Times New Roman" w:cs="Times New Roman"/>
                      <w:color w:val="auto"/>
                    </w:rPr>
                  </w:pPr>
                  <w:r>
                    <w:rPr>
                      <w:rFonts w:hint="default"/>
                      <w:color w:val="auto"/>
                    </w:rPr>
                    <w:t>变电工程运行过程中产生的变压器油、高抗油等矿物油应进行回收处理。废矿物油和废铅酸蓄电池作为危险废物应交由有资质的单位回收处理，严禁随意丢弃。不能立即回收处理的应贮存在危险废物贮存间或贮存区。</w:t>
                  </w:r>
                </w:p>
              </w:tc>
              <w:tc>
                <w:tcPr>
                  <w:tcW w:w="1487" w:type="pct"/>
                  <w:tcBorders>
                    <w:tl2br w:val="nil"/>
                    <w:tr2bl w:val="nil"/>
                  </w:tcBorders>
                  <w:vAlign w:val="center"/>
                </w:tcPr>
                <w:p w14:paraId="2B521437">
                  <w:pPr>
                    <w:pStyle w:val="37"/>
                    <w:bidi w:val="0"/>
                    <w:rPr>
                      <w:rFonts w:hint="default" w:ascii="Times New Roman" w:hAnsi="Times New Roman" w:cs="Times New Roman"/>
                      <w:color w:val="auto"/>
                    </w:rPr>
                  </w:pPr>
                  <w:r>
                    <w:rPr>
                      <w:rFonts w:hint="default"/>
                      <w:color w:val="auto"/>
                    </w:rPr>
                    <w:t>本项目产生的废矿物油作为危险废物贮存于</w:t>
                  </w:r>
                  <w:r>
                    <w:rPr>
                      <w:rFonts w:hint="eastAsia"/>
                      <w:color w:val="auto"/>
                      <w:lang w:eastAsia="zh-CN"/>
                    </w:rPr>
                    <w:t>危废贮存库</w:t>
                  </w:r>
                  <w:r>
                    <w:rPr>
                      <w:rFonts w:hint="default"/>
                      <w:color w:val="auto"/>
                    </w:rPr>
                    <w:t>，</w:t>
                  </w:r>
                  <w:r>
                    <w:rPr>
                      <w:rFonts w:hint="eastAsia"/>
                      <w:color w:val="auto"/>
                      <w:lang w:eastAsia="zh-CN"/>
                    </w:rPr>
                    <w:t>定期</w:t>
                  </w:r>
                  <w:r>
                    <w:rPr>
                      <w:rFonts w:hint="default"/>
                      <w:color w:val="auto"/>
                    </w:rPr>
                    <w:t>交由有资质的单位回收处理。铅酸蓄电池更换时，更换下来的废蓄电池由有资质的单位当场拉走处理，不在升压站内贮存。</w:t>
                  </w:r>
                </w:p>
              </w:tc>
              <w:tc>
                <w:tcPr>
                  <w:tcW w:w="618" w:type="pct"/>
                  <w:tcBorders>
                    <w:tl2br w:val="nil"/>
                    <w:tr2bl w:val="nil"/>
                  </w:tcBorders>
                  <w:vAlign w:val="center"/>
                </w:tcPr>
                <w:p w14:paraId="491E959A">
                  <w:pPr>
                    <w:pStyle w:val="37"/>
                    <w:bidi w:val="0"/>
                    <w:rPr>
                      <w:rFonts w:hint="default" w:ascii="Times New Roman" w:hAnsi="Times New Roman" w:cs="Times New Roman"/>
                      <w:color w:val="auto"/>
                    </w:rPr>
                  </w:pPr>
                  <w:r>
                    <w:rPr>
                      <w:rFonts w:hint="default"/>
                      <w:color w:val="auto"/>
                    </w:rPr>
                    <w:t>符合</w:t>
                  </w:r>
                </w:p>
              </w:tc>
            </w:tr>
          </w:tbl>
          <w:p w14:paraId="65C75762">
            <w:pPr>
              <w:bidi w:val="0"/>
              <w:rPr>
                <w:rFonts w:hint="default" w:ascii="Times New Roman" w:hAnsi="Times New Roman" w:cs="Times New Roman"/>
                <w:color w:val="auto"/>
              </w:rPr>
            </w:pPr>
          </w:p>
          <w:p w14:paraId="11C2CF7E">
            <w:pPr>
              <w:pStyle w:val="5"/>
              <w:bidi w:val="0"/>
              <w:rPr>
                <w:rFonts w:hint="default" w:ascii="Times New Roman" w:hAnsi="Times New Roman" w:cs="Times New Roman"/>
                <w:color w:val="auto"/>
              </w:rPr>
            </w:pPr>
            <w:r>
              <w:rPr>
                <w:rFonts w:hint="default" w:ascii="Times New Roman" w:hAnsi="Times New Roman" w:cs="Times New Roman"/>
                <w:color w:val="auto"/>
              </w:rPr>
              <w:t>8</w:t>
            </w:r>
            <w:r>
              <w:rPr>
                <w:rFonts w:hint="default" w:ascii="Times New Roman" w:hAnsi="Times New Roman" w:cs="Times New Roman"/>
                <w:color w:val="auto"/>
                <w:lang w:eastAsia="zh-CN"/>
              </w:rPr>
              <w:t>.</w:t>
            </w:r>
            <w:r>
              <w:rPr>
                <w:rFonts w:hint="default" w:ascii="Times New Roman" w:hAnsi="Times New Roman" w:cs="Times New Roman"/>
                <w:color w:val="auto"/>
              </w:rPr>
              <w:t>与《中华人民共和国长江保护法》</w:t>
            </w:r>
            <w:r>
              <w:rPr>
                <w:rFonts w:hint="default" w:ascii="Times New Roman" w:hAnsi="Times New Roman" w:cs="Times New Roman"/>
                <w:color w:val="auto"/>
                <w:lang w:eastAsia="zh-CN"/>
              </w:rPr>
              <w:t>（</w:t>
            </w:r>
            <w:r>
              <w:rPr>
                <w:rFonts w:hint="default" w:ascii="Times New Roman" w:hAnsi="Times New Roman" w:cs="Times New Roman"/>
                <w:color w:val="auto"/>
              </w:rPr>
              <w:t>中华人民共和国主席令第六十五号</w:t>
            </w:r>
            <w:r>
              <w:rPr>
                <w:rFonts w:hint="default" w:ascii="Times New Roman" w:hAnsi="Times New Roman" w:cs="Times New Roman"/>
                <w:color w:val="auto"/>
                <w:lang w:eastAsia="zh-CN"/>
              </w:rPr>
              <w:t>）</w:t>
            </w:r>
            <w:r>
              <w:rPr>
                <w:rFonts w:hint="default" w:ascii="Times New Roman" w:hAnsi="Times New Roman" w:cs="Times New Roman"/>
                <w:color w:val="auto"/>
              </w:rPr>
              <w:t>符合性分析</w:t>
            </w:r>
          </w:p>
          <w:p w14:paraId="284E8213">
            <w:pPr>
              <w:bidi w:val="0"/>
              <w:rPr>
                <w:rFonts w:hint="default" w:ascii="Times New Roman" w:hAnsi="Times New Roman" w:cs="Times New Roman"/>
                <w:color w:val="auto"/>
              </w:rPr>
            </w:pPr>
            <w:r>
              <w:rPr>
                <w:rFonts w:hint="default" w:ascii="Times New Roman" w:hAnsi="Times New Roman" w:cs="Times New Roman"/>
                <w:color w:val="auto"/>
              </w:rPr>
              <w:t>《中华人民共和国长江保护法》已由中华人民共和国第十三届全国人民代表大会常务委员会第二十四次会议于2020年12月26日通过，自2021年3月1日起施行，项目与《中华人民共和国长江保护法》的符合性分析见下表：</w:t>
            </w:r>
          </w:p>
          <w:p w14:paraId="22EDB7BA">
            <w:pPr>
              <w:pStyle w:val="27"/>
              <w:bidi w:val="0"/>
              <w:rPr>
                <w:rFonts w:hint="default"/>
                <w:color w:val="auto"/>
              </w:rPr>
            </w:pPr>
            <w:r>
              <w:rPr>
                <w:rFonts w:hint="default"/>
                <w:color w:val="auto"/>
              </w:rPr>
              <w:t>表1-</w:t>
            </w:r>
            <w:r>
              <w:rPr>
                <w:rFonts w:hint="eastAsia"/>
                <w:color w:val="auto"/>
                <w:lang w:val="en-US" w:eastAsia="zh-CN"/>
              </w:rPr>
              <w:t>8</w:t>
            </w:r>
            <w:r>
              <w:rPr>
                <w:rFonts w:hint="default"/>
                <w:color w:val="auto"/>
                <w:lang w:val="en-US" w:eastAsia="zh-CN"/>
              </w:rPr>
              <w:t xml:space="preserve">  </w:t>
            </w:r>
            <w:r>
              <w:rPr>
                <w:rFonts w:hint="default"/>
                <w:color w:val="auto"/>
              </w:rPr>
              <w:t>与《中华人民共和国长江保护法》符合性</w:t>
            </w:r>
          </w:p>
          <w:tbl>
            <w:tblPr>
              <w:tblStyle w:val="26"/>
              <w:tblW w:w="4931"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5394"/>
              <w:gridCol w:w="2068"/>
              <w:gridCol w:w="428"/>
            </w:tblGrid>
            <w:tr w14:paraId="05124D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0" w:hRule="atLeast"/>
              </w:trPr>
              <w:tc>
                <w:tcPr>
                  <w:tcW w:w="3417" w:type="pct"/>
                  <w:tcBorders>
                    <w:tl2br w:val="nil"/>
                    <w:tr2bl w:val="nil"/>
                  </w:tcBorders>
                  <w:vAlign w:val="center"/>
                </w:tcPr>
                <w:p w14:paraId="7A1DCEDB">
                  <w:pPr>
                    <w:pStyle w:val="37"/>
                    <w:bidi w:val="0"/>
                    <w:rPr>
                      <w:rFonts w:hint="default" w:ascii="Times New Roman" w:hAnsi="Times New Roman" w:cs="Times New Roman"/>
                      <w:color w:val="auto"/>
                    </w:rPr>
                  </w:pPr>
                  <w:r>
                    <w:rPr>
                      <w:rFonts w:hint="default"/>
                      <w:color w:val="auto"/>
                    </w:rPr>
                    <w:t>《中华人民共和国长江保护法》要求</w:t>
                  </w:r>
                </w:p>
              </w:tc>
              <w:tc>
                <w:tcPr>
                  <w:tcW w:w="1310" w:type="pct"/>
                  <w:tcBorders>
                    <w:tl2br w:val="nil"/>
                    <w:tr2bl w:val="nil"/>
                  </w:tcBorders>
                  <w:vAlign w:val="center"/>
                </w:tcPr>
                <w:p w14:paraId="16EA8D1C">
                  <w:pPr>
                    <w:pStyle w:val="37"/>
                    <w:bidi w:val="0"/>
                    <w:rPr>
                      <w:rFonts w:hint="default" w:ascii="Times New Roman" w:hAnsi="Times New Roman" w:cs="Times New Roman"/>
                      <w:color w:val="auto"/>
                    </w:rPr>
                  </w:pPr>
                  <w:r>
                    <w:rPr>
                      <w:rFonts w:hint="default"/>
                      <w:color w:val="auto"/>
                    </w:rPr>
                    <w:t>项目情况</w:t>
                  </w:r>
                </w:p>
              </w:tc>
              <w:tc>
                <w:tcPr>
                  <w:tcW w:w="271" w:type="pct"/>
                  <w:tcBorders>
                    <w:tl2br w:val="nil"/>
                    <w:tr2bl w:val="nil"/>
                  </w:tcBorders>
                  <w:vAlign w:val="center"/>
                </w:tcPr>
                <w:p w14:paraId="13D68E35">
                  <w:pPr>
                    <w:pStyle w:val="37"/>
                    <w:bidi w:val="0"/>
                    <w:rPr>
                      <w:rFonts w:hint="default" w:ascii="Times New Roman" w:hAnsi="Times New Roman" w:cs="Times New Roman"/>
                      <w:color w:val="auto"/>
                    </w:rPr>
                  </w:pPr>
                  <w:r>
                    <w:rPr>
                      <w:rFonts w:hint="default"/>
                      <w:color w:val="auto"/>
                    </w:rPr>
                    <w:t>相符性</w:t>
                  </w:r>
                </w:p>
              </w:tc>
            </w:tr>
            <w:tr w14:paraId="0A4EE3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99" w:hRule="atLeast"/>
              </w:trPr>
              <w:tc>
                <w:tcPr>
                  <w:tcW w:w="3417" w:type="pct"/>
                  <w:tcBorders>
                    <w:tl2br w:val="nil"/>
                    <w:tr2bl w:val="nil"/>
                  </w:tcBorders>
                  <w:vAlign w:val="center"/>
                </w:tcPr>
                <w:p w14:paraId="364EF8A6">
                  <w:pPr>
                    <w:pStyle w:val="37"/>
                    <w:bidi w:val="0"/>
                    <w:rPr>
                      <w:rFonts w:hint="default" w:ascii="Times New Roman" w:hAnsi="Times New Roman" w:cs="Times New Roman"/>
                      <w:color w:val="auto"/>
                    </w:rPr>
                  </w:pPr>
                  <w:r>
                    <w:rPr>
                      <w:rFonts w:hint="default"/>
                      <w:color w:val="auto"/>
                    </w:rPr>
                    <w:t>1.禁止在长江流域重点生态功能区布局对生态系统有严重影响的产业。禁止重污染企业和项目向长江中上游转移。</w:t>
                  </w:r>
                </w:p>
              </w:tc>
              <w:tc>
                <w:tcPr>
                  <w:tcW w:w="1310" w:type="pct"/>
                  <w:tcBorders>
                    <w:tl2br w:val="nil"/>
                    <w:tr2bl w:val="nil"/>
                  </w:tcBorders>
                  <w:vAlign w:val="center"/>
                </w:tcPr>
                <w:p w14:paraId="7BBC3066">
                  <w:pPr>
                    <w:pStyle w:val="37"/>
                    <w:bidi w:val="0"/>
                    <w:rPr>
                      <w:rFonts w:hint="default" w:ascii="Times New Roman" w:hAnsi="Times New Roman" w:cs="Times New Roman"/>
                      <w:color w:val="auto"/>
                    </w:rPr>
                  </w:pPr>
                  <w:r>
                    <w:rPr>
                      <w:rFonts w:hint="default"/>
                      <w:color w:val="auto"/>
                    </w:rPr>
                    <w:t>本项目为风力发电项目建设，对生态系统没有严重影响，也非重污染项目。</w:t>
                  </w:r>
                </w:p>
              </w:tc>
              <w:tc>
                <w:tcPr>
                  <w:tcW w:w="271" w:type="pct"/>
                  <w:tcBorders>
                    <w:tl2br w:val="nil"/>
                    <w:tr2bl w:val="nil"/>
                  </w:tcBorders>
                  <w:vAlign w:val="center"/>
                </w:tcPr>
                <w:p w14:paraId="52D6498B">
                  <w:pPr>
                    <w:pStyle w:val="37"/>
                    <w:bidi w:val="0"/>
                    <w:rPr>
                      <w:rFonts w:hint="default" w:ascii="Times New Roman" w:hAnsi="Times New Roman" w:cs="Times New Roman"/>
                      <w:color w:val="auto"/>
                    </w:rPr>
                  </w:pPr>
                  <w:r>
                    <w:rPr>
                      <w:rFonts w:hint="default"/>
                      <w:color w:val="auto"/>
                    </w:rPr>
                    <w:t>符合</w:t>
                  </w:r>
                </w:p>
              </w:tc>
            </w:tr>
            <w:tr w14:paraId="0E80E4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3417" w:type="pct"/>
                  <w:tcBorders>
                    <w:tl2br w:val="nil"/>
                    <w:tr2bl w:val="nil"/>
                  </w:tcBorders>
                  <w:vAlign w:val="center"/>
                </w:tcPr>
                <w:p w14:paraId="49B1DF1F">
                  <w:pPr>
                    <w:pStyle w:val="37"/>
                    <w:bidi w:val="0"/>
                    <w:rPr>
                      <w:rFonts w:hint="default" w:ascii="Times New Roman" w:hAnsi="Times New Roman" w:cs="Times New Roman"/>
                      <w:color w:val="auto"/>
                    </w:rPr>
                  </w:pPr>
                  <w:r>
                    <w:rPr>
                      <w:rFonts w:hint="default"/>
                      <w:color w:val="auto"/>
                    </w:rPr>
                    <w:t>2.禁止在长江干支流岸线一公里范围内新建、扩建化工园区和化工项目。禁止在长江干流岸线三公里范围内和重要支流岸线一公里范围内新建、改建、扩建尾矿库。</w:t>
                  </w:r>
                </w:p>
              </w:tc>
              <w:tc>
                <w:tcPr>
                  <w:tcW w:w="1310" w:type="pct"/>
                  <w:tcBorders>
                    <w:tl2br w:val="nil"/>
                    <w:tr2bl w:val="nil"/>
                  </w:tcBorders>
                  <w:vAlign w:val="center"/>
                </w:tcPr>
                <w:p w14:paraId="77F7A95D">
                  <w:pPr>
                    <w:pStyle w:val="37"/>
                    <w:bidi w:val="0"/>
                    <w:rPr>
                      <w:rFonts w:hint="default" w:ascii="Times New Roman" w:hAnsi="Times New Roman" w:cs="Times New Roman"/>
                      <w:color w:val="auto"/>
                    </w:rPr>
                  </w:pPr>
                  <w:r>
                    <w:rPr>
                      <w:rFonts w:hint="default"/>
                      <w:color w:val="auto"/>
                    </w:rPr>
                    <w:t>本项目为风力发电项目，选址不位于长江干流岸线三公里范围内和重要支流岸线一公里范围内。</w:t>
                  </w:r>
                </w:p>
              </w:tc>
              <w:tc>
                <w:tcPr>
                  <w:tcW w:w="271" w:type="pct"/>
                  <w:tcBorders>
                    <w:tl2br w:val="nil"/>
                    <w:tr2bl w:val="nil"/>
                  </w:tcBorders>
                  <w:vAlign w:val="center"/>
                </w:tcPr>
                <w:p w14:paraId="18F4144C">
                  <w:pPr>
                    <w:pStyle w:val="37"/>
                    <w:bidi w:val="0"/>
                    <w:rPr>
                      <w:rFonts w:hint="default" w:ascii="Times New Roman" w:hAnsi="Times New Roman" w:cs="Times New Roman"/>
                      <w:color w:val="auto"/>
                    </w:rPr>
                  </w:pPr>
                  <w:r>
                    <w:rPr>
                      <w:rFonts w:hint="default"/>
                      <w:color w:val="auto"/>
                    </w:rPr>
                    <w:t>符合</w:t>
                  </w:r>
                </w:p>
              </w:tc>
            </w:tr>
            <w:tr w14:paraId="42AB735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619" w:hRule="atLeast"/>
              </w:trPr>
              <w:tc>
                <w:tcPr>
                  <w:tcW w:w="3417" w:type="pct"/>
                  <w:tcBorders>
                    <w:tl2br w:val="nil"/>
                    <w:tr2bl w:val="nil"/>
                  </w:tcBorders>
                  <w:vAlign w:val="center"/>
                </w:tcPr>
                <w:p w14:paraId="2B6EAFC5">
                  <w:pPr>
                    <w:pStyle w:val="37"/>
                    <w:bidi w:val="0"/>
                    <w:rPr>
                      <w:rFonts w:hint="default" w:ascii="Times New Roman" w:hAnsi="Times New Roman" w:cs="Times New Roman"/>
                      <w:color w:val="auto"/>
                    </w:rPr>
                  </w:pPr>
                  <w:r>
                    <w:rPr>
                      <w:rFonts w:hint="default"/>
                      <w:color w:val="auto"/>
                    </w:rPr>
                    <w:t>3.在长江流域江河、湖泊新设、改设或者扩大排污口，应当按照国家有关规定报经有管辖权的生态环境主管部门或者长江流域生态环境监督管理机构同意。对未达到水质目标的水功能区，除污水集中处理设施排污口外，应当严格控制新设、改设或者扩大排污口。</w:t>
                  </w:r>
                </w:p>
              </w:tc>
              <w:tc>
                <w:tcPr>
                  <w:tcW w:w="1310" w:type="pct"/>
                  <w:tcBorders>
                    <w:tl2br w:val="nil"/>
                    <w:tr2bl w:val="nil"/>
                  </w:tcBorders>
                  <w:vAlign w:val="center"/>
                </w:tcPr>
                <w:p w14:paraId="2DD7BCE9">
                  <w:pPr>
                    <w:pStyle w:val="37"/>
                    <w:bidi w:val="0"/>
                    <w:rPr>
                      <w:rFonts w:hint="default" w:ascii="Times New Roman" w:hAnsi="Times New Roman" w:cs="Times New Roman"/>
                      <w:color w:val="auto"/>
                    </w:rPr>
                  </w:pPr>
                  <w:r>
                    <w:rPr>
                      <w:rFonts w:hint="default"/>
                      <w:color w:val="auto"/>
                    </w:rPr>
                    <w:t>本项目为清洁能源项目，不设排污口。</w:t>
                  </w:r>
                </w:p>
              </w:tc>
              <w:tc>
                <w:tcPr>
                  <w:tcW w:w="271" w:type="pct"/>
                  <w:tcBorders>
                    <w:tl2br w:val="nil"/>
                    <w:tr2bl w:val="nil"/>
                  </w:tcBorders>
                  <w:vAlign w:val="center"/>
                </w:tcPr>
                <w:p w14:paraId="2D1CAE23">
                  <w:pPr>
                    <w:pStyle w:val="37"/>
                    <w:bidi w:val="0"/>
                    <w:rPr>
                      <w:rFonts w:hint="default" w:ascii="Times New Roman" w:hAnsi="Times New Roman" w:cs="Times New Roman"/>
                      <w:color w:val="auto"/>
                    </w:rPr>
                  </w:pPr>
                  <w:r>
                    <w:rPr>
                      <w:rFonts w:hint="default"/>
                      <w:color w:val="auto"/>
                    </w:rPr>
                    <w:t>符合</w:t>
                  </w:r>
                </w:p>
              </w:tc>
            </w:tr>
            <w:tr w14:paraId="199901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099" w:hRule="atLeast"/>
              </w:trPr>
              <w:tc>
                <w:tcPr>
                  <w:tcW w:w="3417" w:type="pct"/>
                  <w:tcBorders>
                    <w:tl2br w:val="nil"/>
                    <w:tr2bl w:val="nil"/>
                  </w:tcBorders>
                  <w:vAlign w:val="center"/>
                </w:tcPr>
                <w:p w14:paraId="3D129096">
                  <w:pPr>
                    <w:pStyle w:val="37"/>
                    <w:bidi w:val="0"/>
                    <w:rPr>
                      <w:rFonts w:hint="default" w:ascii="Times New Roman" w:hAnsi="Times New Roman" w:cs="Times New Roman"/>
                      <w:color w:val="auto"/>
                    </w:rPr>
                  </w:pPr>
                  <w:r>
                    <w:rPr>
                      <w:rFonts w:hint="default"/>
                      <w:color w:val="auto"/>
                    </w:rPr>
                    <w:t>4.禁止在长江流域河湖管理范围内倾倒、填埋、堆放、弃置、处理固体废物。长江流域县级以上地方人民政府应当加强对固体废物非法转移和倾倒的联防联控。</w:t>
                  </w:r>
                </w:p>
              </w:tc>
              <w:tc>
                <w:tcPr>
                  <w:tcW w:w="1310" w:type="pct"/>
                  <w:tcBorders>
                    <w:tl2br w:val="nil"/>
                    <w:tr2bl w:val="nil"/>
                  </w:tcBorders>
                  <w:vAlign w:val="center"/>
                </w:tcPr>
                <w:p w14:paraId="7D82EA46">
                  <w:pPr>
                    <w:pStyle w:val="37"/>
                    <w:bidi w:val="0"/>
                    <w:rPr>
                      <w:rFonts w:hint="default" w:ascii="Times New Roman" w:hAnsi="Times New Roman" w:cs="Times New Roman"/>
                      <w:color w:val="auto"/>
                    </w:rPr>
                  </w:pPr>
                  <w:r>
                    <w:rPr>
                      <w:rFonts w:hint="default"/>
                      <w:color w:val="auto"/>
                    </w:rPr>
                    <w:t>本项目施工期和运行期固体废物皆得到妥善处置，由当地政府环卫部门处理。</w:t>
                  </w:r>
                </w:p>
              </w:tc>
              <w:tc>
                <w:tcPr>
                  <w:tcW w:w="271" w:type="pct"/>
                  <w:tcBorders>
                    <w:tl2br w:val="nil"/>
                    <w:tr2bl w:val="nil"/>
                  </w:tcBorders>
                  <w:vAlign w:val="center"/>
                </w:tcPr>
                <w:p w14:paraId="7099D4ED">
                  <w:pPr>
                    <w:pStyle w:val="37"/>
                    <w:bidi w:val="0"/>
                    <w:rPr>
                      <w:rFonts w:hint="default" w:ascii="Times New Roman" w:hAnsi="Times New Roman" w:cs="Times New Roman"/>
                      <w:color w:val="auto"/>
                    </w:rPr>
                  </w:pPr>
                  <w:r>
                    <w:rPr>
                      <w:rFonts w:hint="default"/>
                      <w:color w:val="auto"/>
                    </w:rPr>
                    <w:t>符合</w:t>
                  </w:r>
                </w:p>
              </w:tc>
            </w:tr>
            <w:tr w14:paraId="4920A8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3417" w:type="pct"/>
                  <w:tcBorders>
                    <w:tl2br w:val="nil"/>
                    <w:tr2bl w:val="nil"/>
                  </w:tcBorders>
                  <w:vAlign w:val="center"/>
                </w:tcPr>
                <w:p w14:paraId="4EEBFEFF">
                  <w:pPr>
                    <w:pStyle w:val="37"/>
                    <w:bidi w:val="0"/>
                    <w:rPr>
                      <w:rFonts w:hint="default" w:ascii="Times New Roman" w:hAnsi="Times New Roman" w:cs="Times New Roman"/>
                      <w:color w:val="auto"/>
                    </w:rPr>
                  </w:pPr>
                  <w:r>
                    <w:rPr>
                      <w:rFonts w:hint="default"/>
                      <w:color w:val="auto"/>
                    </w:rPr>
                    <w:t>5.禁止违法利用、占用长江流域河湖岸线。</w:t>
                  </w:r>
                </w:p>
              </w:tc>
              <w:tc>
                <w:tcPr>
                  <w:tcW w:w="1310" w:type="pct"/>
                  <w:tcBorders>
                    <w:tl2br w:val="nil"/>
                    <w:tr2bl w:val="nil"/>
                  </w:tcBorders>
                  <w:vAlign w:val="center"/>
                </w:tcPr>
                <w:p w14:paraId="1F964D75">
                  <w:pPr>
                    <w:pStyle w:val="37"/>
                    <w:bidi w:val="0"/>
                    <w:rPr>
                      <w:rFonts w:hint="default" w:ascii="Times New Roman" w:hAnsi="Times New Roman" w:cs="Times New Roman"/>
                      <w:color w:val="auto"/>
                    </w:rPr>
                  </w:pPr>
                  <w:r>
                    <w:rPr>
                      <w:rFonts w:hint="default"/>
                      <w:color w:val="auto"/>
                    </w:rPr>
                    <w:t>本项目为陆生风力发电项目，不涉及长江流域河湖岸线。</w:t>
                  </w:r>
                </w:p>
              </w:tc>
              <w:tc>
                <w:tcPr>
                  <w:tcW w:w="271" w:type="pct"/>
                  <w:tcBorders>
                    <w:tl2br w:val="nil"/>
                    <w:tr2bl w:val="nil"/>
                  </w:tcBorders>
                  <w:vAlign w:val="center"/>
                </w:tcPr>
                <w:p w14:paraId="432109C9">
                  <w:pPr>
                    <w:pStyle w:val="37"/>
                    <w:bidi w:val="0"/>
                    <w:rPr>
                      <w:rFonts w:hint="default" w:ascii="Times New Roman" w:hAnsi="Times New Roman" w:cs="Times New Roman"/>
                      <w:color w:val="auto"/>
                    </w:rPr>
                  </w:pPr>
                  <w:r>
                    <w:rPr>
                      <w:rFonts w:hint="default"/>
                      <w:color w:val="auto"/>
                    </w:rPr>
                    <w:t>符合</w:t>
                  </w:r>
                </w:p>
              </w:tc>
            </w:tr>
          </w:tbl>
          <w:p w14:paraId="44F755E0">
            <w:pPr>
              <w:bidi w:val="0"/>
              <w:rPr>
                <w:rFonts w:hint="default" w:ascii="Times New Roman" w:hAnsi="Times New Roman" w:cs="Times New Roman"/>
                <w:color w:val="auto"/>
              </w:rPr>
            </w:pPr>
            <w:r>
              <w:rPr>
                <w:rFonts w:hint="default" w:ascii="Times New Roman" w:hAnsi="Times New Roman" w:cs="Times New Roman"/>
                <w:color w:val="auto"/>
              </w:rPr>
              <w:t>综上所述</w:t>
            </w:r>
            <w:r>
              <w:rPr>
                <w:rFonts w:hint="default" w:ascii="Times New Roman" w:hAnsi="Times New Roman" w:cs="Times New Roman"/>
                <w:color w:val="auto"/>
                <w:lang w:eastAsia="zh-CN"/>
              </w:rPr>
              <w:t>，</w:t>
            </w:r>
            <w:r>
              <w:rPr>
                <w:rFonts w:hint="default" w:ascii="Times New Roman" w:hAnsi="Times New Roman" w:cs="Times New Roman"/>
                <w:color w:val="auto"/>
              </w:rPr>
              <w:t>本项目建设符合《中华人民共和国长江保护法》要求。</w:t>
            </w:r>
          </w:p>
          <w:p w14:paraId="1E89E385">
            <w:pPr>
              <w:pStyle w:val="5"/>
              <w:bidi w:val="0"/>
              <w:rPr>
                <w:rFonts w:hint="default" w:ascii="Times New Roman" w:hAnsi="Times New Roman" w:cs="Times New Roman"/>
                <w:color w:val="auto"/>
              </w:rPr>
            </w:pPr>
            <w:r>
              <w:rPr>
                <w:rFonts w:hint="default" w:ascii="Times New Roman" w:hAnsi="Times New Roman" w:cs="Times New Roman"/>
                <w:color w:val="auto"/>
              </w:rPr>
              <w:t>9</w:t>
            </w:r>
            <w:r>
              <w:rPr>
                <w:rFonts w:hint="default" w:ascii="Times New Roman" w:hAnsi="Times New Roman" w:cs="Times New Roman"/>
                <w:color w:val="auto"/>
                <w:lang w:eastAsia="zh-CN"/>
              </w:rPr>
              <w:t>.</w:t>
            </w:r>
            <w:r>
              <w:rPr>
                <w:rFonts w:hint="default" w:ascii="Times New Roman" w:hAnsi="Times New Roman" w:cs="Times New Roman"/>
                <w:color w:val="auto"/>
              </w:rPr>
              <w:t>与《长江经济带发展负面清单指南</w:t>
            </w:r>
            <w:r>
              <w:rPr>
                <w:rFonts w:hint="default" w:ascii="Times New Roman" w:hAnsi="Times New Roman" w:cs="Times New Roman"/>
                <w:color w:val="auto"/>
                <w:lang w:eastAsia="zh-CN"/>
              </w:rPr>
              <w:t>（</w:t>
            </w:r>
            <w:r>
              <w:rPr>
                <w:rFonts w:hint="default" w:ascii="Times New Roman" w:hAnsi="Times New Roman" w:cs="Times New Roman"/>
                <w:color w:val="auto"/>
              </w:rPr>
              <w:t>试行，2022年版</w:t>
            </w:r>
            <w:r>
              <w:rPr>
                <w:rFonts w:hint="default" w:ascii="Times New Roman" w:hAnsi="Times New Roman" w:cs="Times New Roman"/>
                <w:color w:val="auto"/>
                <w:lang w:eastAsia="zh-CN"/>
              </w:rPr>
              <w:t>）</w:t>
            </w:r>
            <w:r>
              <w:rPr>
                <w:rFonts w:hint="default" w:ascii="Times New Roman" w:hAnsi="Times New Roman" w:cs="Times New Roman"/>
                <w:color w:val="auto"/>
              </w:rPr>
              <w:t>》符合性分析</w:t>
            </w:r>
          </w:p>
          <w:p w14:paraId="23FF108E">
            <w:pPr>
              <w:bidi w:val="0"/>
              <w:rPr>
                <w:rFonts w:hint="default" w:ascii="Times New Roman" w:hAnsi="Times New Roman" w:cs="Times New Roman"/>
                <w:color w:val="auto"/>
              </w:rPr>
            </w:pPr>
            <w:r>
              <w:rPr>
                <w:rFonts w:hint="default" w:ascii="Times New Roman" w:hAnsi="Times New Roman" w:cs="Times New Roman"/>
                <w:color w:val="auto"/>
              </w:rPr>
              <w:t>根据云南省推动长江经济带发展领导小组办公室于2022年8月19日发布的“云南省推动长江经济带发展领导小组办公室关于印发《云南省长江经济带发展负面清单指南实施细则</w:t>
            </w:r>
            <w:r>
              <w:rPr>
                <w:rFonts w:hint="default" w:ascii="Times New Roman" w:hAnsi="Times New Roman" w:cs="Times New Roman"/>
                <w:color w:val="auto"/>
                <w:lang w:eastAsia="zh-CN"/>
              </w:rPr>
              <w:t>（</w:t>
            </w:r>
            <w:r>
              <w:rPr>
                <w:rFonts w:hint="default" w:ascii="Times New Roman" w:hAnsi="Times New Roman" w:cs="Times New Roman"/>
                <w:color w:val="auto"/>
              </w:rPr>
              <w:t>试行，2022年版</w:t>
            </w:r>
            <w:r>
              <w:rPr>
                <w:rFonts w:hint="default" w:ascii="Times New Roman" w:hAnsi="Times New Roman" w:cs="Times New Roman"/>
                <w:color w:val="auto"/>
                <w:lang w:eastAsia="zh-CN"/>
              </w:rPr>
              <w:t>）</w:t>
            </w:r>
            <w:r>
              <w:rPr>
                <w:rFonts w:hint="default" w:ascii="Times New Roman" w:hAnsi="Times New Roman" w:cs="Times New Roman"/>
                <w:color w:val="auto"/>
              </w:rPr>
              <w:t>》的通知”</w:t>
            </w:r>
            <w:r>
              <w:rPr>
                <w:rFonts w:hint="default" w:ascii="Times New Roman" w:hAnsi="Times New Roman" w:cs="Times New Roman"/>
                <w:color w:val="auto"/>
                <w:lang w:eastAsia="zh-CN"/>
              </w:rPr>
              <w:t>（</w:t>
            </w:r>
            <w:r>
              <w:rPr>
                <w:rFonts w:hint="default" w:ascii="Times New Roman" w:hAnsi="Times New Roman" w:cs="Times New Roman"/>
                <w:color w:val="auto"/>
              </w:rPr>
              <w:t>云发改基础</w:t>
            </w:r>
            <w:r>
              <w:rPr>
                <w:rFonts w:hint="eastAsia" w:cs="Times New Roman"/>
                <w:color w:val="auto"/>
                <w:lang w:eastAsia="zh-CN"/>
              </w:rPr>
              <w:t>〔2022〕894号</w:t>
            </w:r>
            <w:r>
              <w:rPr>
                <w:rFonts w:hint="default" w:ascii="Times New Roman" w:hAnsi="Times New Roman" w:cs="Times New Roman"/>
                <w:color w:val="auto"/>
                <w:lang w:eastAsia="zh-CN"/>
              </w:rPr>
              <w:t>），</w:t>
            </w:r>
            <w:r>
              <w:rPr>
                <w:rFonts w:hint="default" w:ascii="Times New Roman" w:hAnsi="Times New Roman" w:cs="Times New Roman"/>
                <w:color w:val="auto"/>
              </w:rPr>
              <w:t>项目与《指南》的符合性分析见下表：</w:t>
            </w:r>
          </w:p>
          <w:p w14:paraId="2B1FF2FA">
            <w:pPr>
              <w:pStyle w:val="27"/>
              <w:pageBreakBefore w:val="0"/>
              <w:kinsoku/>
              <w:wordWrap/>
              <w:overflowPunct/>
              <w:bidi w:val="0"/>
              <w:rPr>
                <w:rFonts w:hint="default" w:ascii="Times New Roman" w:hAnsi="Times New Roman" w:cs="Times New Roman"/>
                <w:color w:val="auto"/>
              </w:rPr>
            </w:pPr>
            <w:r>
              <w:rPr>
                <w:rFonts w:hint="default" w:ascii="Times New Roman" w:hAnsi="Times New Roman" w:cs="Times New Roman"/>
                <w:color w:val="auto"/>
              </w:rPr>
              <w:t>表1-</w:t>
            </w:r>
            <w:r>
              <w:rPr>
                <w:rFonts w:hint="eastAsia" w:cs="Times New Roman"/>
                <w:color w:val="auto"/>
                <w:lang w:val="en-US" w:eastAsia="zh-CN"/>
              </w:rPr>
              <w:t>9</w:t>
            </w:r>
            <w:r>
              <w:rPr>
                <w:rFonts w:hint="default" w:ascii="Times New Roman" w:hAnsi="Times New Roman" w:cs="Times New Roman"/>
                <w:color w:val="auto"/>
                <w:lang w:val="en-US" w:eastAsia="zh-CN"/>
              </w:rPr>
              <w:t xml:space="preserve">  </w:t>
            </w:r>
            <w:r>
              <w:rPr>
                <w:rFonts w:hint="default" w:ascii="Times New Roman" w:hAnsi="Times New Roman" w:cs="Times New Roman"/>
                <w:color w:val="auto"/>
              </w:rPr>
              <w:t>与《云南省长江经济带发展负面清单指南实施细则</w:t>
            </w:r>
            <w:r>
              <w:rPr>
                <w:rFonts w:hint="default" w:ascii="Times New Roman" w:hAnsi="Times New Roman" w:cs="Times New Roman"/>
                <w:color w:val="auto"/>
                <w:lang w:eastAsia="zh-CN"/>
              </w:rPr>
              <w:t>（</w:t>
            </w:r>
            <w:r>
              <w:rPr>
                <w:rFonts w:hint="default" w:ascii="Times New Roman" w:hAnsi="Times New Roman" w:cs="Times New Roman"/>
                <w:color w:val="auto"/>
              </w:rPr>
              <w:t>试行，2022年版</w:t>
            </w:r>
            <w:r>
              <w:rPr>
                <w:rFonts w:hint="default" w:ascii="Times New Roman" w:hAnsi="Times New Roman" w:cs="Times New Roman"/>
                <w:color w:val="auto"/>
                <w:lang w:eastAsia="zh-CN"/>
              </w:rPr>
              <w:t>）</w:t>
            </w:r>
            <w:r>
              <w:rPr>
                <w:rFonts w:hint="default" w:ascii="Times New Roman" w:hAnsi="Times New Roman" w:cs="Times New Roman"/>
                <w:color w:val="auto"/>
              </w:rPr>
              <w:t>》符合性</w:t>
            </w:r>
          </w:p>
          <w:tbl>
            <w:tblPr>
              <w:tblStyle w:val="26"/>
              <w:tblW w:w="4998"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5050"/>
              <w:gridCol w:w="2318"/>
              <w:gridCol w:w="629"/>
            </w:tblGrid>
            <w:tr w14:paraId="2AC648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3157" w:type="pct"/>
                  <w:tcBorders>
                    <w:tl2br w:val="nil"/>
                    <w:tr2bl w:val="nil"/>
                  </w:tcBorders>
                  <w:vAlign w:val="center"/>
                </w:tcPr>
                <w:p w14:paraId="1D93AC37">
                  <w:pPr>
                    <w:pStyle w:val="37"/>
                    <w:bidi w:val="0"/>
                    <w:rPr>
                      <w:rFonts w:hint="default" w:ascii="Times New Roman" w:hAnsi="Times New Roman" w:cs="Times New Roman"/>
                      <w:color w:val="auto"/>
                    </w:rPr>
                  </w:pPr>
                  <w:r>
                    <w:rPr>
                      <w:rFonts w:hint="default"/>
                      <w:color w:val="auto"/>
                    </w:rPr>
                    <w:t>《指南》要求</w:t>
                  </w:r>
                </w:p>
              </w:tc>
              <w:tc>
                <w:tcPr>
                  <w:tcW w:w="1449" w:type="pct"/>
                  <w:tcBorders>
                    <w:tl2br w:val="nil"/>
                    <w:tr2bl w:val="nil"/>
                  </w:tcBorders>
                  <w:vAlign w:val="center"/>
                </w:tcPr>
                <w:p w14:paraId="3DCBD752">
                  <w:pPr>
                    <w:pStyle w:val="37"/>
                    <w:bidi w:val="0"/>
                    <w:rPr>
                      <w:rFonts w:hint="default" w:ascii="Times New Roman" w:hAnsi="Times New Roman" w:cs="Times New Roman"/>
                      <w:color w:val="auto"/>
                    </w:rPr>
                  </w:pPr>
                  <w:r>
                    <w:rPr>
                      <w:rFonts w:hint="default"/>
                      <w:color w:val="auto"/>
                    </w:rPr>
                    <w:t>项目情况</w:t>
                  </w:r>
                </w:p>
              </w:tc>
              <w:tc>
                <w:tcPr>
                  <w:tcW w:w="393" w:type="pct"/>
                  <w:tcBorders>
                    <w:tl2br w:val="nil"/>
                    <w:tr2bl w:val="nil"/>
                  </w:tcBorders>
                  <w:vAlign w:val="center"/>
                </w:tcPr>
                <w:p w14:paraId="68CCD092">
                  <w:pPr>
                    <w:pStyle w:val="37"/>
                    <w:bidi w:val="0"/>
                    <w:rPr>
                      <w:rFonts w:hint="default" w:ascii="Times New Roman" w:hAnsi="Times New Roman" w:cs="Times New Roman"/>
                      <w:color w:val="auto"/>
                    </w:rPr>
                  </w:pPr>
                  <w:r>
                    <w:rPr>
                      <w:rFonts w:hint="default"/>
                      <w:color w:val="auto"/>
                    </w:rPr>
                    <w:t>相符性</w:t>
                  </w:r>
                </w:p>
              </w:tc>
            </w:tr>
            <w:tr w14:paraId="3F2278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157" w:type="pct"/>
                  <w:tcBorders>
                    <w:tl2br w:val="nil"/>
                    <w:tr2bl w:val="nil"/>
                  </w:tcBorders>
                  <w:vAlign w:val="center"/>
                </w:tcPr>
                <w:p w14:paraId="57BF0921">
                  <w:pPr>
                    <w:pStyle w:val="37"/>
                    <w:bidi w:val="0"/>
                    <w:rPr>
                      <w:rFonts w:hint="default" w:ascii="Times New Roman" w:hAnsi="Times New Roman" w:cs="Times New Roman"/>
                      <w:color w:val="auto"/>
                    </w:rPr>
                  </w:pPr>
                  <w:r>
                    <w:rPr>
                      <w:rFonts w:hint="default"/>
                      <w:color w:val="auto"/>
                    </w:rPr>
                    <w:t>1.禁止新建、改建和扩建不符合《全国内河航道与港口布局规划》等全国港口规划和《昭通市港口码头岸线规划</w:t>
                  </w:r>
                  <w:r>
                    <w:rPr>
                      <w:rFonts w:hint="default"/>
                      <w:color w:val="auto"/>
                      <w:lang w:eastAsia="zh-CN"/>
                    </w:rPr>
                    <w:t>（</w:t>
                  </w:r>
                  <w:r>
                    <w:rPr>
                      <w:rFonts w:hint="default"/>
                      <w:color w:val="auto"/>
                    </w:rPr>
                    <w:t>金沙江段2019年</w:t>
                  </w:r>
                  <w:r>
                    <w:rPr>
                      <w:rFonts w:hint="eastAsia"/>
                      <w:color w:val="auto"/>
                      <w:lang w:eastAsia="zh-CN"/>
                    </w:rPr>
                    <w:t>—</w:t>
                  </w:r>
                  <w:r>
                    <w:rPr>
                      <w:rFonts w:hint="default"/>
                      <w:color w:val="auto"/>
                    </w:rPr>
                    <w:t>2035年</w:t>
                  </w:r>
                  <w:r>
                    <w:rPr>
                      <w:rFonts w:hint="default"/>
                      <w:color w:val="auto"/>
                      <w:lang w:eastAsia="zh-CN"/>
                    </w:rPr>
                    <w:t>）</w:t>
                  </w:r>
                  <w:r>
                    <w:rPr>
                      <w:rFonts w:hint="eastAsia"/>
                      <w:color w:val="auto"/>
                      <w:lang w:eastAsia="zh-CN"/>
                    </w:rPr>
                    <w:t>》《</w:t>
                  </w:r>
                  <w:r>
                    <w:rPr>
                      <w:rFonts w:hint="default"/>
                      <w:color w:val="auto"/>
                    </w:rPr>
                    <w:t>景洪港总体规划</w:t>
                  </w:r>
                  <w:r>
                    <w:rPr>
                      <w:rFonts w:hint="default"/>
                      <w:color w:val="auto"/>
                      <w:lang w:eastAsia="zh-CN"/>
                    </w:rPr>
                    <w:t>（</w:t>
                  </w:r>
                  <w:r>
                    <w:rPr>
                      <w:rFonts w:hint="default"/>
                      <w:color w:val="auto"/>
                    </w:rPr>
                    <w:t>2019</w:t>
                  </w:r>
                  <w:r>
                    <w:rPr>
                      <w:rFonts w:hint="eastAsia"/>
                      <w:color w:val="auto"/>
                      <w:lang w:eastAsia="zh-CN"/>
                    </w:rPr>
                    <w:t>—</w:t>
                  </w:r>
                  <w:r>
                    <w:rPr>
                      <w:rFonts w:hint="default"/>
                      <w:color w:val="auto"/>
                    </w:rPr>
                    <w:t>2035年</w:t>
                  </w:r>
                  <w:r>
                    <w:rPr>
                      <w:rFonts w:hint="default"/>
                      <w:color w:val="auto"/>
                      <w:lang w:eastAsia="zh-CN"/>
                    </w:rPr>
                    <w:t>）</w:t>
                  </w:r>
                  <w:r>
                    <w:rPr>
                      <w:rFonts w:hint="default"/>
                      <w:color w:val="auto"/>
                    </w:rPr>
                    <w:t>》等州</w:t>
                  </w:r>
                  <w:r>
                    <w:rPr>
                      <w:rFonts w:hint="default"/>
                      <w:color w:val="auto"/>
                      <w:lang w:eastAsia="zh-CN"/>
                    </w:rPr>
                    <w:t>（</w:t>
                  </w:r>
                  <w:r>
                    <w:rPr>
                      <w:rFonts w:hint="default"/>
                      <w:color w:val="auto"/>
                    </w:rPr>
                    <w:t>市</w:t>
                  </w:r>
                  <w:r>
                    <w:rPr>
                      <w:rFonts w:hint="default"/>
                      <w:color w:val="auto"/>
                      <w:lang w:eastAsia="zh-CN"/>
                    </w:rPr>
                    <w:t>）</w:t>
                  </w:r>
                  <w:r>
                    <w:rPr>
                      <w:rFonts w:hint="default"/>
                      <w:color w:val="auto"/>
                    </w:rPr>
                    <w:t>级以上港口布局规划以及港口总体规划的码头项目。</w:t>
                  </w:r>
                </w:p>
              </w:tc>
              <w:tc>
                <w:tcPr>
                  <w:tcW w:w="1449" w:type="pct"/>
                  <w:tcBorders>
                    <w:tl2br w:val="nil"/>
                    <w:tr2bl w:val="nil"/>
                  </w:tcBorders>
                  <w:vAlign w:val="center"/>
                </w:tcPr>
                <w:p w14:paraId="4356B7A2">
                  <w:pPr>
                    <w:pStyle w:val="37"/>
                    <w:bidi w:val="0"/>
                    <w:rPr>
                      <w:rFonts w:hint="default" w:ascii="Times New Roman" w:hAnsi="Times New Roman" w:cs="Times New Roman"/>
                      <w:color w:val="auto"/>
                    </w:rPr>
                  </w:pPr>
                  <w:r>
                    <w:rPr>
                      <w:rFonts w:hint="default"/>
                      <w:color w:val="auto"/>
                    </w:rPr>
                    <w:t>本项目为风力发电项目，不涉及港口建设。</w:t>
                  </w:r>
                </w:p>
              </w:tc>
              <w:tc>
                <w:tcPr>
                  <w:tcW w:w="393" w:type="pct"/>
                  <w:tcBorders>
                    <w:tl2br w:val="nil"/>
                    <w:tr2bl w:val="nil"/>
                  </w:tcBorders>
                  <w:vAlign w:val="center"/>
                </w:tcPr>
                <w:p w14:paraId="199911BF">
                  <w:pPr>
                    <w:pStyle w:val="37"/>
                    <w:bidi w:val="0"/>
                    <w:rPr>
                      <w:rFonts w:hint="default" w:ascii="Times New Roman" w:hAnsi="Times New Roman" w:cs="Times New Roman"/>
                      <w:color w:val="auto"/>
                    </w:rPr>
                  </w:pPr>
                  <w:r>
                    <w:rPr>
                      <w:rFonts w:hint="default"/>
                      <w:color w:val="auto"/>
                    </w:rPr>
                    <w:t>符合</w:t>
                  </w:r>
                </w:p>
              </w:tc>
            </w:tr>
            <w:tr w14:paraId="045ED6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89" w:hRule="atLeast"/>
              </w:trPr>
              <w:tc>
                <w:tcPr>
                  <w:tcW w:w="3157" w:type="pct"/>
                  <w:tcBorders>
                    <w:tl2br w:val="nil"/>
                    <w:tr2bl w:val="nil"/>
                  </w:tcBorders>
                  <w:vAlign w:val="center"/>
                </w:tcPr>
                <w:p w14:paraId="2EFD5AED">
                  <w:pPr>
                    <w:pStyle w:val="37"/>
                    <w:bidi w:val="0"/>
                    <w:rPr>
                      <w:rFonts w:hint="default" w:ascii="Times New Roman" w:hAnsi="Times New Roman" w:cs="Times New Roman"/>
                      <w:color w:val="auto"/>
                    </w:rPr>
                  </w:pPr>
                  <w:r>
                    <w:rPr>
                      <w:rFonts w:hint="default"/>
                      <w:color w:val="auto"/>
                    </w:rPr>
                    <w:t>2.禁止在自然保护区核心区、缓冲区的岸线和河段范围内投资建设旅游和生产经营项目。禁止建设与自然保护区保护方向不一致的旅游项目。禁止在自然保护区内进行开矿、采石、挖沙等活动。禁止在自然保护区的核心区和缓冲区内建设任何生产设施，禁止在自然保护区的实验区内建设污染环境、破坏资源或者景观的生产设施。</w:t>
                  </w:r>
                </w:p>
              </w:tc>
              <w:tc>
                <w:tcPr>
                  <w:tcW w:w="1449" w:type="pct"/>
                  <w:tcBorders>
                    <w:tl2br w:val="nil"/>
                    <w:tr2bl w:val="nil"/>
                  </w:tcBorders>
                  <w:vAlign w:val="center"/>
                </w:tcPr>
                <w:p w14:paraId="13153744">
                  <w:pPr>
                    <w:pStyle w:val="37"/>
                    <w:bidi w:val="0"/>
                    <w:rPr>
                      <w:rFonts w:hint="default" w:ascii="Times New Roman" w:hAnsi="Times New Roman" w:cs="Times New Roman"/>
                      <w:color w:val="auto"/>
                    </w:rPr>
                  </w:pPr>
                  <w:r>
                    <w:rPr>
                      <w:rFonts w:hint="default"/>
                      <w:color w:val="auto"/>
                    </w:rPr>
                    <w:t>本项目选址不涉及自然保护区。</w:t>
                  </w:r>
                </w:p>
              </w:tc>
              <w:tc>
                <w:tcPr>
                  <w:tcW w:w="393" w:type="pct"/>
                  <w:tcBorders>
                    <w:tl2br w:val="nil"/>
                    <w:tr2bl w:val="nil"/>
                  </w:tcBorders>
                  <w:vAlign w:val="center"/>
                </w:tcPr>
                <w:p w14:paraId="21A34BDE">
                  <w:pPr>
                    <w:pStyle w:val="37"/>
                    <w:bidi w:val="0"/>
                    <w:rPr>
                      <w:rFonts w:hint="default" w:ascii="Times New Roman" w:hAnsi="Times New Roman" w:cs="Times New Roman"/>
                      <w:color w:val="auto"/>
                    </w:rPr>
                  </w:pPr>
                  <w:r>
                    <w:rPr>
                      <w:rFonts w:hint="default"/>
                      <w:color w:val="auto"/>
                    </w:rPr>
                    <w:t>符合</w:t>
                  </w:r>
                </w:p>
              </w:tc>
            </w:tr>
            <w:tr w14:paraId="79F8D4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3157" w:type="pct"/>
                  <w:tcBorders>
                    <w:tl2br w:val="nil"/>
                    <w:tr2bl w:val="nil"/>
                  </w:tcBorders>
                  <w:vAlign w:val="center"/>
                </w:tcPr>
                <w:p w14:paraId="06B92A4A">
                  <w:pPr>
                    <w:pStyle w:val="37"/>
                    <w:bidi w:val="0"/>
                    <w:rPr>
                      <w:rFonts w:hint="default" w:ascii="Times New Roman" w:hAnsi="Times New Roman" w:cs="Times New Roman"/>
                      <w:color w:val="auto"/>
                    </w:rPr>
                  </w:pPr>
                  <w:r>
                    <w:rPr>
                      <w:rFonts w:hint="default"/>
                      <w:color w:val="auto"/>
                    </w:rPr>
                    <w:t>3.禁止在风景名胜区核心景区的岸线和河段范围内投资建设与风景名胜资源保护无关的项目。禁止在风景名胜区内进行开山、采石、开矿、开荒、修坟立碑等破坏景观、植被和地形地貌的活动以及修建储存爆炸性、易燃性、放射性、毒害性腐蚀性物品的设施：禁止在风景名胜区内设立开发区和在核心景区内建设宾馆、会所、培训中心、疗养院以及与风景名胜资源保护无关的投资建设项目。</w:t>
                  </w:r>
                </w:p>
              </w:tc>
              <w:tc>
                <w:tcPr>
                  <w:tcW w:w="1449" w:type="pct"/>
                  <w:tcBorders>
                    <w:tl2br w:val="nil"/>
                    <w:tr2bl w:val="nil"/>
                  </w:tcBorders>
                  <w:vAlign w:val="center"/>
                </w:tcPr>
                <w:p w14:paraId="6FE95AE0">
                  <w:pPr>
                    <w:pStyle w:val="37"/>
                    <w:bidi w:val="0"/>
                    <w:rPr>
                      <w:rFonts w:hint="default" w:ascii="Times New Roman" w:hAnsi="Times New Roman" w:cs="Times New Roman"/>
                      <w:color w:val="auto"/>
                    </w:rPr>
                  </w:pPr>
                  <w:r>
                    <w:rPr>
                      <w:rFonts w:hint="default"/>
                      <w:color w:val="auto"/>
                    </w:rPr>
                    <w:t>本项目选址不涉及风景名胜区</w:t>
                  </w:r>
                </w:p>
              </w:tc>
              <w:tc>
                <w:tcPr>
                  <w:tcW w:w="393" w:type="pct"/>
                  <w:tcBorders>
                    <w:tl2br w:val="nil"/>
                    <w:tr2bl w:val="nil"/>
                  </w:tcBorders>
                  <w:vAlign w:val="center"/>
                </w:tcPr>
                <w:p w14:paraId="37A0E966">
                  <w:pPr>
                    <w:pStyle w:val="37"/>
                    <w:bidi w:val="0"/>
                    <w:rPr>
                      <w:rFonts w:hint="default" w:ascii="Times New Roman" w:hAnsi="Times New Roman" w:cs="Times New Roman"/>
                      <w:color w:val="auto"/>
                    </w:rPr>
                  </w:pPr>
                  <w:r>
                    <w:rPr>
                      <w:rFonts w:hint="default"/>
                      <w:color w:val="auto"/>
                    </w:rPr>
                    <w:t>符合</w:t>
                  </w:r>
                </w:p>
              </w:tc>
            </w:tr>
            <w:tr w14:paraId="4D50B5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3157" w:type="pct"/>
                  <w:tcBorders>
                    <w:tl2br w:val="nil"/>
                    <w:tr2bl w:val="nil"/>
                  </w:tcBorders>
                  <w:vAlign w:val="center"/>
                </w:tcPr>
                <w:p w14:paraId="11282F37">
                  <w:pPr>
                    <w:pStyle w:val="37"/>
                    <w:bidi w:val="0"/>
                    <w:rPr>
                      <w:rFonts w:hint="default" w:ascii="Times New Roman" w:hAnsi="Times New Roman" w:cs="Times New Roman"/>
                      <w:color w:val="auto"/>
                    </w:rPr>
                  </w:pPr>
                  <w:r>
                    <w:rPr>
                      <w:rFonts w:hint="default"/>
                      <w:color w:val="auto"/>
                    </w:rPr>
                    <w:t>4.禁止在饮用水水源一级保护区的岸线和河段范围内新建、改建、扩建与供水设施和保护水源无关的投资建设项目以及网箱养殖、畜禽养殖、旅游等可能污染饮用水水体的投资建设项目。禁止在饮用水水源二级保护区的岸线和河段范围内新建改建、扩建排放污染物的投资建设项目。</w:t>
                  </w:r>
                </w:p>
              </w:tc>
              <w:tc>
                <w:tcPr>
                  <w:tcW w:w="1449" w:type="pct"/>
                  <w:tcBorders>
                    <w:tl2br w:val="nil"/>
                    <w:tr2bl w:val="nil"/>
                  </w:tcBorders>
                  <w:vAlign w:val="center"/>
                </w:tcPr>
                <w:p w14:paraId="75928A62">
                  <w:pPr>
                    <w:pStyle w:val="37"/>
                    <w:bidi w:val="0"/>
                    <w:rPr>
                      <w:rFonts w:hint="default" w:ascii="Times New Roman" w:hAnsi="Times New Roman" w:cs="Times New Roman"/>
                      <w:color w:val="auto"/>
                    </w:rPr>
                  </w:pPr>
                  <w:r>
                    <w:rPr>
                      <w:rFonts w:hint="default"/>
                      <w:color w:val="auto"/>
                    </w:rPr>
                    <w:t>本项目不涉及饮用水源保护区。</w:t>
                  </w:r>
                </w:p>
              </w:tc>
              <w:tc>
                <w:tcPr>
                  <w:tcW w:w="393" w:type="pct"/>
                  <w:tcBorders>
                    <w:tl2br w:val="nil"/>
                    <w:tr2bl w:val="nil"/>
                  </w:tcBorders>
                  <w:vAlign w:val="center"/>
                </w:tcPr>
                <w:p w14:paraId="2528EAD6">
                  <w:pPr>
                    <w:pStyle w:val="37"/>
                    <w:bidi w:val="0"/>
                    <w:rPr>
                      <w:rFonts w:hint="default" w:ascii="Times New Roman" w:hAnsi="Times New Roman" w:cs="Times New Roman"/>
                      <w:color w:val="auto"/>
                    </w:rPr>
                  </w:pPr>
                  <w:r>
                    <w:rPr>
                      <w:rFonts w:hint="default"/>
                      <w:color w:val="auto"/>
                    </w:rPr>
                    <w:t>符合</w:t>
                  </w:r>
                </w:p>
              </w:tc>
            </w:tr>
            <w:tr w14:paraId="508B859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22" w:hRule="atLeast"/>
              </w:trPr>
              <w:tc>
                <w:tcPr>
                  <w:tcW w:w="3157" w:type="pct"/>
                  <w:tcBorders>
                    <w:tl2br w:val="nil"/>
                    <w:tr2bl w:val="nil"/>
                  </w:tcBorders>
                  <w:vAlign w:val="center"/>
                </w:tcPr>
                <w:p w14:paraId="76B40F92">
                  <w:pPr>
                    <w:pStyle w:val="37"/>
                    <w:bidi w:val="0"/>
                    <w:rPr>
                      <w:rFonts w:hint="default" w:ascii="Times New Roman" w:hAnsi="Times New Roman" w:cs="Times New Roman"/>
                      <w:color w:val="auto"/>
                    </w:rPr>
                  </w:pPr>
                  <w:r>
                    <w:rPr>
                      <w:rFonts w:hint="default"/>
                      <w:color w:val="auto"/>
                    </w:rPr>
                    <w:t>5.禁止在水产种质资源保护区的岸线和河段范围内新建围湖造田、围湖造地或围填海等投资建设项目。禁止擅自征收、占用国家湿地公园的土地；禁止在国家湿地公园内挖沙、采矿，以及建设度假村、高尔夫球场等任何不符合主体功能定位的投资建设项目。</w:t>
                  </w:r>
                </w:p>
              </w:tc>
              <w:tc>
                <w:tcPr>
                  <w:tcW w:w="1449" w:type="pct"/>
                  <w:tcBorders>
                    <w:tl2br w:val="nil"/>
                    <w:tr2bl w:val="nil"/>
                  </w:tcBorders>
                  <w:vAlign w:val="center"/>
                </w:tcPr>
                <w:p w14:paraId="65F85EFE">
                  <w:pPr>
                    <w:pStyle w:val="37"/>
                    <w:bidi w:val="0"/>
                    <w:rPr>
                      <w:rFonts w:hint="default" w:ascii="Times New Roman" w:hAnsi="Times New Roman" w:cs="Times New Roman"/>
                      <w:color w:val="auto"/>
                    </w:rPr>
                  </w:pPr>
                  <w:r>
                    <w:rPr>
                      <w:rFonts w:hint="default"/>
                      <w:color w:val="auto"/>
                    </w:rPr>
                    <w:t>本项目不涉及永久基本农田水产种质资源保护区、国家湿地公园。</w:t>
                  </w:r>
                </w:p>
              </w:tc>
              <w:tc>
                <w:tcPr>
                  <w:tcW w:w="393" w:type="pct"/>
                  <w:tcBorders>
                    <w:tl2br w:val="nil"/>
                    <w:tr2bl w:val="nil"/>
                  </w:tcBorders>
                  <w:vAlign w:val="center"/>
                </w:tcPr>
                <w:p w14:paraId="46E867A8">
                  <w:pPr>
                    <w:pStyle w:val="37"/>
                    <w:bidi w:val="0"/>
                    <w:rPr>
                      <w:rFonts w:hint="default" w:ascii="Times New Roman" w:hAnsi="Times New Roman" w:cs="Times New Roman"/>
                      <w:color w:val="auto"/>
                    </w:rPr>
                  </w:pPr>
                  <w:r>
                    <w:rPr>
                      <w:rFonts w:hint="default"/>
                      <w:color w:val="auto"/>
                    </w:rPr>
                    <w:t>符合</w:t>
                  </w:r>
                </w:p>
              </w:tc>
            </w:tr>
            <w:tr w14:paraId="0DD3A85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92" w:hRule="atLeast"/>
              </w:trPr>
              <w:tc>
                <w:tcPr>
                  <w:tcW w:w="3157" w:type="pct"/>
                  <w:tcBorders>
                    <w:tl2br w:val="nil"/>
                    <w:tr2bl w:val="nil"/>
                  </w:tcBorders>
                  <w:vAlign w:val="center"/>
                </w:tcPr>
                <w:p w14:paraId="0B8FDFC7">
                  <w:pPr>
                    <w:pStyle w:val="37"/>
                    <w:bidi w:val="0"/>
                    <w:rPr>
                      <w:rFonts w:hint="default" w:ascii="Times New Roman" w:hAnsi="Times New Roman" w:cs="Times New Roman"/>
                      <w:color w:val="auto"/>
                    </w:rPr>
                  </w:pPr>
                  <w:r>
                    <w:rPr>
                      <w:rFonts w:hint="default"/>
                      <w:color w:val="auto"/>
                    </w:rPr>
                    <w:t>6.禁止违法利用、占用长江流域河湖岸线。禁止在金沙江岸线保护区和保留区内投资建设除事关公共安全及公众利益的防洪护岸、河道治理、供水、生态环境保护、航道整治、国家重要基础设施以外的项目。禁止在金沙江干流、九大高原湖泊保护区、保留区内投资建设不利于水资源及自然生态保护的项目。</w:t>
                  </w:r>
                </w:p>
              </w:tc>
              <w:tc>
                <w:tcPr>
                  <w:tcW w:w="1449" w:type="pct"/>
                  <w:tcBorders>
                    <w:tl2br w:val="nil"/>
                    <w:tr2bl w:val="nil"/>
                  </w:tcBorders>
                  <w:vAlign w:val="center"/>
                </w:tcPr>
                <w:p w14:paraId="44E96CFF">
                  <w:pPr>
                    <w:pStyle w:val="37"/>
                    <w:bidi w:val="0"/>
                    <w:rPr>
                      <w:rFonts w:hint="default" w:ascii="Times New Roman" w:hAnsi="Times New Roman" w:cs="Times New Roman"/>
                      <w:color w:val="auto"/>
                    </w:rPr>
                  </w:pPr>
                  <w:r>
                    <w:rPr>
                      <w:rFonts w:hint="default"/>
                      <w:color w:val="auto"/>
                    </w:rPr>
                    <w:t>本项目为风力发电项目，不涉及河湖岸线、金沙江干流、九大高原湖泊保护区和保留区内。</w:t>
                  </w:r>
                </w:p>
              </w:tc>
              <w:tc>
                <w:tcPr>
                  <w:tcW w:w="393" w:type="pct"/>
                  <w:tcBorders>
                    <w:tl2br w:val="nil"/>
                    <w:tr2bl w:val="nil"/>
                  </w:tcBorders>
                  <w:vAlign w:val="center"/>
                </w:tcPr>
                <w:p w14:paraId="14AD3362">
                  <w:pPr>
                    <w:pStyle w:val="37"/>
                    <w:bidi w:val="0"/>
                    <w:rPr>
                      <w:rFonts w:hint="default" w:ascii="Times New Roman" w:hAnsi="Times New Roman" w:cs="Times New Roman"/>
                      <w:color w:val="auto"/>
                    </w:rPr>
                  </w:pPr>
                  <w:r>
                    <w:rPr>
                      <w:rFonts w:hint="default"/>
                      <w:color w:val="auto"/>
                    </w:rPr>
                    <w:t>符合</w:t>
                  </w:r>
                </w:p>
              </w:tc>
            </w:tr>
            <w:tr w14:paraId="5F78DF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157" w:type="pct"/>
                  <w:tcBorders>
                    <w:tl2br w:val="nil"/>
                    <w:tr2bl w:val="nil"/>
                  </w:tcBorders>
                  <w:vAlign w:val="center"/>
                </w:tcPr>
                <w:p w14:paraId="771B9035">
                  <w:pPr>
                    <w:pStyle w:val="37"/>
                    <w:bidi w:val="0"/>
                    <w:rPr>
                      <w:rFonts w:hint="default" w:ascii="Times New Roman" w:hAnsi="Times New Roman" w:cs="Times New Roman"/>
                      <w:color w:val="auto"/>
                    </w:rPr>
                  </w:pPr>
                  <w:r>
                    <w:rPr>
                      <w:rFonts w:hint="default"/>
                      <w:color w:val="auto"/>
                    </w:rPr>
                    <w:t>7.禁止在金沙江</w:t>
                  </w:r>
                  <w:r>
                    <w:rPr>
                      <w:rFonts w:hint="eastAsia"/>
                      <w:color w:val="auto"/>
                      <w:lang w:eastAsia="zh-CN"/>
                    </w:rPr>
                    <w:t>干流</w:t>
                  </w:r>
                  <w:r>
                    <w:rPr>
                      <w:rFonts w:hint="default"/>
                      <w:color w:val="auto"/>
                    </w:rPr>
                    <w:t>、长江一级支流建设除党中央、国务院、国家投资主管部门、省级有关</w:t>
                  </w:r>
                </w:p>
              </w:tc>
              <w:tc>
                <w:tcPr>
                  <w:tcW w:w="1449" w:type="pct"/>
                  <w:tcBorders>
                    <w:tl2br w:val="nil"/>
                    <w:tr2bl w:val="nil"/>
                  </w:tcBorders>
                  <w:vAlign w:val="center"/>
                </w:tcPr>
                <w:p w14:paraId="795BFA97">
                  <w:pPr>
                    <w:pStyle w:val="37"/>
                    <w:bidi w:val="0"/>
                    <w:rPr>
                      <w:rFonts w:hint="eastAsia" w:ascii="Times New Roman" w:hAnsi="Times New Roman" w:eastAsia="宋体" w:cs="Times New Roman"/>
                      <w:color w:val="auto"/>
                      <w:lang w:val="en-US" w:eastAsia="zh-CN"/>
                    </w:rPr>
                  </w:pPr>
                  <w:r>
                    <w:rPr>
                      <w:rFonts w:hint="default"/>
                      <w:color w:val="auto"/>
                    </w:rPr>
                    <w:t>本项目为风力发电项目，施工期、运行期废水均不外</w:t>
                  </w:r>
                  <w:r>
                    <w:rPr>
                      <w:rFonts w:hint="eastAsia"/>
                      <w:color w:val="auto"/>
                      <w:lang w:val="en-US" w:eastAsia="zh-CN"/>
                    </w:rPr>
                    <w:t>排。</w:t>
                  </w:r>
                </w:p>
              </w:tc>
              <w:tc>
                <w:tcPr>
                  <w:tcW w:w="393" w:type="pct"/>
                  <w:tcBorders>
                    <w:tl2br w:val="nil"/>
                    <w:tr2bl w:val="nil"/>
                  </w:tcBorders>
                  <w:vAlign w:val="center"/>
                </w:tcPr>
                <w:p w14:paraId="3AD12A5B">
                  <w:pPr>
                    <w:pStyle w:val="37"/>
                    <w:bidi w:val="0"/>
                    <w:rPr>
                      <w:rFonts w:hint="default" w:ascii="Times New Roman" w:hAnsi="Times New Roman" w:cs="Times New Roman"/>
                      <w:color w:val="auto"/>
                    </w:rPr>
                  </w:pPr>
                  <w:r>
                    <w:rPr>
                      <w:rFonts w:hint="default"/>
                      <w:color w:val="auto"/>
                    </w:rPr>
                    <w:t>符合</w:t>
                  </w:r>
                </w:p>
              </w:tc>
            </w:tr>
            <w:tr w14:paraId="2867AC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814" w:hRule="atLeast"/>
              </w:trPr>
              <w:tc>
                <w:tcPr>
                  <w:tcW w:w="3157" w:type="pct"/>
                  <w:tcBorders>
                    <w:tl2br w:val="nil"/>
                    <w:tr2bl w:val="nil"/>
                  </w:tcBorders>
                  <w:vAlign w:val="center"/>
                </w:tcPr>
                <w:p w14:paraId="1D1550F7">
                  <w:pPr>
                    <w:pStyle w:val="37"/>
                    <w:bidi w:val="0"/>
                    <w:rPr>
                      <w:rFonts w:hint="default" w:ascii="Times New Roman" w:hAnsi="Times New Roman" w:cs="Times New Roman"/>
                      <w:color w:val="auto"/>
                    </w:rPr>
                  </w:pPr>
                  <w:r>
                    <w:rPr>
                      <w:rFonts w:hint="default"/>
                      <w:color w:val="auto"/>
                    </w:rPr>
                    <w:t>部门批复同意以外的过江基础设施项目；禁止未经许可在金沙江干流、长江一级支流、九大高原湖泊流域新设、改设或扩大排污口。</w:t>
                  </w:r>
                </w:p>
              </w:tc>
              <w:tc>
                <w:tcPr>
                  <w:tcW w:w="1449" w:type="pct"/>
                  <w:tcBorders>
                    <w:tl2br w:val="nil"/>
                    <w:tr2bl w:val="nil"/>
                  </w:tcBorders>
                  <w:vAlign w:val="center"/>
                </w:tcPr>
                <w:p w14:paraId="36678240">
                  <w:pPr>
                    <w:pStyle w:val="37"/>
                    <w:bidi w:val="0"/>
                    <w:rPr>
                      <w:rFonts w:hint="default" w:ascii="Times New Roman" w:hAnsi="Times New Roman" w:cs="Times New Roman"/>
                      <w:color w:val="auto"/>
                    </w:rPr>
                  </w:pPr>
                  <w:r>
                    <w:rPr>
                      <w:rFonts w:hint="eastAsia"/>
                      <w:color w:val="auto"/>
                      <w:lang w:val="en-US" w:eastAsia="zh-CN"/>
                    </w:rPr>
                    <w:t>本项目施工期和运营期均</w:t>
                  </w:r>
                  <w:r>
                    <w:rPr>
                      <w:rFonts w:hint="default"/>
                      <w:color w:val="auto"/>
                    </w:rPr>
                    <w:t>不设排污口。</w:t>
                  </w:r>
                </w:p>
              </w:tc>
              <w:tc>
                <w:tcPr>
                  <w:tcW w:w="393" w:type="pct"/>
                  <w:tcBorders>
                    <w:tl2br w:val="nil"/>
                    <w:tr2bl w:val="nil"/>
                  </w:tcBorders>
                  <w:vAlign w:val="center"/>
                </w:tcPr>
                <w:p w14:paraId="27FF8C2C">
                  <w:pPr>
                    <w:pageBreakBefore w:val="0"/>
                    <w:kinsoku/>
                    <w:wordWrap/>
                    <w:overflowPunct/>
                    <w:bidi w:val="0"/>
                    <w:jc w:val="center"/>
                    <w:rPr>
                      <w:rFonts w:hint="default" w:ascii="Times New Roman" w:hAnsi="Times New Roman" w:cs="Times New Roman"/>
                      <w:color w:val="auto"/>
                    </w:rPr>
                  </w:pPr>
                </w:p>
              </w:tc>
            </w:tr>
            <w:tr w14:paraId="3BA04E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157" w:type="pct"/>
                  <w:tcBorders>
                    <w:tl2br w:val="nil"/>
                    <w:tr2bl w:val="nil"/>
                  </w:tcBorders>
                  <w:vAlign w:val="center"/>
                </w:tcPr>
                <w:p w14:paraId="24F1FCFD">
                  <w:pPr>
                    <w:pStyle w:val="37"/>
                    <w:bidi w:val="0"/>
                    <w:rPr>
                      <w:rFonts w:hint="default" w:ascii="Times New Roman" w:hAnsi="Times New Roman" w:cs="Times New Roman"/>
                      <w:color w:val="auto"/>
                    </w:rPr>
                  </w:pPr>
                  <w:r>
                    <w:rPr>
                      <w:rFonts w:hint="default"/>
                      <w:color w:val="auto"/>
                    </w:rPr>
                    <w:t>8.禁止在金沙江干流、长江一级支流、水生生物保护区和长江流域禁捕水域开展天然渔业资源生产性捕捞。</w:t>
                  </w:r>
                </w:p>
              </w:tc>
              <w:tc>
                <w:tcPr>
                  <w:tcW w:w="1449" w:type="pct"/>
                  <w:tcBorders>
                    <w:tl2br w:val="nil"/>
                    <w:tr2bl w:val="nil"/>
                  </w:tcBorders>
                  <w:vAlign w:val="center"/>
                </w:tcPr>
                <w:p w14:paraId="35F82C12">
                  <w:pPr>
                    <w:pStyle w:val="37"/>
                    <w:bidi w:val="0"/>
                    <w:rPr>
                      <w:rFonts w:hint="default" w:ascii="Times New Roman" w:hAnsi="Times New Roman" w:cs="Times New Roman"/>
                      <w:color w:val="auto"/>
                    </w:rPr>
                  </w:pPr>
                  <w:r>
                    <w:rPr>
                      <w:rFonts w:hint="default"/>
                      <w:color w:val="auto"/>
                    </w:rPr>
                    <w:t>本项目为风力发电项目，不进行渔业捕捞。</w:t>
                  </w:r>
                </w:p>
              </w:tc>
              <w:tc>
                <w:tcPr>
                  <w:tcW w:w="393" w:type="pct"/>
                  <w:tcBorders>
                    <w:tl2br w:val="nil"/>
                    <w:tr2bl w:val="nil"/>
                  </w:tcBorders>
                  <w:vAlign w:val="center"/>
                </w:tcPr>
                <w:p w14:paraId="17DF4A02">
                  <w:pPr>
                    <w:pStyle w:val="37"/>
                    <w:bidi w:val="0"/>
                    <w:rPr>
                      <w:rFonts w:hint="default" w:ascii="Times New Roman" w:hAnsi="Times New Roman" w:cs="Times New Roman"/>
                      <w:color w:val="auto"/>
                    </w:rPr>
                  </w:pPr>
                  <w:r>
                    <w:rPr>
                      <w:rFonts w:hint="default"/>
                      <w:color w:val="auto"/>
                    </w:rPr>
                    <w:t>符合</w:t>
                  </w:r>
                </w:p>
              </w:tc>
            </w:tr>
            <w:tr w14:paraId="549E621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3157" w:type="pct"/>
                  <w:tcBorders>
                    <w:tl2br w:val="nil"/>
                    <w:tr2bl w:val="nil"/>
                  </w:tcBorders>
                  <w:vAlign w:val="center"/>
                </w:tcPr>
                <w:p w14:paraId="1662ABBB">
                  <w:pPr>
                    <w:pStyle w:val="37"/>
                    <w:bidi w:val="0"/>
                    <w:rPr>
                      <w:rFonts w:hint="default" w:ascii="Times New Roman" w:hAnsi="Times New Roman" w:cs="Times New Roman"/>
                      <w:color w:val="auto"/>
                    </w:rPr>
                  </w:pPr>
                  <w:r>
                    <w:rPr>
                      <w:rFonts w:hint="default"/>
                      <w:color w:val="auto"/>
                    </w:rPr>
                    <w:t>9.禁止在金沙江干流，长江一级支流和九大高原湖泊岸线一公里范围内新建、扩建化工园区和化工项目。禁止在金沙江干流岸线三公里范围内和长江一级支流岸线一公里范围内新建、改建、扩建尾矿库、冶炼渣库和磷石膏库，以提升安全、生态环境保护水平为目的的改建除外。</w:t>
                  </w:r>
                </w:p>
              </w:tc>
              <w:tc>
                <w:tcPr>
                  <w:tcW w:w="1449" w:type="pct"/>
                  <w:tcBorders>
                    <w:tl2br w:val="nil"/>
                    <w:tr2bl w:val="nil"/>
                  </w:tcBorders>
                  <w:vAlign w:val="center"/>
                </w:tcPr>
                <w:p w14:paraId="07C9C124">
                  <w:pPr>
                    <w:pStyle w:val="37"/>
                    <w:bidi w:val="0"/>
                    <w:rPr>
                      <w:rFonts w:hint="default" w:ascii="Times New Roman" w:hAnsi="Times New Roman" w:cs="Times New Roman"/>
                      <w:color w:val="auto"/>
                    </w:rPr>
                  </w:pPr>
                  <w:r>
                    <w:rPr>
                      <w:rFonts w:hint="default"/>
                      <w:color w:val="auto"/>
                    </w:rPr>
                    <w:t>本项目未在金沙江干流，长江一级支流和九大高原湖泊岸线一公里范围内，不设置尾矿库、冶炼渣库和磷石膏库。</w:t>
                  </w:r>
                </w:p>
              </w:tc>
              <w:tc>
                <w:tcPr>
                  <w:tcW w:w="393" w:type="pct"/>
                  <w:tcBorders>
                    <w:tl2br w:val="nil"/>
                    <w:tr2bl w:val="nil"/>
                  </w:tcBorders>
                  <w:vAlign w:val="center"/>
                </w:tcPr>
                <w:p w14:paraId="47740144">
                  <w:pPr>
                    <w:pStyle w:val="37"/>
                    <w:bidi w:val="0"/>
                    <w:rPr>
                      <w:rFonts w:hint="default" w:ascii="Times New Roman" w:hAnsi="Times New Roman" w:cs="Times New Roman"/>
                      <w:color w:val="auto"/>
                    </w:rPr>
                  </w:pPr>
                  <w:r>
                    <w:rPr>
                      <w:rFonts w:hint="default"/>
                      <w:color w:val="auto"/>
                    </w:rPr>
                    <w:t>符合</w:t>
                  </w:r>
                </w:p>
              </w:tc>
            </w:tr>
            <w:tr w14:paraId="057647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157" w:type="pct"/>
                  <w:tcBorders>
                    <w:tl2br w:val="nil"/>
                    <w:tr2bl w:val="nil"/>
                  </w:tcBorders>
                  <w:vAlign w:val="center"/>
                </w:tcPr>
                <w:p w14:paraId="7A7C1A0D">
                  <w:pPr>
                    <w:pStyle w:val="37"/>
                    <w:bidi w:val="0"/>
                    <w:rPr>
                      <w:rFonts w:hint="default" w:ascii="Times New Roman" w:hAnsi="Times New Roman" w:cs="Times New Roman"/>
                      <w:color w:val="auto"/>
                    </w:rPr>
                  </w:pPr>
                  <w:r>
                    <w:rPr>
                      <w:rFonts w:hint="default"/>
                      <w:color w:val="auto"/>
                    </w:rPr>
                    <w:t>10.禁止在合规园区外新建、扩建钢铁、石化、化工、焦化、建材、有色、制浆造纸行业中的高污染项目。</w:t>
                  </w:r>
                </w:p>
              </w:tc>
              <w:tc>
                <w:tcPr>
                  <w:tcW w:w="1449" w:type="pct"/>
                  <w:tcBorders>
                    <w:tl2br w:val="nil"/>
                    <w:tr2bl w:val="nil"/>
                  </w:tcBorders>
                  <w:vAlign w:val="center"/>
                </w:tcPr>
                <w:p w14:paraId="25473B07">
                  <w:pPr>
                    <w:pStyle w:val="37"/>
                    <w:bidi w:val="0"/>
                    <w:rPr>
                      <w:rFonts w:hint="default" w:ascii="Times New Roman" w:hAnsi="Times New Roman" w:cs="Times New Roman"/>
                      <w:color w:val="auto"/>
                    </w:rPr>
                  </w:pPr>
                  <w:r>
                    <w:rPr>
                      <w:rFonts w:hint="default"/>
                      <w:color w:val="auto"/>
                    </w:rPr>
                    <w:t>本项目为风力发电项目。</w:t>
                  </w:r>
                </w:p>
              </w:tc>
              <w:tc>
                <w:tcPr>
                  <w:tcW w:w="393" w:type="pct"/>
                  <w:tcBorders>
                    <w:tl2br w:val="nil"/>
                    <w:tr2bl w:val="nil"/>
                  </w:tcBorders>
                  <w:vAlign w:val="center"/>
                </w:tcPr>
                <w:p w14:paraId="6A1747B7">
                  <w:pPr>
                    <w:pStyle w:val="37"/>
                    <w:bidi w:val="0"/>
                    <w:rPr>
                      <w:rFonts w:hint="default" w:ascii="Times New Roman" w:hAnsi="Times New Roman" w:cs="Times New Roman"/>
                      <w:color w:val="auto"/>
                    </w:rPr>
                  </w:pPr>
                  <w:r>
                    <w:rPr>
                      <w:rFonts w:hint="default"/>
                      <w:color w:val="auto"/>
                    </w:rPr>
                    <w:t>符合</w:t>
                  </w:r>
                </w:p>
              </w:tc>
            </w:tr>
            <w:tr w14:paraId="6936FB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3157" w:type="pct"/>
                  <w:tcBorders>
                    <w:tl2br w:val="nil"/>
                    <w:tr2bl w:val="nil"/>
                  </w:tcBorders>
                  <w:vAlign w:val="center"/>
                </w:tcPr>
                <w:p w14:paraId="38D50109">
                  <w:pPr>
                    <w:pStyle w:val="37"/>
                    <w:bidi w:val="0"/>
                    <w:rPr>
                      <w:rFonts w:hint="default" w:ascii="Times New Roman" w:hAnsi="Times New Roman" w:cs="Times New Roman"/>
                      <w:color w:val="auto"/>
                    </w:rPr>
                  </w:pPr>
                  <w:r>
                    <w:rPr>
                      <w:rFonts w:hint="default"/>
                      <w:color w:val="auto"/>
                    </w:rPr>
                    <w:t>11.禁止新建、扩建不符合国家石化、现代煤化工等产业布局规划的项目。禁止列入《云南省城镇人口密集区危险化学品生产企业搬迁改造名单》的搬迁改造企业在原址新建、扩建危险化学品生产项目。</w:t>
                  </w:r>
                </w:p>
              </w:tc>
              <w:tc>
                <w:tcPr>
                  <w:tcW w:w="1449" w:type="pct"/>
                  <w:tcBorders>
                    <w:tl2br w:val="nil"/>
                    <w:tr2bl w:val="nil"/>
                  </w:tcBorders>
                  <w:vAlign w:val="center"/>
                </w:tcPr>
                <w:p w14:paraId="56A44080">
                  <w:pPr>
                    <w:pStyle w:val="37"/>
                    <w:bidi w:val="0"/>
                    <w:rPr>
                      <w:rFonts w:hint="default" w:ascii="Times New Roman" w:hAnsi="Times New Roman" w:cs="Times New Roman"/>
                      <w:color w:val="auto"/>
                    </w:rPr>
                  </w:pPr>
                  <w:r>
                    <w:rPr>
                      <w:rFonts w:hint="default"/>
                      <w:color w:val="auto"/>
                    </w:rPr>
                    <w:t>本项目为风力发电项目。</w:t>
                  </w:r>
                </w:p>
              </w:tc>
              <w:tc>
                <w:tcPr>
                  <w:tcW w:w="393" w:type="pct"/>
                  <w:tcBorders>
                    <w:tl2br w:val="nil"/>
                    <w:tr2bl w:val="nil"/>
                  </w:tcBorders>
                  <w:vAlign w:val="center"/>
                </w:tcPr>
                <w:p w14:paraId="7BA1436D">
                  <w:pPr>
                    <w:pStyle w:val="37"/>
                    <w:bidi w:val="0"/>
                    <w:rPr>
                      <w:rFonts w:hint="default" w:ascii="Times New Roman" w:hAnsi="Times New Roman" w:cs="Times New Roman"/>
                      <w:color w:val="auto"/>
                    </w:rPr>
                  </w:pPr>
                  <w:r>
                    <w:rPr>
                      <w:rFonts w:hint="default"/>
                      <w:color w:val="auto"/>
                    </w:rPr>
                    <w:t>符合</w:t>
                  </w:r>
                </w:p>
              </w:tc>
            </w:tr>
            <w:tr w14:paraId="3EA5866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54" w:hRule="atLeast"/>
              </w:trPr>
              <w:tc>
                <w:tcPr>
                  <w:tcW w:w="3157" w:type="pct"/>
                  <w:tcBorders>
                    <w:tl2br w:val="nil"/>
                    <w:tr2bl w:val="nil"/>
                  </w:tcBorders>
                  <w:vAlign w:val="center"/>
                </w:tcPr>
                <w:p w14:paraId="12B327DC">
                  <w:pPr>
                    <w:pStyle w:val="37"/>
                    <w:bidi w:val="0"/>
                    <w:rPr>
                      <w:rFonts w:hint="default" w:ascii="Times New Roman" w:hAnsi="Times New Roman" w:cs="Times New Roman"/>
                      <w:color w:val="auto"/>
                    </w:rPr>
                  </w:pPr>
                  <w:r>
                    <w:rPr>
                      <w:rFonts w:hint="default"/>
                      <w:color w:val="auto"/>
                    </w:rPr>
                    <w:t>12.禁止新建、扩建法律法规和相关政策明令禁止的落后产能项目，依法依规关停退出能耗、环保、质量、安全不达标产能和技术落后产能。禁止新建、扩建不符合国家产能置换要求的过剩产能行业的项目。禁止新建、扩建不符合要求的高耗能高排放项目，推动退出重点高耗能行业“限制类”产能。禁止建设高毒高残留以及对环境影响大的农药原药生产装置，严控尿素磷铵、电石、焦炭、黄磷、烧碱、纯碱、聚氯乙烯等行业新增产能。</w:t>
                  </w:r>
                </w:p>
              </w:tc>
              <w:tc>
                <w:tcPr>
                  <w:tcW w:w="1449" w:type="pct"/>
                  <w:tcBorders>
                    <w:tl2br w:val="nil"/>
                    <w:tr2bl w:val="nil"/>
                  </w:tcBorders>
                  <w:vAlign w:val="center"/>
                </w:tcPr>
                <w:p w14:paraId="11A4D959">
                  <w:pPr>
                    <w:pStyle w:val="37"/>
                    <w:bidi w:val="0"/>
                    <w:rPr>
                      <w:rFonts w:hint="default" w:ascii="Times New Roman" w:hAnsi="Times New Roman" w:cs="Times New Roman"/>
                      <w:color w:val="auto"/>
                    </w:rPr>
                  </w:pPr>
                  <w:r>
                    <w:rPr>
                      <w:rFonts w:hint="default"/>
                      <w:color w:val="auto"/>
                    </w:rPr>
                    <w:t>本项目为风力发电项目，属于新能源产能项目。</w:t>
                  </w:r>
                </w:p>
              </w:tc>
              <w:tc>
                <w:tcPr>
                  <w:tcW w:w="393" w:type="pct"/>
                  <w:tcBorders>
                    <w:tl2br w:val="nil"/>
                    <w:tr2bl w:val="nil"/>
                  </w:tcBorders>
                  <w:vAlign w:val="center"/>
                </w:tcPr>
                <w:p w14:paraId="68838094">
                  <w:pPr>
                    <w:pStyle w:val="37"/>
                    <w:bidi w:val="0"/>
                    <w:rPr>
                      <w:rFonts w:hint="default" w:ascii="Times New Roman" w:hAnsi="Times New Roman" w:cs="Times New Roman"/>
                      <w:color w:val="auto"/>
                    </w:rPr>
                  </w:pPr>
                  <w:r>
                    <w:rPr>
                      <w:rFonts w:hint="default"/>
                      <w:color w:val="auto"/>
                    </w:rPr>
                    <w:t>符合</w:t>
                  </w:r>
                </w:p>
              </w:tc>
            </w:tr>
          </w:tbl>
          <w:p w14:paraId="58D80286">
            <w:pPr>
              <w:pageBreakBefore w:val="0"/>
              <w:widowControl/>
              <w:kinsoku/>
              <w:wordWrap/>
              <w:overflowPunct/>
              <w:bidi w:val="0"/>
              <w:adjustRightInd w:val="0"/>
              <w:snapToGrid w:val="0"/>
              <w:spacing w:line="360" w:lineRule="auto"/>
              <w:ind w:left="0" w:leftChars="0" w:firstLine="0" w:firstLineChars="0"/>
              <w:rPr>
                <w:rFonts w:hint="default" w:ascii="Times New Roman" w:hAnsi="Times New Roman" w:eastAsia="宋体" w:cs="Times New Roman"/>
                <w:color w:val="auto"/>
                <w:kern w:val="0"/>
                <w:szCs w:val="21"/>
              </w:rPr>
            </w:pPr>
          </w:p>
          <w:p w14:paraId="1D1FA18A">
            <w:pPr>
              <w:pageBreakBefore w:val="0"/>
              <w:widowControl/>
              <w:kinsoku/>
              <w:wordWrap/>
              <w:overflowPunct/>
              <w:bidi w:val="0"/>
              <w:adjustRightInd w:val="0"/>
              <w:snapToGrid w:val="0"/>
              <w:spacing w:line="360" w:lineRule="auto"/>
              <w:ind w:left="0" w:leftChars="0" w:firstLine="0" w:firstLineChars="0"/>
              <w:rPr>
                <w:rFonts w:hint="default" w:ascii="Times New Roman" w:hAnsi="Times New Roman" w:eastAsia="宋体" w:cs="Times New Roman"/>
                <w:b/>
                <w:bCs/>
                <w:color w:val="auto"/>
                <w:kern w:val="0"/>
                <w:szCs w:val="21"/>
                <w:highlight w:val="none"/>
                <w:lang w:val="en-US" w:eastAsia="zh-CN"/>
              </w:rPr>
            </w:pPr>
            <w:r>
              <w:rPr>
                <w:rFonts w:hint="eastAsia" w:cs="Times New Roman"/>
                <w:b/>
                <w:bCs/>
                <w:color w:val="auto"/>
                <w:kern w:val="0"/>
                <w:szCs w:val="21"/>
                <w:highlight w:val="none"/>
                <w:lang w:val="en-US" w:eastAsia="zh-CN"/>
              </w:rPr>
              <w:t>10.项目与《国家林业和草原局 国家能源局关于支持风电开发建设规范使用林地草地有关工作的通知（林资规〔2026〕1号）》符合性分析</w:t>
            </w:r>
          </w:p>
          <w:p w14:paraId="07A5BF36">
            <w:pPr>
              <w:pStyle w:val="19"/>
              <w:bidi w:val="0"/>
              <w:rPr>
                <w:rFonts w:hint="eastAsia"/>
                <w:color w:val="auto"/>
                <w:lang w:val="en-US" w:eastAsia="zh-CN"/>
              </w:rPr>
            </w:pPr>
            <w:r>
              <w:rPr>
                <w:rFonts w:hint="eastAsia"/>
                <w:color w:val="auto"/>
                <w:lang w:val="en-US" w:eastAsia="zh-CN"/>
              </w:rPr>
              <w:t>2026年1月22日，国家林业和草原局、国家能源局发布了《国家林业和草原局 国家能源局关于支持风电开发建设规范使用林地草地有关工作的通知（林资规〔2026〕1号）》，项目与其符合性如下表：</w:t>
            </w:r>
          </w:p>
          <w:p w14:paraId="076704BB">
            <w:pPr>
              <w:pStyle w:val="27"/>
              <w:bidi w:val="0"/>
              <w:rPr>
                <w:rFonts w:hint="default"/>
                <w:color w:val="auto"/>
                <w:lang w:val="en-US" w:eastAsia="zh-CN"/>
              </w:rPr>
            </w:pPr>
            <w:r>
              <w:rPr>
                <w:rFonts w:hint="eastAsia"/>
                <w:color w:val="auto"/>
                <w:lang w:val="en-US" w:eastAsia="zh-CN"/>
              </w:rPr>
              <w:t>表1-10  项目与《国家林业和草原局 国家能源局关于支持风电开发建设规范使用林地草地有关工作的通知》符合性分析表</w:t>
            </w:r>
          </w:p>
          <w:tbl>
            <w:tblPr>
              <w:tblStyle w:val="21"/>
              <w:tblW w:w="0" w:type="auto"/>
              <w:tblInd w:w="5"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136"/>
              <w:gridCol w:w="2027"/>
              <w:gridCol w:w="492"/>
            </w:tblGrid>
            <w:tr w14:paraId="5CDF98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136" w:type="dxa"/>
                  <w:tcBorders>
                    <w:bottom w:val="single" w:color="auto" w:sz="12" w:space="0"/>
                  </w:tcBorders>
                  <w:vAlign w:val="center"/>
                </w:tcPr>
                <w:p w14:paraId="6A52B3F7">
                  <w:pPr>
                    <w:pStyle w:val="37"/>
                    <w:bidi w:val="0"/>
                    <w:jc w:val="center"/>
                    <w:rPr>
                      <w:rFonts w:hint="eastAsia" w:eastAsia="宋体"/>
                      <w:color w:val="auto"/>
                      <w:lang w:val="en-US" w:eastAsia="zh-CN"/>
                    </w:rPr>
                  </w:pPr>
                  <w:r>
                    <w:rPr>
                      <w:rFonts w:hint="eastAsia"/>
                      <w:color w:val="auto"/>
                      <w:lang w:val="en-US" w:eastAsia="zh-CN"/>
                    </w:rPr>
                    <w:t>要求</w:t>
                  </w:r>
                </w:p>
              </w:tc>
              <w:tc>
                <w:tcPr>
                  <w:tcW w:w="2027" w:type="dxa"/>
                  <w:tcBorders>
                    <w:bottom w:val="single" w:color="auto" w:sz="12" w:space="0"/>
                  </w:tcBorders>
                  <w:shd w:val="clear" w:color="auto" w:fill="auto"/>
                  <w:vAlign w:val="center"/>
                </w:tcPr>
                <w:p w14:paraId="22BA86FF">
                  <w:pPr>
                    <w:pStyle w:val="37"/>
                    <w:bidi w:val="0"/>
                    <w:jc w:val="center"/>
                    <w:rPr>
                      <w:rFonts w:hint="default" w:ascii="Times New Roman" w:hAnsi="Times New Roman" w:eastAsia="宋体" w:cs="Times New Roman"/>
                      <w:color w:val="auto"/>
                      <w:kern w:val="2"/>
                      <w:sz w:val="21"/>
                      <w:lang w:val="en-US" w:eastAsia="zh-CN" w:bidi="ar-SA"/>
                    </w:rPr>
                  </w:pPr>
                  <w:r>
                    <w:rPr>
                      <w:rFonts w:hint="default"/>
                      <w:color w:val="auto"/>
                    </w:rPr>
                    <w:t>项目情况</w:t>
                  </w:r>
                </w:p>
              </w:tc>
              <w:tc>
                <w:tcPr>
                  <w:tcW w:w="492" w:type="dxa"/>
                  <w:tcBorders>
                    <w:bottom w:val="single" w:color="auto" w:sz="12" w:space="0"/>
                  </w:tcBorders>
                  <w:shd w:val="clear" w:color="auto" w:fill="auto"/>
                  <w:vAlign w:val="center"/>
                </w:tcPr>
                <w:p w14:paraId="7E96250B">
                  <w:pPr>
                    <w:pStyle w:val="37"/>
                    <w:bidi w:val="0"/>
                    <w:jc w:val="center"/>
                    <w:rPr>
                      <w:rFonts w:hint="default" w:ascii="Times New Roman" w:hAnsi="Times New Roman" w:eastAsia="宋体" w:cs="Times New Roman"/>
                      <w:color w:val="auto"/>
                      <w:kern w:val="2"/>
                      <w:sz w:val="21"/>
                      <w:lang w:val="en-US" w:eastAsia="zh-CN" w:bidi="ar-SA"/>
                    </w:rPr>
                  </w:pPr>
                  <w:r>
                    <w:rPr>
                      <w:rFonts w:hint="default"/>
                      <w:color w:val="auto"/>
                    </w:rPr>
                    <w:t>相符性</w:t>
                  </w:r>
                </w:p>
              </w:tc>
            </w:tr>
            <w:tr w14:paraId="0FBBB6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136" w:type="dxa"/>
                  <w:tcBorders>
                    <w:top w:val="single" w:color="auto" w:sz="12" w:space="0"/>
                    <w:tl2br w:val="nil"/>
                    <w:tr2bl w:val="nil"/>
                  </w:tcBorders>
                </w:tcPr>
                <w:p w14:paraId="37F2E0BD">
                  <w:pPr>
                    <w:pStyle w:val="37"/>
                    <w:bidi w:val="0"/>
                    <w:rPr>
                      <w:rFonts w:hint="default"/>
                      <w:color w:val="auto"/>
                    </w:rPr>
                  </w:pPr>
                  <w:r>
                    <w:rPr>
                      <w:rFonts w:hint="default"/>
                      <w:b/>
                      <w:bCs/>
                      <w:color w:val="auto"/>
                    </w:rPr>
                    <w:t>支持引导风电场项目科学布局</w:t>
                  </w:r>
                  <w:r>
                    <w:rPr>
                      <w:rFonts w:hint="eastAsia"/>
                      <w:b/>
                      <w:bCs/>
                      <w:color w:val="auto"/>
                      <w:lang w:eastAsia="zh-CN"/>
                    </w:rPr>
                    <w:t>：</w:t>
                  </w:r>
                  <w:r>
                    <w:rPr>
                      <w:rFonts w:hint="default"/>
                      <w:color w:val="auto"/>
                    </w:rPr>
                    <w:t>鼓励风电场项目开发空间集约复合利用，优先布局在沙漠、戈壁、荒漠等区域，生态保护红线、自然保护地、重要湿地、重点国有林区林地草地内不得新建、扩建风电场项目。在上</w:t>
                  </w:r>
                  <w:r>
                    <w:rPr>
                      <w:rFonts w:hint="eastAsia"/>
                      <w:color w:val="auto"/>
                      <w:lang w:val="en-US" w:eastAsia="zh-CN"/>
                    </w:rPr>
                    <w:t>述</w:t>
                  </w:r>
                  <w:r>
                    <w:rPr>
                      <w:rFonts w:hint="default"/>
                      <w:color w:val="auto"/>
                    </w:rPr>
                    <w:t>禁建区外，支持风电场项目开发建设并规范使用林地草地。风机基础、施工和检修道路、升压站、集电线路等需要使用(含临时使用)林地草地的，应避让以下区域</w:t>
                  </w:r>
                  <w:r>
                    <w:rPr>
                      <w:rFonts w:hint="eastAsia"/>
                      <w:color w:val="auto"/>
                      <w:lang w:eastAsia="zh-CN"/>
                    </w:rPr>
                    <w:t>：</w:t>
                  </w:r>
                  <w:r>
                    <w:rPr>
                      <w:rFonts w:hint="default"/>
                      <w:color w:val="auto"/>
                    </w:rPr>
                    <w:t>国家级公益林中的乔木林地(包括未成林造林地和迹地)，年降水量400毫米以下区域的乔木林地，基本草原，野生动物重要栖息地(讦徙通道)及其他集群活动区域。确</w:t>
                  </w:r>
                  <w:r>
                    <w:rPr>
                      <w:rFonts w:hint="eastAsia"/>
                      <w:color w:val="auto"/>
                      <w:lang w:val="en-US" w:eastAsia="zh-CN"/>
                    </w:rPr>
                    <w:t>需</w:t>
                  </w:r>
                  <w:r>
                    <w:rPr>
                      <w:rFonts w:hint="default"/>
                      <w:color w:val="auto"/>
                    </w:rPr>
                    <w:t>占用</w:t>
                  </w:r>
                  <w:r>
                    <w:rPr>
                      <w:rFonts w:hint="eastAsia"/>
                      <w:color w:val="auto"/>
                      <w:lang w:eastAsia="zh-CN"/>
                    </w:rPr>
                    <w:t>野生动物</w:t>
                  </w:r>
                  <w:r>
                    <w:rPr>
                      <w:rFonts w:hint="default"/>
                      <w:color w:val="auto"/>
                    </w:rPr>
                    <w:t>重要栖息地(</w:t>
                  </w:r>
                  <w:r>
                    <w:rPr>
                      <w:rFonts w:hint="eastAsia"/>
                      <w:color w:val="auto"/>
                      <w:lang w:val="en-US" w:eastAsia="zh-CN"/>
                    </w:rPr>
                    <w:t>迁</w:t>
                  </w:r>
                  <w:r>
                    <w:rPr>
                      <w:rFonts w:hint="default"/>
                      <w:color w:val="auto"/>
                    </w:rPr>
                    <w:t>徙通道)及其他集群活动区域的，应当进行严格评估并采取修建野生动物通道等措施，消除或减少不利影响，列入国家级重大项目，经论证确实无法避让的，可以占用基本草原。</w:t>
                  </w:r>
                </w:p>
              </w:tc>
              <w:tc>
                <w:tcPr>
                  <w:tcW w:w="2027" w:type="dxa"/>
                  <w:tcBorders>
                    <w:top w:val="single" w:color="auto" w:sz="12" w:space="0"/>
                    <w:tl2br w:val="nil"/>
                    <w:tr2bl w:val="nil"/>
                  </w:tcBorders>
                </w:tcPr>
                <w:p w14:paraId="6C15A84B">
                  <w:pPr>
                    <w:pStyle w:val="37"/>
                    <w:bidi w:val="0"/>
                    <w:rPr>
                      <w:rFonts w:hint="eastAsia" w:eastAsia="宋体"/>
                      <w:color w:val="auto"/>
                      <w:lang w:val="en-US" w:eastAsia="zh-CN"/>
                    </w:rPr>
                  </w:pPr>
                  <w:r>
                    <w:rPr>
                      <w:rFonts w:hint="eastAsia"/>
                      <w:color w:val="auto"/>
                      <w:lang w:val="en-US" w:eastAsia="zh-CN"/>
                    </w:rPr>
                    <w:t>项目占地类型以草地为主，不涉及使用</w:t>
                  </w:r>
                  <w:r>
                    <w:rPr>
                      <w:rFonts w:hint="default"/>
                      <w:color w:val="auto"/>
                    </w:rPr>
                    <w:t>生态保护红线、自然保护地、重要湿地、重点国有林区林地</w:t>
                  </w:r>
                  <w:r>
                    <w:rPr>
                      <w:rFonts w:hint="eastAsia"/>
                      <w:color w:val="auto"/>
                      <w:lang w:eastAsia="zh-CN"/>
                    </w:rPr>
                    <w:t>，</w:t>
                  </w:r>
                  <w:r>
                    <w:rPr>
                      <w:rFonts w:hint="eastAsia"/>
                      <w:color w:val="auto"/>
                      <w:lang w:val="en-US" w:eastAsia="zh-CN"/>
                    </w:rPr>
                    <w:t>项目</w:t>
                  </w:r>
                  <w:r>
                    <w:rPr>
                      <w:rFonts w:hint="default"/>
                      <w:color w:val="auto"/>
                    </w:rPr>
                    <w:t>风机基础、施工和检修道路</w:t>
                  </w:r>
                  <w:r>
                    <w:rPr>
                      <w:rFonts w:hint="eastAsia"/>
                      <w:color w:val="auto"/>
                      <w:lang w:val="en-US" w:eastAsia="zh-CN"/>
                    </w:rPr>
                    <w:t>等不占用</w:t>
                  </w:r>
                  <w:r>
                    <w:rPr>
                      <w:rFonts w:hint="default"/>
                      <w:color w:val="auto"/>
                    </w:rPr>
                    <w:t>国家级公益林</w:t>
                  </w:r>
                  <w:r>
                    <w:rPr>
                      <w:rFonts w:hint="eastAsia"/>
                      <w:color w:val="auto"/>
                      <w:lang w:eastAsia="zh-CN"/>
                    </w:rPr>
                    <w:t>、</w:t>
                  </w:r>
                  <w:r>
                    <w:rPr>
                      <w:rFonts w:hint="default"/>
                      <w:color w:val="auto"/>
                    </w:rPr>
                    <w:t>年降水量400毫米以下区域的乔木林地，基本草原，野生动物重要栖息地(讦徙通道)及其他集群活动区域。</w:t>
                  </w:r>
                </w:p>
              </w:tc>
              <w:tc>
                <w:tcPr>
                  <w:tcW w:w="492" w:type="dxa"/>
                  <w:tcBorders>
                    <w:top w:val="single" w:color="auto" w:sz="12" w:space="0"/>
                    <w:tl2br w:val="nil"/>
                    <w:tr2bl w:val="nil"/>
                  </w:tcBorders>
                </w:tcPr>
                <w:p w14:paraId="1482AB05">
                  <w:pPr>
                    <w:pStyle w:val="37"/>
                    <w:bidi w:val="0"/>
                    <w:rPr>
                      <w:rFonts w:hint="eastAsia" w:eastAsia="宋体"/>
                      <w:color w:val="auto"/>
                      <w:lang w:val="en-US" w:eastAsia="zh-CN"/>
                    </w:rPr>
                  </w:pPr>
                  <w:r>
                    <w:rPr>
                      <w:rFonts w:hint="eastAsia"/>
                      <w:color w:val="auto"/>
                      <w:lang w:val="en-US" w:eastAsia="zh-CN"/>
                    </w:rPr>
                    <w:t>符合</w:t>
                  </w:r>
                </w:p>
              </w:tc>
            </w:tr>
            <w:tr w14:paraId="4360829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136" w:type="dxa"/>
                  <w:tcBorders>
                    <w:tl2br w:val="nil"/>
                    <w:tr2bl w:val="nil"/>
                  </w:tcBorders>
                </w:tcPr>
                <w:p w14:paraId="0B59D4A0">
                  <w:pPr>
                    <w:pStyle w:val="37"/>
                    <w:bidi w:val="0"/>
                    <w:rPr>
                      <w:rFonts w:hint="default"/>
                      <w:color w:val="auto"/>
                    </w:rPr>
                  </w:pPr>
                  <w:r>
                    <w:rPr>
                      <w:rFonts w:hint="default"/>
                      <w:b/>
                      <w:bCs/>
                      <w:color w:val="auto"/>
                    </w:rPr>
                    <w:t>明确风电场项目改造升级要求</w:t>
                  </w:r>
                  <w:r>
                    <w:rPr>
                      <w:rFonts w:hint="eastAsia"/>
                      <w:b/>
                      <w:bCs/>
                      <w:color w:val="auto"/>
                      <w:lang w:eastAsia="zh-CN"/>
                    </w:rPr>
                    <w:t>：</w:t>
                  </w:r>
                  <w:r>
                    <w:rPr>
                      <w:rFonts w:hint="default"/>
                      <w:color w:val="auto"/>
                    </w:rPr>
                    <w:t>生态保护红线、自然保护地内依法已建成风电场项目，原则上不进行改造升级。生态保护红线、自然保护地外，重要湿地、重点国有林区林地草地、基本草原内依法已建成的风电场项目，可按照集约化、节约化的原则进行改造升级。鼓励用地单位将风电场项目改造升级后闲置的建设用地修复为林地、草地、湿地，推动风电开发建设与生态修复融合发展。上述区域内的风电场项目用地期满后，应当逐步有序退出，并做好生态修复。</w:t>
                  </w:r>
                </w:p>
              </w:tc>
              <w:tc>
                <w:tcPr>
                  <w:tcW w:w="2027" w:type="dxa"/>
                  <w:tcBorders>
                    <w:tl2br w:val="nil"/>
                    <w:tr2bl w:val="nil"/>
                  </w:tcBorders>
                </w:tcPr>
                <w:p w14:paraId="53BFD64E">
                  <w:pPr>
                    <w:pStyle w:val="37"/>
                    <w:bidi w:val="0"/>
                    <w:rPr>
                      <w:rFonts w:hint="default" w:eastAsia="宋体"/>
                      <w:color w:val="auto"/>
                      <w:lang w:val="en-US" w:eastAsia="zh-CN"/>
                    </w:rPr>
                  </w:pPr>
                  <w:r>
                    <w:rPr>
                      <w:rFonts w:hint="eastAsia"/>
                      <w:color w:val="auto"/>
                      <w:lang w:val="en-US" w:eastAsia="zh-CN"/>
                    </w:rPr>
                    <w:t>本项目4台风机机组为新建机组，不涉及升级改造</w:t>
                  </w:r>
                </w:p>
              </w:tc>
              <w:tc>
                <w:tcPr>
                  <w:tcW w:w="492" w:type="dxa"/>
                  <w:tcBorders>
                    <w:tl2br w:val="nil"/>
                    <w:tr2bl w:val="nil"/>
                  </w:tcBorders>
                </w:tcPr>
                <w:p w14:paraId="3AB0B0A1">
                  <w:pPr>
                    <w:pStyle w:val="37"/>
                    <w:bidi w:val="0"/>
                    <w:rPr>
                      <w:rFonts w:hint="eastAsia" w:eastAsia="宋体"/>
                      <w:color w:val="auto"/>
                      <w:lang w:val="en-US" w:eastAsia="zh-CN"/>
                    </w:rPr>
                  </w:pPr>
                  <w:r>
                    <w:rPr>
                      <w:rFonts w:hint="eastAsia"/>
                      <w:color w:val="auto"/>
                      <w:lang w:val="en-US" w:eastAsia="zh-CN"/>
                    </w:rPr>
                    <w:t>不涉及</w:t>
                  </w:r>
                </w:p>
              </w:tc>
            </w:tr>
            <w:tr w14:paraId="3FBC71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136" w:type="dxa"/>
                  <w:tcBorders>
                    <w:tl2br w:val="nil"/>
                    <w:tr2bl w:val="nil"/>
                  </w:tcBorders>
                </w:tcPr>
                <w:p w14:paraId="75453D0B">
                  <w:pPr>
                    <w:pStyle w:val="37"/>
                    <w:bidi w:val="0"/>
                    <w:rPr>
                      <w:rFonts w:hint="default"/>
                      <w:color w:val="auto"/>
                    </w:rPr>
                  </w:pPr>
                  <w:r>
                    <w:rPr>
                      <w:rFonts w:hint="default"/>
                      <w:b/>
                      <w:bCs/>
                      <w:color w:val="auto"/>
                    </w:rPr>
                    <w:t>规范风电场项目使用林地草地手续办理</w:t>
                  </w:r>
                  <w:r>
                    <w:rPr>
                      <w:rFonts w:hint="eastAsia"/>
                      <w:b/>
                      <w:bCs/>
                      <w:color w:val="auto"/>
                      <w:lang w:eastAsia="zh-CN"/>
                    </w:rPr>
                    <w:t>：</w:t>
                  </w:r>
                  <w:r>
                    <w:rPr>
                      <w:rFonts w:hint="default"/>
                      <w:color w:val="auto"/>
                    </w:rPr>
                    <w:t>新建、改扩建风电场应当严格按规定办理林地草地审核审批手续，符合使用林地草地条件的，应当加快办理审核审批手续</w:t>
                  </w:r>
                  <w:r>
                    <w:rPr>
                      <w:rFonts w:hint="eastAsia"/>
                      <w:color w:val="auto"/>
                      <w:lang w:eastAsia="zh-CN"/>
                    </w:rPr>
                    <w:t>；</w:t>
                  </w:r>
                  <w:r>
                    <w:rPr>
                      <w:rFonts w:hint="default"/>
                      <w:color w:val="auto"/>
                    </w:rPr>
                    <w:t>涉及新增建设用地的，须依法依规办理建设用地审批手续</w:t>
                  </w:r>
                  <w:r>
                    <w:rPr>
                      <w:rFonts w:hint="eastAsia"/>
                      <w:color w:val="auto"/>
                      <w:lang w:eastAsia="zh-CN"/>
                    </w:rPr>
                    <w:t>；</w:t>
                  </w:r>
                  <w:r>
                    <w:rPr>
                      <w:rFonts w:hint="default"/>
                      <w:color w:val="auto"/>
                    </w:rPr>
                    <w:t>涉及湿地、野生动物重要栖息地、迁徙通道、重点保护野生植物生长环境的，应按照</w:t>
                  </w:r>
                  <w:r>
                    <w:rPr>
                      <w:rFonts w:hint="eastAsia"/>
                      <w:color w:val="auto"/>
                      <w:lang w:eastAsia="zh-CN"/>
                    </w:rPr>
                    <w:t>《中华人民共和国湿地保护法》《中华人民共和国野生动物保护法》</w:t>
                  </w:r>
                  <w:r>
                    <w:rPr>
                      <w:rFonts w:hint="default"/>
                      <w:color w:val="auto"/>
                    </w:rPr>
                    <w:t>《</w:t>
                  </w:r>
                  <w:r>
                    <w:rPr>
                      <w:rFonts w:hint="eastAsia"/>
                      <w:color w:val="auto"/>
                      <w:lang w:eastAsia="zh-CN"/>
                    </w:rPr>
                    <w:t>野生植物</w:t>
                  </w:r>
                  <w:r>
                    <w:rPr>
                      <w:rFonts w:hint="default"/>
                      <w:color w:val="auto"/>
                    </w:rPr>
                    <w:t>保护条例》等有关规定执行，严禁通过违规改造现地的方式规</w:t>
                  </w:r>
                  <w:r>
                    <w:rPr>
                      <w:rFonts w:hint="eastAsia"/>
                      <w:color w:val="auto"/>
                      <w:lang w:val="en-US" w:eastAsia="zh-CN"/>
                    </w:rPr>
                    <w:t>避</w:t>
                  </w:r>
                  <w:r>
                    <w:rPr>
                      <w:rFonts w:hint="default"/>
                      <w:color w:val="auto"/>
                    </w:rPr>
                    <w:t>禁限建规定，风电场施工和检修道路，应尽可能利用现有道路</w:t>
                  </w:r>
                  <w:r>
                    <w:rPr>
                      <w:rFonts w:hint="eastAsia"/>
                      <w:color w:val="auto"/>
                      <w:lang w:eastAsia="zh-CN"/>
                    </w:rPr>
                    <w:t>；</w:t>
                  </w:r>
                  <w:r>
                    <w:rPr>
                      <w:rFonts w:hint="default"/>
                      <w:color w:val="auto"/>
                    </w:rPr>
                    <w:t>确需新建或扩建的，可结合防火路、农村道路等，按相关行业标准建设，严防水土流失，促进林区道路综合利用。施工道路经论证无法恢复的，</w:t>
                  </w:r>
                  <w:r>
                    <w:rPr>
                      <w:rFonts w:hint="eastAsia"/>
                      <w:color w:val="auto"/>
                      <w:lang w:eastAsia="zh-CN"/>
                    </w:rPr>
                    <w:t>应予</w:t>
                  </w:r>
                  <w:r>
                    <w:rPr>
                      <w:rFonts w:hint="default"/>
                      <w:color w:val="auto"/>
                    </w:rPr>
                    <w:t>检修道路</w:t>
                  </w:r>
                  <w:r>
                    <w:rPr>
                      <w:rFonts w:hint="eastAsia"/>
                      <w:color w:val="auto"/>
                      <w:lang w:eastAsia="zh-CN"/>
                    </w:rPr>
                    <w:t>－</w:t>
                  </w:r>
                  <w:r>
                    <w:rPr>
                      <w:rFonts w:hint="default"/>
                      <w:color w:val="auto"/>
                    </w:rPr>
                    <w:t>并办理永久使用林地草地手续。</w:t>
                  </w:r>
                </w:p>
              </w:tc>
              <w:tc>
                <w:tcPr>
                  <w:tcW w:w="2027" w:type="dxa"/>
                  <w:tcBorders>
                    <w:tl2br w:val="nil"/>
                    <w:tr2bl w:val="nil"/>
                  </w:tcBorders>
                </w:tcPr>
                <w:p w14:paraId="3F8BDF05">
                  <w:pPr>
                    <w:pStyle w:val="37"/>
                    <w:bidi w:val="0"/>
                    <w:rPr>
                      <w:rFonts w:hint="default" w:eastAsia="宋体"/>
                      <w:color w:val="auto"/>
                      <w:lang w:val="en-US" w:eastAsia="zh-CN"/>
                    </w:rPr>
                  </w:pPr>
                  <w:r>
                    <w:rPr>
                      <w:rFonts w:hint="eastAsia"/>
                      <w:color w:val="auto"/>
                      <w:lang w:val="en-US" w:eastAsia="zh-CN"/>
                    </w:rPr>
                    <w:t>项目永久占地已取得《西泽风电场（二期）用地预审证书》与《宣威市林业和草原局关于西泽风电场（二期）是否符合用林、用草、用湿及自然保护地允许占用情形的意见》，临时用地的用地手续和用林用草手续正在办理中。</w:t>
                  </w:r>
                </w:p>
              </w:tc>
              <w:tc>
                <w:tcPr>
                  <w:tcW w:w="492" w:type="dxa"/>
                  <w:tcBorders>
                    <w:tl2br w:val="nil"/>
                    <w:tr2bl w:val="nil"/>
                  </w:tcBorders>
                </w:tcPr>
                <w:p w14:paraId="2A04C700">
                  <w:pPr>
                    <w:pStyle w:val="37"/>
                    <w:bidi w:val="0"/>
                    <w:rPr>
                      <w:rFonts w:hint="default"/>
                      <w:color w:val="auto"/>
                    </w:rPr>
                  </w:pPr>
                  <w:r>
                    <w:rPr>
                      <w:rFonts w:hint="eastAsia"/>
                      <w:color w:val="auto"/>
                      <w:lang w:val="en-US" w:eastAsia="zh-CN"/>
                    </w:rPr>
                    <w:t>不涉及</w:t>
                  </w:r>
                </w:p>
              </w:tc>
            </w:tr>
            <w:tr w14:paraId="10C032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136" w:type="dxa"/>
                  <w:tcBorders>
                    <w:tl2br w:val="nil"/>
                    <w:tr2bl w:val="nil"/>
                  </w:tcBorders>
                </w:tcPr>
                <w:p w14:paraId="5B22B5C4">
                  <w:pPr>
                    <w:pStyle w:val="37"/>
                    <w:bidi w:val="0"/>
                    <w:rPr>
                      <w:rFonts w:hint="default"/>
                      <w:color w:val="auto"/>
                    </w:rPr>
                  </w:pPr>
                  <w:r>
                    <w:rPr>
                      <w:rFonts w:hint="default"/>
                      <w:b/>
                      <w:bCs/>
                      <w:color w:val="auto"/>
                    </w:rPr>
                    <w:t>强化风电场项目指导和监管</w:t>
                  </w:r>
                  <w:r>
                    <w:rPr>
                      <w:rFonts w:hint="eastAsia"/>
                      <w:b/>
                      <w:bCs/>
                      <w:color w:val="auto"/>
                      <w:lang w:eastAsia="zh-CN"/>
                    </w:rPr>
                    <w:t>：</w:t>
                  </w:r>
                  <w:r>
                    <w:rPr>
                      <w:rFonts w:hint="default"/>
                      <w:color w:val="auto"/>
                    </w:rPr>
                    <w:t>各级林草主管部门要按照本通知要求，加强部门间协调对接，推进风电场项目用地用林用草联动审批，实行全过程监管。风电场项目配套森林草原防灭火设施应当与该建设项目同步规划、设计、施工、验收，用地单位应加大生态影响监测力度，严格落实保护和影响消减措施，及时采取有效措施保障鸟类等野生动物的迁徙安全</w:t>
                  </w:r>
                  <w:r>
                    <w:rPr>
                      <w:rFonts w:hint="eastAsia"/>
                      <w:color w:val="auto"/>
                      <w:lang w:eastAsia="zh-CN"/>
                    </w:rPr>
                    <w:t>；</w:t>
                  </w:r>
                  <w:r>
                    <w:rPr>
                      <w:rFonts w:hint="default"/>
                      <w:color w:val="auto"/>
                    </w:rPr>
                    <w:t>临时使用林地草地期满后，要及时依法恢复林草植被和生产条件。项目退役后，鼓励用地修复与</w:t>
                  </w:r>
                  <w:r>
                    <w:rPr>
                      <w:rFonts w:hint="eastAsia"/>
                      <w:color w:val="auto"/>
                      <w:lang w:eastAsia="zh-CN"/>
                    </w:rPr>
                    <w:t>森林草原</w:t>
                  </w:r>
                  <w:r>
                    <w:rPr>
                      <w:rFonts w:hint="default"/>
                      <w:color w:val="auto"/>
                    </w:rPr>
                    <w:t>修复有机结合，可通过各类生态修复工程和国土绿化项目优先修复为林地草地。</w:t>
                  </w:r>
                </w:p>
              </w:tc>
              <w:tc>
                <w:tcPr>
                  <w:tcW w:w="2027" w:type="dxa"/>
                  <w:tcBorders>
                    <w:tl2br w:val="nil"/>
                    <w:tr2bl w:val="nil"/>
                  </w:tcBorders>
                </w:tcPr>
                <w:p w14:paraId="6F495613">
                  <w:pPr>
                    <w:pStyle w:val="37"/>
                    <w:bidi w:val="0"/>
                    <w:rPr>
                      <w:rFonts w:hint="default" w:eastAsia="宋体"/>
                      <w:color w:val="auto"/>
                      <w:lang w:val="en-US" w:eastAsia="zh-CN"/>
                    </w:rPr>
                  </w:pPr>
                  <w:r>
                    <w:rPr>
                      <w:rFonts w:hint="eastAsia"/>
                      <w:color w:val="auto"/>
                      <w:lang w:val="en-US" w:eastAsia="zh-CN"/>
                    </w:rPr>
                    <w:t>项目施工期间及施工结束后开展生态影响监测工作，对受施工影响的临时占地开展生态恢复措施，项目退役后开展生态恢复措施，恢复占用的林草地。</w:t>
                  </w:r>
                </w:p>
              </w:tc>
              <w:tc>
                <w:tcPr>
                  <w:tcW w:w="492" w:type="dxa"/>
                  <w:tcBorders>
                    <w:tl2br w:val="nil"/>
                    <w:tr2bl w:val="nil"/>
                  </w:tcBorders>
                </w:tcPr>
                <w:p w14:paraId="26BC489D">
                  <w:pPr>
                    <w:pStyle w:val="37"/>
                    <w:bidi w:val="0"/>
                    <w:rPr>
                      <w:rFonts w:hint="default"/>
                      <w:color w:val="auto"/>
                    </w:rPr>
                  </w:pPr>
                  <w:r>
                    <w:rPr>
                      <w:rFonts w:hint="eastAsia"/>
                      <w:color w:val="auto"/>
                      <w:lang w:val="en-US" w:eastAsia="zh-CN"/>
                    </w:rPr>
                    <w:t>不涉及</w:t>
                  </w:r>
                </w:p>
              </w:tc>
            </w:tr>
          </w:tbl>
          <w:p w14:paraId="1D129A11">
            <w:pPr>
              <w:pageBreakBefore w:val="0"/>
              <w:widowControl/>
              <w:kinsoku/>
              <w:wordWrap/>
              <w:overflowPunct/>
              <w:bidi w:val="0"/>
              <w:adjustRightInd w:val="0"/>
              <w:snapToGrid w:val="0"/>
              <w:spacing w:line="360" w:lineRule="auto"/>
              <w:ind w:left="0" w:leftChars="0" w:firstLine="0" w:firstLineChars="0"/>
              <w:rPr>
                <w:rFonts w:hint="default" w:ascii="Times New Roman" w:hAnsi="Times New Roman" w:eastAsia="宋体" w:cs="Times New Roman"/>
                <w:color w:val="auto"/>
                <w:kern w:val="0"/>
                <w:szCs w:val="21"/>
              </w:rPr>
            </w:pPr>
          </w:p>
        </w:tc>
      </w:tr>
    </w:tbl>
    <w:p w14:paraId="0550D33C">
      <w:pPr>
        <w:bidi w:val="0"/>
        <w:rPr>
          <w:color w:val="auto"/>
        </w:rPr>
        <w:sectPr>
          <w:pgSz w:w="11906" w:h="16838"/>
          <w:pgMar w:top="1701" w:right="1531" w:bottom="1701" w:left="1531" w:header="851" w:footer="1134" w:gutter="0"/>
          <w:pgBorders>
            <w:top w:val="none" w:sz="0" w:space="0"/>
            <w:left w:val="none" w:sz="0" w:space="0"/>
            <w:bottom w:val="none" w:sz="0" w:space="0"/>
            <w:right w:val="none" w:sz="0" w:space="0"/>
          </w:pgBorders>
          <w:pgNumType w:start="1"/>
          <w:cols w:space="720" w:num="1"/>
          <w:docGrid w:linePitch="312" w:charSpace="0"/>
        </w:sectPr>
      </w:pPr>
    </w:p>
    <w:p w14:paraId="374BB762">
      <w:pPr>
        <w:pStyle w:val="2"/>
        <w:pageBreakBefore w:val="0"/>
        <w:kinsoku/>
        <w:wordWrap/>
        <w:overflowPunct/>
        <w:bidi w:val="0"/>
        <w:rPr>
          <w:color w:val="auto"/>
        </w:rPr>
      </w:pPr>
      <w:bookmarkStart w:id="16" w:name="_Toc80288927"/>
      <w:bookmarkStart w:id="17" w:name="_Toc87457559"/>
      <w:bookmarkStart w:id="18" w:name="_Toc80363579"/>
      <w:bookmarkStart w:id="19" w:name="_Toc80363682"/>
      <w:bookmarkStart w:id="20" w:name="_Toc31793"/>
      <w:bookmarkStart w:id="21" w:name="_Toc87972512"/>
      <w:r>
        <w:rPr>
          <w:rFonts w:hint="eastAsia"/>
          <w:color w:val="auto"/>
        </w:rPr>
        <w:t>二、建设内容</w:t>
      </w:r>
      <w:bookmarkEnd w:id="16"/>
      <w:bookmarkEnd w:id="17"/>
      <w:bookmarkEnd w:id="18"/>
      <w:bookmarkEnd w:id="19"/>
      <w:bookmarkEnd w:id="20"/>
      <w:bookmarkEnd w:id="21"/>
    </w:p>
    <w:tbl>
      <w:tblPr>
        <w:tblStyle w:val="20"/>
        <w:tblW w:w="87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255"/>
      </w:tblGrid>
      <w:tr w14:paraId="56D7E4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97" w:hRule="atLeast"/>
          <w:jc w:val="center"/>
        </w:trPr>
        <w:tc>
          <w:tcPr>
            <w:tcW w:w="456" w:type="dxa"/>
            <w:noWrap w:val="0"/>
            <w:vAlign w:val="center"/>
          </w:tcPr>
          <w:p w14:paraId="2040140B">
            <w:pPr>
              <w:pStyle w:val="18"/>
              <w:bidi w:val="0"/>
              <w:rPr>
                <w:color w:val="auto"/>
              </w:rPr>
            </w:pPr>
            <w:r>
              <w:rPr>
                <w:rFonts w:hint="eastAsia"/>
                <w:color w:val="auto"/>
              </w:rPr>
              <w:t>地理位置</w:t>
            </w:r>
          </w:p>
        </w:tc>
        <w:tc>
          <w:tcPr>
            <w:tcW w:w="8255" w:type="dxa"/>
            <w:noWrap w:val="0"/>
            <w:vAlign w:val="center"/>
          </w:tcPr>
          <w:p w14:paraId="3443DDDA">
            <w:pPr>
              <w:bidi w:val="0"/>
              <w:rPr>
                <w:rFonts w:ascii="Times New Roman" w:hAnsi="Times New Roman" w:eastAsia="宋体"/>
                <w:color w:val="auto"/>
                <w:kern w:val="0"/>
              </w:rPr>
            </w:pPr>
            <w:r>
              <w:rPr>
                <w:rFonts w:hint="eastAsia"/>
                <w:color w:val="auto"/>
                <w:lang w:val="en-US" w:eastAsia="zh-CN"/>
              </w:rPr>
              <w:t>项目位于云南省曲靖市宣威市热水镇南侧松科梁子一带，建设场址</w:t>
            </w:r>
            <w:r>
              <w:rPr>
                <w:rFonts w:hint="eastAsia"/>
                <w:color w:val="auto"/>
                <w:lang w:eastAsia="zh-CN"/>
              </w:rPr>
              <w:t>总体连续</w:t>
            </w:r>
            <w:r>
              <w:rPr>
                <w:rFonts w:hint="eastAsia"/>
                <w:color w:val="auto"/>
                <w:lang w:val="en-US" w:eastAsia="zh-CN"/>
              </w:rPr>
              <w:t>成片分布</w:t>
            </w:r>
            <w:r>
              <w:rPr>
                <w:rFonts w:hint="eastAsia"/>
                <w:color w:val="auto"/>
                <w:lang w:eastAsia="zh-CN"/>
              </w:rPr>
              <w:t>，海拔在2320～2380m之间。本工程对外交通运输主要采用公路运输，线路为：昆明－卡朗收费站（沾益区）－场址，总里程约192km。</w:t>
            </w:r>
            <w:r>
              <w:rPr>
                <w:rFonts w:hint="eastAsia"/>
                <w:color w:val="auto"/>
              </w:rPr>
              <w:t>附近有乡道通行并穿过主要光伏场区，对外交通运输条件较便利。场内道路考虑</w:t>
            </w:r>
            <w:r>
              <w:rPr>
                <w:rFonts w:hint="eastAsia"/>
                <w:color w:val="auto"/>
                <w:lang w:val="en-US" w:eastAsia="zh-CN"/>
              </w:rPr>
              <w:t>以利用现有道路为主，现有道路无法到达则</w:t>
            </w:r>
            <w:r>
              <w:rPr>
                <w:rFonts w:hint="eastAsia"/>
                <w:color w:val="auto"/>
              </w:rPr>
              <w:t>由</w:t>
            </w:r>
            <w:r>
              <w:rPr>
                <w:rFonts w:hint="eastAsia"/>
                <w:color w:val="auto"/>
                <w:lang w:val="en-US" w:eastAsia="zh-CN"/>
              </w:rPr>
              <w:t>周边</w:t>
            </w:r>
            <w:r>
              <w:rPr>
                <w:rFonts w:hint="eastAsia"/>
                <w:color w:val="auto"/>
              </w:rPr>
              <w:t>乡村道路引接。</w:t>
            </w:r>
            <w:r>
              <w:rPr>
                <w:rFonts w:hint="eastAsia"/>
                <w:color w:val="auto"/>
                <w:lang w:val="zh-CN"/>
              </w:rPr>
              <w:t>项目具体位置详见附图</w:t>
            </w:r>
            <w:r>
              <w:rPr>
                <w:rFonts w:hint="eastAsia"/>
                <w:color w:val="auto"/>
                <w:lang w:val="en-US" w:eastAsia="zh-CN"/>
              </w:rPr>
              <w:t>1项目</w:t>
            </w:r>
            <w:r>
              <w:rPr>
                <w:rFonts w:hint="eastAsia"/>
                <w:color w:val="auto"/>
                <w:lang w:val="zh-CN"/>
              </w:rPr>
              <w:t>地理位置图。</w:t>
            </w:r>
          </w:p>
        </w:tc>
      </w:tr>
      <w:tr w14:paraId="2C5FCC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6" w:type="dxa"/>
            <w:noWrap w:val="0"/>
            <w:vAlign w:val="center"/>
          </w:tcPr>
          <w:p w14:paraId="7579F6DB">
            <w:pPr>
              <w:pStyle w:val="18"/>
              <w:bidi w:val="0"/>
              <w:rPr>
                <w:color w:val="auto"/>
              </w:rPr>
            </w:pPr>
            <w:r>
              <w:rPr>
                <w:rFonts w:hint="eastAsia"/>
                <w:color w:val="auto"/>
              </w:rPr>
              <w:t>项目组成及规模</w:t>
            </w:r>
          </w:p>
        </w:tc>
        <w:tc>
          <w:tcPr>
            <w:tcW w:w="8255" w:type="dxa"/>
            <w:noWrap w:val="0"/>
            <w:vAlign w:val="center"/>
          </w:tcPr>
          <w:p w14:paraId="7FA4E942">
            <w:pPr>
              <w:bidi w:val="0"/>
              <w:ind w:left="0" w:leftChars="0" w:firstLine="0" w:firstLineChars="0"/>
              <w:rPr>
                <w:rFonts w:hint="eastAsia"/>
                <w:b/>
                <w:bCs/>
                <w:color w:val="auto"/>
                <w:lang w:val="en-US" w:eastAsia="zh-CN"/>
              </w:rPr>
            </w:pPr>
            <w:r>
              <w:rPr>
                <w:rFonts w:hint="eastAsia"/>
                <w:b/>
                <w:bCs/>
                <w:color w:val="auto"/>
                <w:lang w:val="en-US" w:eastAsia="zh-CN"/>
              </w:rPr>
              <w:t>1.区域风能资源</w:t>
            </w:r>
          </w:p>
          <w:p w14:paraId="0652B8B9">
            <w:pPr>
              <w:rPr>
                <w:rFonts w:hint="default"/>
                <w:color w:val="auto"/>
                <w:lang w:val="en-US" w:eastAsia="zh-CN"/>
              </w:rPr>
            </w:pPr>
            <w:r>
              <w:rPr>
                <w:rFonts w:hint="default"/>
                <w:color w:val="auto"/>
                <w:lang w:val="en-US" w:eastAsia="zh-CN"/>
              </w:rPr>
              <w:t>宣威市位于云南省风能资源开发的最佳区域之一（曲靖市东部会泽～宣威～富源～沾益～马龙一带）。根据云南省风能资源特点，由于</w:t>
            </w:r>
            <w:r>
              <w:rPr>
                <w:rFonts w:hint="eastAsia"/>
                <w:color w:val="auto"/>
                <w:lang w:val="en-US" w:eastAsia="zh-CN"/>
              </w:rPr>
              <w:t>受</w:t>
            </w:r>
            <w:r>
              <w:rPr>
                <w:rFonts w:hint="default"/>
                <w:color w:val="auto"/>
                <w:lang w:val="en-US" w:eastAsia="zh-CN"/>
              </w:rPr>
              <w:t>地形抬升的影响，该区域内具备形成较好风能资源的地形条件。拟建风电场为典型的山地型风电场，70m测风高度处年平均风速为7.03m/s，风功率密度为287.23W/m</w:t>
            </w:r>
            <w:r>
              <w:rPr>
                <w:rFonts w:hint="default"/>
                <w:color w:val="auto"/>
                <w:vertAlign w:val="superscript"/>
                <w:lang w:val="en-US" w:eastAsia="zh-CN"/>
              </w:rPr>
              <w:t>2</w:t>
            </w:r>
            <w:r>
              <w:rPr>
                <w:rFonts w:hint="eastAsia"/>
                <w:color w:val="auto"/>
                <w:lang w:val="en-US" w:eastAsia="zh-CN"/>
              </w:rPr>
              <w:t>，风向集中在S～SW扇区</w:t>
            </w:r>
            <w:r>
              <w:rPr>
                <w:rFonts w:hint="default"/>
                <w:color w:val="auto"/>
                <w:lang w:val="en-US" w:eastAsia="zh-CN"/>
              </w:rPr>
              <w:t>，风功率密度等级为2级</w:t>
            </w:r>
            <w:r>
              <w:rPr>
                <w:rFonts w:hint="eastAsia"/>
                <w:color w:val="auto"/>
                <w:lang w:val="en-US" w:eastAsia="zh-CN"/>
              </w:rPr>
              <w:t>，综合风切变指数为0.15，15m/s时的湍流强度为0.112</w:t>
            </w:r>
            <w:r>
              <w:rPr>
                <w:rFonts w:hint="default"/>
                <w:color w:val="auto"/>
                <w:lang w:val="en-US" w:eastAsia="zh-CN"/>
              </w:rPr>
              <w:t>。</w:t>
            </w:r>
          </w:p>
          <w:p w14:paraId="3D6F59CE">
            <w:pPr>
              <w:rPr>
                <w:rFonts w:hint="default"/>
                <w:color w:val="auto"/>
                <w:lang w:val="en-US" w:eastAsia="zh-CN"/>
              </w:rPr>
            </w:pPr>
            <w:r>
              <w:rPr>
                <w:rFonts w:hint="default"/>
                <w:color w:val="auto"/>
                <w:lang w:val="en-US" w:eastAsia="zh-CN"/>
              </w:rPr>
              <w:t>风速、风功率密度的年内变化基本一致，11月～翌年4月风速和风功率密度较大，8月～10月的风速和风功率密度较小，年内变化较为明显。测风塔的风速和风功率密度的年内变化呈冬春季大，夏秋季小的特点，具有明显的全年两季风特征。</w:t>
            </w:r>
            <w:r>
              <w:rPr>
                <w:rFonts w:hint="eastAsia"/>
                <w:color w:val="auto"/>
                <w:lang w:val="en-US" w:eastAsia="zh-CN"/>
              </w:rPr>
              <w:t>综合来看，适合开发风电资源。</w:t>
            </w:r>
          </w:p>
          <w:p w14:paraId="0C1862D4">
            <w:pPr>
              <w:bidi w:val="0"/>
              <w:ind w:left="0" w:leftChars="0" w:firstLine="0" w:firstLineChars="0"/>
              <w:rPr>
                <w:rFonts w:hint="eastAsia"/>
                <w:b/>
                <w:bCs/>
                <w:color w:val="auto"/>
                <w:lang w:val="en-US" w:eastAsia="zh-CN"/>
              </w:rPr>
            </w:pPr>
            <w:r>
              <w:rPr>
                <w:rFonts w:hint="eastAsia"/>
                <w:b/>
                <w:bCs/>
                <w:color w:val="auto"/>
                <w:lang w:val="en-US" w:eastAsia="zh-CN"/>
              </w:rPr>
              <w:t>2.项目规模、建设内容</w:t>
            </w:r>
          </w:p>
          <w:p w14:paraId="6CD0F75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olor w:val="auto"/>
                <w:kern w:val="0"/>
                <w:sz w:val="24"/>
                <w:lang w:val="en-US" w:eastAsia="zh-CN"/>
              </w:rPr>
            </w:pPr>
            <w:r>
              <w:rPr>
                <w:rFonts w:hint="eastAsia" w:ascii="Times New Roman" w:hAnsi="Times New Roman" w:eastAsia="宋体"/>
                <w:color w:val="auto"/>
                <w:kern w:val="0"/>
                <w:sz w:val="24"/>
                <w:lang w:eastAsia="zh-CN"/>
              </w:rPr>
              <w:t>西泽风电场（二期）工程的主要目的与任务是充分利用本地丰富的风能资源，将风能转化为电能供日常生产生活所需。西泽风电场（二期）工程</w:t>
            </w:r>
            <w:r>
              <w:rPr>
                <w:rFonts w:hint="eastAsia"/>
                <w:color w:val="auto"/>
                <w:kern w:val="0"/>
                <w:sz w:val="24"/>
                <w:lang w:val="en-US" w:eastAsia="zh-CN"/>
              </w:rPr>
              <w:t>拟在</w:t>
            </w:r>
            <w:r>
              <w:rPr>
                <w:rFonts w:hint="default" w:ascii="Times New Roman" w:hAnsi="Times New Roman" w:eastAsia="宋体"/>
                <w:color w:val="auto"/>
                <w:kern w:val="0"/>
                <w:sz w:val="24"/>
                <w:lang w:val="en-US" w:eastAsia="zh-CN"/>
              </w:rPr>
              <w:t>原西泽风电场</w:t>
            </w:r>
            <w:r>
              <w:rPr>
                <w:rFonts w:hint="eastAsia"/>
                <w:color w:val="auto"/>
                <w:kern w:val="0"/>
                <w:sz w:val="24"/>
                <w:lang w:val="en-US" w:eastAsia="zh-CN"/>
              </w:rPr>
              <w:t>一期</w:t>
            </w:r>
            <w:r>
              <w:rPr>
                <w:rFonts w:hint="default" w:ascii="Times New Roman" w:hAnsi="Times New Roman" w:eastAsia="宋体"/>
                <w:color w:val="auto"/>
                <w:kern w:val="0"/>
                <w:sz w:val="24"/>
                <w:lang w:val="en-US" w:eastAsia="zh-CN"/>
              </w:rPr>
              <w:t>B片区</w:t>
            </w:r>
            <w:r>
              <w:rPr>
                <w:rFonts w:hint="eastAsia"/>
                <w:color w:val="auto"/>
                <w:kern w:val="0"/>
                <w:sz w:val="24"/>
                <w:lang w:val="en-US" w:eastAsia="zh-CN"/>
              </w:rPr>
              <w:t>附近新开发4台风机机位</w:t>
            </w:r>
            <w:r>
              <w:rPr>
                <w:rFonts w:hint="default" w:ascii="Times New Roman" w:hAnsi="Times New Roman" w:eastAsia="宋体"/>
                <w:color w:val="auto"/>
                <w:kern w:val="0"/>
                <w:sz w:val="24"/>
                <w:lang w:val="en-US" w:eastAsia="zh-CN"/>
              </w:rPr>
              <w:t>，装机规模为30MW，</w:t>
            </w:r>
            <w:r>
              <w:rPr>
                <w:rFonts w:hint="eastAsia"/>
                <w:color w:val="auto"/>
                <w:kern w:val="0"/>
                <w:sz w:val="24"/>
                <w:lang w:val="en-US" w:eastAsia="zh-CN"/>
              </w:rPr>
              <w:t>通过</w:t>
            </w:r>
            <w:r>
              <w:rPr>
                <w:rFonts w:hint="default" w:ascii="Times New Roman" w:hAnsi="Times New Roman" w:eastAsia="宋体"/>
                <w:color w:val="auto"/>
                <w:kern w:val="0"/>
                <w:sz w:val="24"/>
                <w:lang w:val="en-US" w:eastAsia="zh-CN"/>
              </w:rPr>
              <w:t>1回35kV集电线路接入原西泽风电场220kV升压站进行</w:t>
            </w:r>
            <w:r>
              <w:rPr>
                <w:rFonts w:hint="default" w:ascii="Times New Roman" w:hAnsi="Times New Roman" w:eastAsia="宋体"/>
                <w:color w:val="auto"/>
                <w:kern w:val="0"/>
                <w:sz w:val="24"/>
                <w:highlight w:val="none"/>
                <w:lang w:val="en-US" w:eastAsia="zh-CN"/>
              </w:rPr>
              <w:t>消纳</w:t>
            </w:r>
            <w:r>
              <w:rPr>
                <w:rFonts w:hint="default" w:ascii="Times New Roman" w:hAnsi="Times New Roman" w:eastAsia="宋体"/>
                <w:color w:val="auto"/>
                <w:kern w:val="0"/>
                <w:sz w:val="24"/>
                <w:lang w:val="en-US" w:eastAsia="zh-CN"/>
              </w:rPr>
              <w:t>。</w:t>
            </w:r>
          </w:p>
          <w:p w14:paraId="07587FB3">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eastAsia="宋体"/>
                <w:color w:val="auto"/>
                <w:kern w:val="0"/>
                <w:sz w:val="24"/>
                <w:lang w:val="en-US" w:eastAsia="zh-CN"/>
              </w:rPr>
            </w:pPr>
            <w:r>
              <w:rPr>
                <w:rFonts w:hint="eastAsia"/>
                <w:color w:val="auto"/>
                <w:kern w:val="0"/>
                <w:sz w:val="24"/>
                <w:lang w:val="en-US" w:eastAsia="zh-CN"/>
              </w:rPr>
              <w:t>项目依托</w:t>
            </w:r>
            <w:r>
              <w:rPr>
                <w:rFonts w:hint="default" w:ascii="Times New Roman" w:hAnsi="Times New Roman" w:eastAsia="宋体"/>
                <w:color w:val="auto"/>
                <w:kern w:val="0"/>
                <w:sz w:val="24"/>
                <w:lang w:val="en-US" w:eastAsia="zh-CN"/>
              </w:rPr>
              <w:t>原西泽风电场</w:t>
            </w:r>
            <w:r>
              <w:rPr>
                <w:rFonts w:hint="eastAsia"/>
                <w:color w:val="auto"/>
                <w:kern w:val="0"/>
                <w:sz w:val="24"/>
                <w:lang w:val="en-US" w:eastAsia="zh-CN"/>
              </w:rPr>
              <w:t>一期</w:t>
            </w:r>
            <w:r>
              <w:rPr>
                <w:rFonts w:hint="default" w:ascii="Times New Roman" w:hAnsi="Times New Roman" w:eastAsia="宋体"/>
                <w:color w:val="auto"/>
                <w:kern w:val="0"/>
                <w:sz w:val="24"/>
                <w:lang w:val="en-US" w:eastAsia="zh-CN"/>
              </w:rPr>
              <w:t>B片区</w:t>
            </w:r>
            <w:r>
              <w:rPr>
                <w:rFonts w:hint="eastAsia" w:ascii="Times New Roman" w:hAnsi="Times New Roman" w:eastAsia="宋体"/>
                <w:color w:val="auto"/>
                <w:kern w:val="0"/>
                <w:sz w:val="24"/>
                <w:lang w:val="en-US" w:eastAsia="zh-CN"/>
              </w:rPr>
              <w:t>35kV集电线路，4台发电机组经箱式变升压至35kV后通过新建地埋电缆将电能汇集至</w:t>
            </w:r>
            <w:r>
              <w:rPr>
                <w:rFonts w:hint="default" w:ascii="Times New Roman" w:hAnsi="Times New Roman" w:eastAsia="宋体"/>
                <w:color w:val="auto"/>
                <w:kern w:val="0"/>
                <w:sz w:val="24"/>
                <w:lang w:val="en-US" w:eastAsia="zh-CN"/>
              </w:rPr>
              <w:t>西泽风电场</w:t>
            </w:r>
            <w:r>
              <w:rPr>
                <w:rFonts w:hint="eastAsia"/>
                <w:color w:val="auto"/>
                <w:kern w:val="0"/>
                <w:sz w:val="24"/>
                <w:lang w:val="en-US" w:eastAsia="zh-CN"/>
              </w:rPr>
              <w:t>一期</w:t>
            </w:r>
            <w:r>
              <w:rPr>
                <w:rFonts w:hint="eastAsia" w:ascii="Times New Roman" w:hAnsi="Times New Roman" w:eastAsia="宋体"/>
                <w:color w:val="auto"/>
                <w:kern w:val="0"/>
                <w:sz w:val="24"/>
                <w:lang w:val="en-US" w:eastAsia="zh-CN"/>
              </w:rPr>
              <w:t>35kV集电线路杆塔，对一侧电缆进行更换后通过该集电线路接入</w:t>
            </w:r>
            <w:r>
              <w:rPr>
                <w:rFonts w:hint="eastAsia"/>
                <w:color w:val="auto"/>
                <w:kern w:val="0"/>
                <w:sz w:val="24"/>
                <w:lang w:val="en-US" w:eastAsia="zh-CN"/>
              </w:rPr>
              <w:t>西泽风电场</w:t>
            </w:r>
            <w:r>
              <w:rPr>
                <w:rFonts w:hint="eastAsia" w:ascii="Times New Roman" w:hAnsi="Times New Roman" w:eastAsia="宋体"/>
                <w:color w:val="auto"/>
                <w:kern w:val="0"/>
                <w:sz w:val="24"/>
                <w:lang w:val="en-US" w:eastAsia="zh-CN"/>
              </w:rPr>
              <w:t>220</w:t>
            </w:r>
            <w:r>
              <w:rPr>
                <w:rFonts w:hint="default" w:ascii="Times New Roman" w:hAnsi="Times New Roman" w:eastAsia="宋体"/>
                <w:color w:val="auto"/>
                <w:kern w:val="0"/>
                <w:sz w:val="24"/>
                <w:lang w:val="en-US" w:eastAsia="zh-CN"/>
              </w:rPr>
              <w:t>kV升压站</w:t>
            </w:r>
            <w:r>
              <w:rPr>
                <w:rFonts w:hint="eastAsia" w:ascii="Times New Roman" w:hAnsi="Times New Roman" w:eastAsia="宋体"/>
                <w:color w:val="auto"/>
                <w:kern w:val="0"/>
                <w:sz w:val="24"/>
                <w:lang w:val="en-US" w:eastAsia="zh-CN"/>
              </w:rPr>
              <w:t>。</w:t>
            </w:r>
          </w:p>
          <w:p w14:paraId="32E6C22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Times New Roman" w:hAnsi="Times New Roman" w:eastAsia="宋体"/>
                <w:color w:val="auto"/>
                <w:kern w:val="0"/>
                <w:sz w:val="24"/>
                <w:lang w:val="en-US" w:eastAsia="zh-CN"/>
              </w:rPr>
            </w:pPr>
            <w:r>
              <w:rPr>
                <w:rFonts w:hint="eastAsia"/>
                <w:color w:val="auto"/>
                <w:kern w:val="0"/>
                <w:sz w:val="24"/>
                <w:lang w:val="en-US" w:eastAsia="zh-CN"/>
              </w:rPr>
              <w:t>项目在原有的西泽风电场</w:t>
            </w:r>
            <w:r>
              <w:rPr>
                <w:rFonts w:hint="default" w:ascii="Times New Roman" w:hAnsi="Times New Roman" w:eastAsia="宋体"/>
                <w:color w:val="auto"/>
                <w:kern w:val="0"/>
                <w:sz w:val="24"/>
                <w:lang w:val="en-US" w:eastAsia="zh-CN"/>
              </w:rPr>
              <w:t>升压站配套建设安装1台</w:t>
            </w:r>
            <w:r>
              <w:rPr>
                <w:rFonts w:hint="eastAsia"/>
                <w:color w:val="auto"/>
                <w:kern w:val="0"/>
                <w:sz w:val="24"/>
                <w:lang w:val="en-US" w:eastAsia="zh-CN"/>
              </w:rPr>
              <w:t>3</w:t>
            </w:r>
            <w:r>
              <w:rPr>
                <w:rFonts w:hint="default" w:ascii="Times New Roman" w:hAnsi="Times New Roman" w:eastAsia="宋体"/>
                <w:color w:val="auto"/>
                <w:kern w:val="0"/>
                <w:sz w:val="24"/>
                <w:lang w:val="en-US" w:eastAsia="zh-CN"/>
              </w:rPr>
              <w:t>0MVA的主变，220kV升压站汇集所有风机电能后以1回220kV出线接入500kV多乐变。本期工程拟在原有升压站围墙范围内进行扩建，结合现场实际情况，在</w:t>
            </w:r>
            <w:r>
              <w:rPr>
                <w:rFonts w:hint="eastAsia"/>
                <w:color w:val="auto"/>
                <w:kern w:val="0"/>
                <w:sz w:val="24"/>
                <w:lang w:val="en-US" w:eastAsia="zh-CN"/>
              </w:rPr>
              <w:t>升压站</w:t>
            </w:r>
            <w:r>
              <w:rPr>
                <w:rFonts w:hint="default" w:ascii="Times New Roman" w:hAnsi="Times New Roman" w:eastAsia="宋体"/>
                <w:color w:val="auto"/>
                <w:kern w:val="0"/>
                <w:sz w:val="24"/>
                <w:lang w:val="en-US" w:eastAsia="zh-CN"/>
              </w:rPr>
              <w:t>预留的储能场地内扩建本期主变、35kV设备及二次设备预制舱、</w:t>
            </w:r>
            <w:r>
              <w:rPr>
                <w:rFonts w:hint="eastAsia"/>
                <w:color w:val="auto"/>
                <w:kern w:val="0"/>
                <w:sz w:val="24"/>
                <w:lang w:val="en-US" w:eastAsia="zh-CN"/>
              </w:rPr>
              <w:t>SVG舱、</w:t>
            </w:r>
            <w:r>
              <w:rPr>
                <w:rFonts w:hint="default" w:ascii="Times New Roman" w:hAnsi="Times New Roman" w:eastAsia="宋体"/>
                <w:color w:val="auto"/>
                <w:kern w:val="0"/>
                <w:sz w:val="24"/>
                <w:lang w:val="en-US" w:eastAsia="zh-CN"/>
              </w:rPr>
              <w:t>GIS等新增设备，不新增建筑物</w:t>
            </w:r>
            <w:r>
              <w:rPr>
                <w:rFonts w:hint="eastAsia"/>
                <w:color w:val="auto"/>
                <w:kern w:val="0"/>
                <w:sz w:val="24"/>
                <w:lang w:val="en-US" w:eastAsia="zh-CN"/>
              </w:rPr>
              <w:t>、</w:t>
            </w:r>
            <w:r>
              <w:rPr>
                <w:rFonts w:hint="default" w:ascii="Times New Roman" w:hAnsi="Times New Roman" w:eastAsia="宋体"/>
                <w:color w:val="auto"/>
                <w:kern w:val="0"/>
                <w:sz w:val="24"/>
                <w:lang w:val="en-US" w:eastAsia="zh-CN"/>
              </w:rPr>
              <w:t>建设用地</w:t>
            </w:r>
            <w:r>
              <w:rPr>
                <w:rFonts w:hint="eastAsia" w:ascii="Times New Roman" w:hAnsi="Times New Roman" w:eastAsia="宋体"/>
                <w:color w:val="auto"/>
                <w:kern w:val="0"/>
                <w:sz w:val="24"/>
                <w:lang w:val="en-US" w:eastAsia="zh-CN"/>
              </w:rPr>
              <w:t>。</w:t>
            </w:r>
          </w:p>
          <w:p w14:paraId="62BBA962">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Times New Roman" w:hAnsi="Times New Roman" w:eastAsia="宋体"/>
                <w:color w:val="auto"/>
                <w:kern w:val="0"/>
                <w:sz w:val="24"/>
                <w:lang w:val="en-US" w:eastAsia="zh-CN"/>
              </w:rPr>
            </w:pPr>
            <w:r>
              <w:rPr>
                <w:rFonts w:hint="eastAsia" w:ascii="Times New Roman" w:hAnsi="Times New Roman" w:eastAsia="宋体"/>
                <w:color w:val="auto"/>
                <w:kern w:val="0"/>
                <w:sz w:val="24"/>
                <w:lang w:val="en-US" w:eastAsia="zh-CN"/>
              </w:rPr>
              <w:t>本项目工程组成情况详见表2-1。项目经济技术指标详见表2-2，风电场工程特性表见表2-3。</w:t>
            </w:r>
          </w:p>
          <w:p w14:paraId="78AD97B9">
            <w:pPr>
              <w:pStyle w:val="27"/>
              <w:pageBreakBefore w:val="0"/>
              <w:kinsoku/>
              <w:wordWrap/>
              <w:overflowPunct/>
              <w:bidi w:val="0"/>
              <w:rPr>
                <w:rFonts w:hint="eastAsia"/>
                <w:color w:val="auto"/>
                <w:lang w:val="en-US" w:eastAsia="zh-CN"/>
              </w:rPr>
            </w:pPr>
            <w:r>
              <w:rPr>
                <w:rFonts w:hint="eastAsia"/>
                <w:color w:val="auto"/>
              </w:rPr>
              <w:t>表2-1</w:t>
            </w:r>
            <w:r>
              <w:rPr>
                <w:rFonts w:hint="eastAsia"/>
                <w:color w:val="auto"/>
                <w:lang w:val="en-US" w:eastAsia="zh-CN"/>
              </w:rPr>
              <w:t xml:space="preserve">  </w:t>
            </w:r>
            <w:r>
              <w:rPr>
                <w:rFonts w:hint="eastAsia"/>
                <w:color w:val="auto"/>
              </w:rPr>
              <w:t>工程组成情况</w:t>
            </w:r>
            <w:r>
              <w:rPr>
                <w:rFonts w:hint="eastAsia"/>
                <w:color w:val="auto"/>
                <w:lang w:val="en-US" w:eastAsia="zh-CN"/>
              </w:rPr>
              <w:t>表</w:t>
            </w:r>
          </w:p>
          <w:tbl>
            <w:tblPr>
              <w:tblStyle w:val="20"/>
              <w:tblW w:w="7924"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426"/>
              <w:gridCol w:w="426"/>
              <w:gridCol w:w="677"/>
              <w:gridCol w:w="5640"/>
              <w:gridCol w:w="755"/>
            </w:tblGrid>
            <w:tr w14:paraId="11D030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426" w:type="dxa"/>
                  <w:tcBorders>
                    <w:tl2br w:val="nil"/>
                    <w:tr2bl w:val="nil"/>
                  </w:tcBorders>
                  <w:noWrap w:val="0"/>
                  <w:vAlign w:val="center"/>
                </w:tcPr>
                <w:p w14:paraId="1288C81E">
                  <w:pPr>
                    <w:pStyle w:val="37"/>
                    <w:bidi w:val="0"/>
                    <w:rPr>
                      <w:rFonts w:hint="eastAsia"/>
                      <w:color w:val="auto"/>
                    </w:rPr>
                  </w:pPr>
                  <w:r>
                    <w:rPr>
                      <w:rFonts w:hint="eastAsia"/>
                      <w:color w:val="auto"/>
                      <w:lang w:val="en-US" w:eastAsia="zh-CN"/>
                    </w:rPr>
                    <w:t>类别</w:t>
                  </w:r>
                </w:p>
              </w:tc>
              <w:tc>
                <w:tcPr>
                  <w:tcW w:w="1103" w:type="dxa"/>
                  <w:gridSpan w:val="2"/>
                  <w:tcBorders>
                    <w:tl2br w:val="nil"/>
                    <w:tr2bl w:val="nil"/>
                  </w:tcBorders>
                  <w:noWrap w:val="0"/>
                  <w:vAlign w:val="center"/>
                </w:tcPr>
                <w:p w14:paraId="6AEAF76D">
                  <w:pPr>
                    <w:pStyle w:val="37"/>
                    <w:bidi w:val="0"/>
                    <w:rPr>
                      <w:rFonts w:hint="eastAsia"/>
                      <w:color w:val="auto"/>
                    </w:rPr>
                  </w:pPr>
                  <w:r>
                    <w:rPr>
                      <w:rFonts w:hint="eastAsia"/>
                      <w:color w:val="auto"/>
                      <w:lang w:val="en-US" w:eastAsia="zh-CN"/>
                    </w:rPr>
                    <w:t>工程名称</w:t>
                  </w:r>
                </w:p>
              </w:tc>
              <w:tc>
                <w:tcPr>
                  <w:tcW w:w="5640" w:type="dxa"/>
                  <w:tcBorders>
                    <w:tl2br w:val="nil"/>
                    <w:tr2bl w:val="nil"/>
                  </w:tcBorders>
                  <w:noWrap w:val="0"/>
                  <w:vAlign w:val="center"/>
                </w:tcPr>
                <w:p w14:paraId="373BD35A">
                  <w:pPr>
                    <w:pStyle w:val="37"/>
                    <w:bidi w:val="0"/>
                    <w:rPr>
                      <w:rFonts w:hint="eastAsia"/>
                      <w:color w:val="auto"/>
                    </w:rPr>
                  </w:pPr>
                  <w:r>
                    <w:rPr>
                      <w:rFonts w:hint="eastAsia"/>
                      <w:color w:val="auto"/>
                      <w:lang w:val="en-US" w:eastAsia="zh-CN"/>
                    </w:rPr>
                    <w:t>内容</w:t>
                  </w:r>
                </w:p>
              </w:tc>
              <w:tc>
                <w:tcPr>
                  <w:tcW w:w="755" w:type="dxa"/>
                  <w:tcBorders>
                    <w:tl2br w:val="nil"/>
                    <w:tr2bl w:val="nil"/>
                  </w:tcBorders>
                  <w:noWrap w:val="0"/>
                  <w:vAlign w:val="center"/>
                </w:tcPr>
                <w:p w14:paraId="757F6253">
                  <w:pPr>
                    <w:pStyle w:val="37"/>
                    <w:bidi w:val="0"/>
                    <w:rPr>
                      <w:rFonts w:hint="eastAsia"/>
                      <w:color w:val="auto"/>
                      <w:lang w:val="en-US" w:eastAsia="zh-CN"/>
                    </w:rPr>
                  </w:pPr>
                  <w:r>
                    <w:rPr>
                      <w:rFonts w:hint="eastAsia"/>
                      <w:color w:val="auto"/>
                      <w:lang w:val="en-US" w:eastAsia="zh-CN"/>
                    </w:rPr>
                    <w:t>建设性质</w:t>
                  </w:r>
                </w:p>
              </w:tc>
            </w:tr>
            <w:tr w14:paraId="092934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7" w:hRule="atLeast"/>
                <w:jc w:val="center"/>
              </w:trPr>
              <w:tc>
                <w:tcPr>
                  <w:tcW w:w="426" w:type="dxa"/>
                  <w:vMerge w:val="restart"/>
                  <w:tcBorders>
                    <w:tl2br w:val="nil"/>
                    <w:tr2bl w:val="nil"/>
                  </w:tcBorders>
                  <w:noWrap w:val="0"/>
                  <w:vAlign w:val="center"/>
                </w:tcPr>
                <w:p w14:paraId="494549C0">
                  <w:pPr>
                    <w:pStyle w:val="37"/>
                    <w:bidi w:val="0"/>
                    <w:rPr>
                      <w:rFonts w:hint="eastAsia"/>
                      <w:color w:val="auto"/>
                    </w:rPr>
                  </w:pPr>
                  <w:r>
                    <w:rPr>
                      <w:color w:val="auto"/>
                      <w:lang w:val="en-US" w:eastAsia="zh-CN"/>
                    </w:rPr>
                    <w:t>主体工程</w:t>
                  </w:r>
                </w:p>
              </w:tc>
              <w:tc>
                <w:tcPr>
                  <w:tcW w:w="1103" w:type="dxa"/>
                  <w:gridSpan w:val="2"/>
                  <w:tcBorders>
                    <w:tl2br w:val="nil"/>
                    <w:tr2bl w:val="nil"/>
                  </w:tcBorders>
                  <w:noWrap w:val="0"/>
                  <w:vAlign w:val="center"/>
                </w:tcPr>
                <w:p w14:paraId="5B65AA9D">
                  <w:pPr>
                    <w:pStyle w:val="37"/>
                    <w:bidi w:val="0"/>
                    <w:rPr>
                      <w:rFonts w:hint="eastAsia"/>
                      <w:color w:val="auto"/>
                      <w:lang w:val="en-US" w:eastAsia="zh-CN"/>
                    </w:rPr>
                  </w:pPr>
                  <w:r>
                    <w:rPr>
                      <w:rFonts w:hint="eastAsia"/>
                      <w:color w:val="auto"/>
                      <w:lang w:val="en-US" w:eastAsia="zh-CN"/>
                    </w:rPr>
                    <w:t>风机机组</w:t>
                  </w:r>
                </w:p>
              </w:tc>
              <w:tc>
                <w:tcPr>
                  <w:tcW w:w="5640" w:type="dxa"/>
                  <w:tcBorders>
                    <w:tl2br w:val="nil"/>
                    <w:tr2bl w:val="nil"/>
                  </w:tcBorders>
                  <w:noWrap w:val="0"/>
                  <w:vAlign w:val="center"/>
                </w:tcPr>
                <w:p w14:paraId="1279306B">
                  <w:pPr>
                    <w:pStyle w:val="37"/>
                    <w:bidi w:val="0"/>
                    <w:rPr>
                      <w:rFonts w:hint="default"/>
                      <w:color w:val="auto"/>
                      <w:lang w:val="en-US" w:eastAsia="zh-CN"/>
                    </w:rPr>
                  </w:pPr>
                  <w:r>
                    <w:rPr>
                      <w:rFonts w:hint="eastAsia"/>
                      <w:color w:val="auto"/>
                      <w:lang w:val="en-US" w:eastAsia="zh-CN"/>
                    </w:rPr>
                    <w:t>（1）风机基本情况：项目总装机容量30MW，共安装4台风电机组，每台机组额定功率为7500kW。</w:t>
                  </w:r>
                </w:p>
                <w:p w14:paraId="245BD064">
                  <w:pPr>
                    <w:pStyle w:val="37"/>
                    <w:bidi w:val="0"/>
                    <w:rPr>
                      <w:rFonts w:hint="eastAsia"/>
                      <w:color w:val="auto"/>
                      <w:lang w:val="en-US" w:eastAsia="zh-CN"/>
                    </w:rPr>
                  </w:pPr>
                  <w:r>
                    <w:rPr>
                      <w:rFonts w:hint="eastAsia"/>
                      <w:color w:val="auto"/>
                      <w:lang w:val="en-US" w:eastAsia="zh-CN"/>
                    </w:rPr>
                    <w:t>（2）风机吊装平台：根据现场的地形、场内道路规划条件、安装部件重量及起吊高度等要求，划定风机吊装平台，平台面积在2025m2至4358m2（包含风机基础）之间。</w:t>
                  </w:r>
                </w:p>
                <w:p w14:paraId="22BAD0FA">
                  <w:pPr>
                    <w:pStyle w:val="37"/>
                    <w:bidi w:val="0"/>
                    <w:rPr>
                      <w:rFonts w:hint="eastAsia"/>
                      <w:color w:val="auto"/>
                    </w:rPr>
                  </w:pPr>
                  <w:r>
                    <w:rPr>
                      <w:rFonts w:hint="eastAsia"/>
                      <w:color w:val="auto"/>
                      <w:lang w:val="en-US" w:eastAsia="zh-CN"/>
                    </w:rPr>
                    <w:t>（3）风机基础工程：选用体型为C40钢筋混凝土圆形扩展式预应力锚栓基础，采用预应力锚栓组合件连接塔筒和基础。基础浇筑完成后，基坑采用土石分层回填并夯实到台柱顶部，回填土夯实后容重不低于18kN/m3。</w:t>
                  </w:r>
                </w:p>
              </w:tc>
              <w:tc>
                <w:tcPr>
                  <w:tcW w:w="755" w:type="dxa"/>
                  <w:tcBorders>
                    <w:tl2br w:val="nil"/>
                    <w:tr2bl w:val="nil"/>
                  </w:tcBorders>
                  <w:noWrap w:val="0"/>
                  <w:vAlign w:val="center"/>
                </w:tcPr>
                <w:p w14:paraId="4909CC78">
                  <w:pPr>
                    <w:pStyle w:val="37"/>
                    <w:bidi w:val="0"/>
                    <w:rPr>
                      <w:rFonts w:hint="default"/>
                      <w:color w:val="auto"/>
                      <w:lang w:val="en-US" w:eastAsia="zh-CN"/>
                    </w:rPr>
                  </w:pPr>
                  <w:r>
                    <w:rPr>
                      <w:rFonts w:hint="eastAsia"/>
                      <w:color w:val="auto"/>
                      <w:lang w:val="en-US" w:eastAsia="zh-CN"/>
                    </w:rPr>
                    <w:t>新建</w:t>
                  </w:r>
                </w:p>
              </w:tc>
            </w:tr>
            <w:tr w14:paraId="41D809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426" w:type="dxa"/>
                  <w:vMerge w:val="continue"/>
                  <w:tcBorders>
                    <w:tl2br w:val="nil"/>
                    <w:tr2bl w:val="nil"/>
                  </w:tcBorders>
                  <w:noWrap w:val="0"/>
                  <w:vAlign w:val="center"/>
                </w:tcPr>
                <w:p w14:paraId="084C3EBC">
                  <w:pPr>
                    <w:keepNext w:val="0"/>
                    <w:keepLines w:val="0"/>
                    <w:pageBreakBefore w:val="0"/>
                    <w:widowControl/>
                    <w:kinsoku/>
                    <w:wordWrap/>
                    <w:overflowPunct/>
                    <w:topLinePunct w:val="0"/>
                    <w:autoSpaceDE w:val="0"/>
                    <w:autoSpaceDN w:val="0"/>
                    <w:bidi w:val="0"/>
                    <w:adjustRightInd w:val="0"/>
                    <w:snapToGrid w:val="0"/>
                    <w:textAlignment w:val="baseline"/>
                    <w:rPr>
                      <w:rFonts w:hint="eastAsia"/>
                      <w:color w:val="auto"/>
                    </w:rPr>
                  </w:pPr>
                </w:p>
              </w:tc>
              <w:tc>
                <w:tcPr>
                  <w:tcW w:w="1103" w:type="dxa"/>
                  <w:gridSpan w:val="2"/>
                  <w:tcBorders>
                    <w:tl2br w:val="nil"/>
                    <w:tr2bl w:val="nil"/>
                  </w:tcBorders>
                  <w:noWrap w:val="0"/>
                  <w:vAlign w:val="center"/>
                </w:tcPr>
                <w:p w14:paraId="1DD260CF">
                  <w:pPr>
                    <w:pStyle w:val="37"/>
                    <w:bidi w:val="0"/>
                    <w:rPr>
                      <w:rFonts w:hint="eastAsia"/>
                      <w:color w:val="auto"/>
                    </w:rPr>
                  </w:pPr>
                  <w:r>
                    <w:rPr>
                      <w:color w:val="auto"/>
                      <w:lang w:val="en-US" w:eastAsia="zh-CN"/>
                    </w:rPr>
                    <w:t>箱式</w:t>
                  </w:r>
                  <w:r>
                    <w:rPr>
                      <w:rFonts w:hint="eastAsia"/>
                      <w:color w:val="auto"/>
                      <w:lang w:val="en-US" w:eastAsia="zh-CN"/>
                    </w:rPr>
                    <w:t>变压器</w:t>
                  </w:r>
                </w:p>
              </w:tc>
              <w:tc>
                <w:tcPr>
                  <w:tcW w:w="5640" w:type="dxa"/>
                  <w:tcBorders>
                    <w:tl2br w:val="nil"/>
                    <w:tr2bl w:val="nil"/>
                  </w:tcBorders>
                  <w:noWrap w:val="0"/>
                  <w:vAlign w:val="center"/>
                </w:tcPr>
                <w:p w14:paraId="4FF86F55">
                  <w:pPr>
                    <w:pStyle w:val="37"/>
                    <w:bidi w:val="0"/>
                    <w:rPr>
                      <w:rFonts w:hint="default"/>
                      <w:color w:val="auto"/>
                      <w:lang w:val="en-US"/>
                    </w:rPr>
                  </w:pPr>
                  <w:r>
                    <w:rPr>
                      <w:rFonts w:hint="eastAsia"/>
                      <w:color w:val="auto"/>
                      <w:lang w:val="en-US" w:eastAsia="zh-CN"/>
                    </w:rPr>
                    <w:t>本工程7.5MW风机用箱式变压器内的升压变压器采用三相双绕组油浸式无励磁调压升压变压器：容量8250kVA，变比为35±2×2.5%/1.14kV，接线组别D，yn11。每台风机配套1台箱变，共计4台箱变。</w:t>
                  </w:r>
                </w:p>
              </w:tc>
              <w:tc>
                <w:tcPr>
                  <w:tcW w:w="755" w:type="dxa"/>
                  <w:tcBorders>
                    <w:tl2br w:val="nil"/>
                    <w:tr2bl w:val="nil"/>
                  </w:tcBorders>
                  <w:noWrap w:val="0"/>
                  <w:vAlign w:val="center"/>
                </w:tcPr>
                <w:p w14:paraId="4A89D0E8">
                  <w:pPr>
                    <w:pStyle w:val="37"/>
                    <w:bidi w:val="0"/>
                    <w:rPr>
                      <w:rFonts w:hint="eastAsia"/>
                      <w:color w:val="auto"/>
                      <w:lang w:val="en-US" w:eastAsia="zh-CN"/>
                    </w:rPr>
                  </w:pPr>
                  <w:r>
                    <w:rPr>
                      <w:rFonts w:hint="eastAsia"/>
                      <w:color w:val="auto"/>
                      <w:lang w:val="en-US" w:eastAsia="zh-CN"/>
                    </w:rPr>
                    <w:t>新建</w:t>
                  </w:r>
                </w:p>
              </w:tc>
            </w:tr>
            <w:tr w14:paraId="167C53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26" w:type="dxa"/>
                  <w:vMerge w:val="continue"/>
                  <w:tcBorders>
                    <w:tl2br w:val="nil"/>
                    <w:tr2bl w:val="nil"/>
                  </w:tcBorders>
                  <w:noWrap w:val="0"/>
                  <w:vAlign w:val="center"/>
                </w:tcPr>
                <w:p w14:paraId="2BDB224A">
                  <w:pPr>
                    <w:keepNext w:val="0"/>
                    <w:keepLines w:val="0"/>
                    <w:pageBreakBefore w:val="0"/>
                    <w:widowControl/>
                    <w:kinsoku/>
                    <w:wordWrap/>
                    <w:overflowPunct/>
                    <w:topLinePunct w:val="0"/>
                    <w:autoSpaceDE w:val="0"/>
                    <w:autoSpaceDN w:val="0"/>
                    <w:bidi w:val="0"/>
                    <w:adjustRightInd w:val="0"/>
                    <w:snapToGrid w:val="0"/>
                    <w:textAlignment w:val="baseline"/>
                    <w:rPr>
                      <w:rFonts w:hint="eastAsia"/>
                      <w:color w:val="auto"/>
                    </w:rPr>
                  </w:pPr>
                </w:p>
              </w:tc>
              <w:tc>
                <w:tcPr>
                  <w:tcW w:w="1103" w:type="dxa"/>
                  <w:gridSpan w:val="2"/>
                  <w:tcBorders>
                    <w:tl2br w:val="nil"/>
                    <w:tr2bl w:val="nil"/>
                  </w:tcBorders>
                  <w:noWrap w:val="0"/>
                  <w:vAlign w:val="center"/>
                </w:tcPr>
                <w:p w14:paraId="460B6F9B">
                  <w:pPr>
                    <w:pStyle w:val="37"/>
                    <w:bidi w:val="0"/>
                    <w:rPr>
                      <w:rFonts w:hint="eastAsia"/>
                      <w:color w:val="auto"/>
                    </w:rPr>
                  </w:pPr>
                  <w:r>
                    <w:rPr>
                      <w:color w:val="auto"/>
                      <w:lang w:val="en-US" w:eastAsia="zh-CN"/>
                    </w:rPr>
                    <w:t>集电线路</w:t>
                  </w:r>
                </w:p>
              </w:tc>
              <w:tc>
                <w:tcPr>
                  <w:tcW w:w="5640" w:type="dxa"/>
                  <w:tcBorders>
                    <w:tl2br w:val="nil"/>
                    <w:tr2bl w:val="nil"/>
                  </w:tcBorders>
                  <w:noWrap w:val="0"/>
                  <w:vAlign w:val="center"/>
                </w:tcPr>
                <w:p w14:paraId="653EAB19">
                  <w:pPr>
                    <w:pStyle w:val="37"/>
                    <w:bidi w:val="0"/>
                    <w:rPr>
                      <w:rFonts w:hint="default"/>
                      <w:color w:val="auto"/>
                      <w:lang w:val="en-US"/>
                    </w:rPr>
                  </w:pPr>
                  <w:r>
                    <w:rPr>
                      <w:rFonts w:hint="eastAsia"/>
                      <w:color w:val="auto"/>
                      <w:lang w:val="en-US" w:eastAsia="zh-CN"/>
                    </w:rPr>
                    <w:t>发电机组经箱变升压至35kV后通过13.1km地埋电缆汇集至西泽风电场一期B片区现有ZB12号杆塔，并对西泽风电场一期B片区其中一回出线进行的线缆进行改造，通过改造后的线缆将电能汇集至升压站内新建的2#主变进线间隔，改造线缆长度为13.66km。</w:t>
                  </w:r>
                </w:p>
              </w:tc>
              <w:tc>
                <w:tcPr>
                  <w:tcW w:w="755" w:type="dxa"/>
                  <w:tcBorders>
                    <w:tl2br w:val="nil"/>
                    <w:tr2bl w:val="nil"/>
                  </w:tcBorders>
                  <w:noWrap w:val="0"/>
                  <w:vAlign w:val="center"/>
                </w:tcPr>
                <w:p w14:paraId="296AF12E">
                  <w:pPr>
                    <w:pStyle w:val="37"/>
                    <w:bidi w:val="0"/>
                    <w:rPr>
                      <w:rFonts w:hint="default"/>
                      <w:color w:val="auto"/>
                      <w:lang w:val="en-US" w:eastAsia="zh-CN"/>
                    </w:rPr>
                  </w:pPr>
                  <w:r>
                    <w:rPr>
                      <w:rFonts w:hint="eastAsia"/>
                      <w:color w:val="auto"/>
                      <w:lang w:val="en-US" w:eastAsia="zh-CN"/>
                    </w:rPr>
                    <w:t>改扩建</w:t>
                  </w:r>
                </w:p>
              </w:tc>
            </w:tr>
            <w:tr w14:paraId="228124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885" w:hRule="atLeast"/>
                <w:jc w:val="center"/>
              </w:trPr>
              <w:tc>
                <w:tcPr>
                  <w:tcW w:w="426" w:type="dxa"/>
                  <w:vMerge w:val="continue"/>
                  <w:tcBorders>
                    <w:tl2br w:val="nil"/>
                    <w:tr2bl w:val="nil"/>
                  </w:tcBorders>
                  <w:noWrap w:val="0"/>
                  <w:vAlign w:val="center"/>
                </w:tcPr>
                <w:p w14:paraId="5693B4A9">
                  <w:pPr>
                    <w:keepNext w:val="0"/>
                    <w:keepLines w:val="0"/>
                    <w:pageBreakBefore w:val="0"/>
                    <w:widowControl/>
                    <w:kinsoku/>
                    <w:wordWrap/>
                    <w:overflowPunct/>
                    <w:topLinePunct w:val="0"/>
                    <w:autoSpaceDE w:val="0"/>
                    <w:autoSpaceDN w:val="0"/>
                    <w:bidi w:val="0"/>
                    <w:adjustRightInd w:val="0"/>
                    <w:snapToGrid w:val="0"/>
                    <w:textAlignment w:val="baseline"/>
                    <w:rPr>
                      <w:rFonts w:hint="eastAsia"/>
                      <w:color w:val="auto"/>
                    </w:rPr>
                  </w:pPr>
                </w:p>
              </w:tc>
              <w:tc>
                <w:tcPr>
                  <w:tcW w:w="1103" w:type="dxa"/>
                  <w:gridSpan w:val="2"/>
                  <w:tcBorders>
                    <w:tl2br w:val="nil"/>
                    <w:tr2bl w:val="nil"/>
                  </w:tcBorders>
                  <w:noWrap w:val="0"/>
                  <w:vAlign w:val="center"/>
                </w:tcPr>
                <w:p w14:paraId="56CB6C8A">
                  <w:pPr>
                    <w:pStyle w:val="37"/>
                    <w:bidi w:val="0"/>
                    <w:rPr>
                      <w:rFonts w:hint="default"/>
                      <w:color w:val="auto"/>
                      <w:lang w:val="en-US" w:eastAsia="zh-CN"/>
                    </w:rPr>
                  </w:pPr>
                  <w:r>
                    <w:rPr>
                      <w:rFonts w:hint="eastAsia"/>
                      <w:color w:val="auto"/>
                      <w:lang w:val="en-US" w:eastAsia="zh-CN"/>
                    </w:rPr>
                    <w:t>主变压器</w:t>
                  </w:r>
                </w:p>
              </w:tc>
              <w:tc>
                <w:tcPr>
                  <w:tcW w:w="5640" w:type="dxa"/>
                  <w:tcBorders>
                    <w:tl2br w:val="nil"/>
                    <w:tr2bl w:val="nil"/>
                  </w:tcBorders>
                  <w:noWrap/>
                  <w:vAlign w:val="center"/>
                </w:tcPr>
                <w:p w14:paraId="0643538A">
                  <w:pPr>
                    <w:pStyle w:val="37"/>
                    <w:bidi w:val="0"/>
                    <w:rPr>
                      <w:rFonts w:hint="eastAsia"/>
                      <w:color w:val="auto"/>
                      <w:lang w:val="en-US" w:eastAsia="zh-CN"/>
                    </w:rPr>
                  </w:pPr>
                  <w:r>
                    <w:rPr>
                      <w:rFonts w:hint="eastAsia"/>
                      <w:color w:val="auto"/>
                      <w:lang w:val="en-US" w:eastAsia="zh-CN"/>
                    </w:rPr>
                    <w:t>在原有的西泽风电场升压站配套建设安装1台30MVA的主变，配套建设</w:t>
                  </w:r>
                  <w:r>
                    <w:rPr>
                      <w:rFonts w:hint="eastAsia"/>
                      <w:color w:val="auto"/>
                      <w:lang w:eastAsia="zh-CN"/>
                    </w:rPr>
                    <w:t>GIS、SVG舱、35kV设备及二次设备</w:t>
                  </w:r>
                  <w:r>
                    <w:rPr>
                      <w:rFonts w:hint="eastAsia"/>
                      <w:color w:val="auto"/>
                      <w:lang w:val="en-US" w:eastAsia="zh-CN"/>
                    </w:rPr>
                    <w:t>等，2#主变压器将35kV的电能升压至220kV后，通过预留的220kV出线间隔以1回220kV出线接入500kV多乐变。</w:t>
                  </w:r>
                </w:p>
              </w:tc>
              <w:tc>
                <w:tcPr>
                  <w:tcW w:w="755" w:type="dxa"/>
                  <w:tcBorders>
                    <w:tl2br w:val="nil"/>
                    <w:tr2bl w:val="nil"/>
                  </w:tcBorders>
                  <w:noWrap/>
                  <w:vAlign w:val="center"/>
                </w:tcPr>
                <w:p w14:paraId="178EC9F2">
                  <w:pPr>
                    <w:pStyle w:val="37"/>
                    <w:bidi w:val="0"/>
                    <w:rPr>
                      <w:rFonts w:hint="eastAsia"/>
                      <w:color w:val="auto"/>
                      <w:lang w:val="en-US" w:eastAsia="zh-CN"/>
                    </w:rPr>
                  </w:pPr>
                  <w:r>
                    <w:rPr>
                      <w:rFonts w:hint="eastAsia"/>
                      <w:color w:val="auto"/>
                      <w:lang w:val="en-US" w:eastAsia="zh-CN"/>
                    </w:rPr>
                    <w:t>新建</w:t>
                  </w:r>
                </w:p>
              </w:tc>
            </w:tr>
            <w:tr w14:paraId="0571FD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98" w:hRule="atLeast"/>
                <w:jc w:val="center"/>
              </w:trPr>
              <w:tc>
                <w:tcPr>
                  <w:tcW w:w="426" w:type="dxa"/>
                  <w:vMerge w:val="continue"/>
                  <w:tcBorders>
                    <w:tl2br w:val="nil"/>
                    <w:tr2bl w:val="nil"/>
                  </w:tcBorders>
                  <w:noWrap w:val="0"/>
                  <w:vAlign w:val="center"/>
                </w:tcPr>
                <w:p w14:paraId="1A84B7D7">
                  <w:pPr>
                    <w:keepNext w:val="0"/>
                    <w:keepLines w:val="0"/>
                    <w:pageBreakBefore w:val="0"/>
                    <w:widowControl/>
                    <w:kinsoku/>
                    <w:wordWrap/>
                    <w:overflowPunct/>
                    <w:topLinePunct w:val="0"/>
                    <w:autoSpaceDE w:val="0"/>
                    <w:autoSpaceDN w:val="0"/>
                    <w:bidi w:val="0"/>
                    <w:adjustRightInd w:val="0"/>
                    <w:snapToGrid w:val="0"/>
                    <w:textAlignment w:val="baseline"/>
                    <w:rPr>
                      <w:rFonts w:hint="eastAsia"/>
                      <w:color w:val="auto"/>
                    </w:rPr>
                  </w:pPr>
                </w:p>
              </w:tc>
              <w:tc>
                <w:tcPr>
                  <w:tcW w:w="1103" w:type="dxa"/>
                  <w:gridSpan w:val="2"/>
                  <w:tcBorders>
                    <w:tl2br w:val="nil"/>
                    <w:tr2bl w:val="nil"/>
                  </w:tcBorders>
                  <w:noWrap w:val="0"/>
                  <w:vAlign w:val="center"/>
                </w:tcPr>
                <w:p w14:paraId="6E2BFA72">
                  <w:pPr>
                    <w:pStyle w:val="37"/>
                    <w:bidi w:val="0"/>
                    <w:rPr>
                      <w:rFonts w:hint="eastAsia"/>
                      <w:color w:val="auto"/>
                    </w:rPr>
                  </w:pPr>
                  <w:r>
                    <w:rPr>
                      <w:color w:val="auto"/>
                      <w:lang w:val="en-US" w:eastAsia="zh-CN"/>
                    </w:rPr>
                    <w:t>道路工程</w:t>
                  </w:r>
                </w:p>
              </w:tc>
              <w:tc>
                <w:tcPr>
                  <w:tcW w:w="5640" w:type="dxa"/>
                  <w:tcBorders>
                    <w:tl2br w:val="nil"/>
                    <w:tr2bl w:val="nil"/>
                  </w:tcBorders>
                  <w:noWrap/>
                  <w:vAlign w:val="center"/>
                </w:tcPr>
                <w:p w14:paraId="08DFB7A3">
                  <w:pPr>
                    <w:pStyle w:val="37"/>
                    <w:bidi w:val="0"/>
                    <w:rPr>
                      <w:rFonts w:hint="default"/>
                      <w:color w:val="auto"/>
                      <w:lang w:val="en-US"/>
                    </w:rPr>
                  </w:pPr>
                  <w:r>
                    <w:rPr>
                      <w:rFonts w:hint="eastAsia"/>
                      <w:color w:val="auto"/>
                      <w:lang w:val="en-US" w:eastAsia="zh-CN"/>
                    </w:rPr>
                    <w:t>风电场新建道路总长约为346m，道路路面宽4.5m，路基宽5.5m，拟采用30cm厚石渣路面。其余部分均依托现有道路。</w:t>
                  </w:r>
                </w:p>
              </w:tc>
              <w:tc>
                <w:tcPr>
                  <w:tcW w:w="755" w:type="dxa"/>
                  <w:tcBorders>
                    <w:tl2br w:val="nil"/>
                    <w:tr2bl w:val="nil"/>
                  </w:tcBorders>
                  <w:noWrap/>
                  <w:vAlign w:val="center"/>
                </w:tcPr>
                <w:p w14:paraId="0652B521">
                  <w:pPr>
                    <w:pStyle w:val="37"/>
                    <w:bidi w:val="0"/>
                    <w:rPr>
                      <w:rFonts w:hint="eastAsia"/>
                      <w:color w:val="auto"/>
                      <w:lang w:val="en-US" w:eastAsia="zh-CN"/>
                    </w:rPr>
                  </w:pPr>
                  <w:r>
                    <w:rPr>
                      <w:rFonts w:hint="eastAsia"/>
                      <w:color w:val="auto"/>
                      <w:lang w:val="en-US" w:eastAsia="zh-CN"/>
                    </w:rPr>
                    <w:t>新建</w:t>
                  </w:r>
                </w:p>
              </w:tc>
            </w:tr>
            <w:tr w14:paraId="1D7524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426" w:type="dxa"/>
                  <w:vMerge w:val="restart"/>
                  <w:tcBorders>
                    <w:tl2br w:val="nil"/>
                    <w:tr2bl w:val="nil"/>
                  </w:tcBorders>
                  <w:noWrap w:val="0"/>
                  <w:vAlign w:val="center"/>
                </w:tcPr>
                <w:p w14:paraId="7F8A1877">
                  <w:pPr>
                    <w:pStyle w:val="37"/>
                    <w:bidi w:val="0"/>
                    <w:rPr>
                      <w:rFonts w:hint="eastAsia"/>
                      <w:color w:val="auto"/>
                    </w:rPr>
                  </w:pPr>
                  <w:r>
                    <w:rPr>
                      <w:rFonts w:hint="eastAsia"/>
                      <w:color w:val="auto"/>
                      <w:lang w:val="en-US" w:eastAsia="zh-CN"/>
                    </w:rPr>
                    <w:t>公用工程</w:t>
                  </w:r>
                </w:p>
              </w:tc>
              <w:tc>
                <w:tcPr>
                  <w:tcW w:w="426" w:type="dxa"/>
                  <w:vMerge w:val="restart"/>
                  <w:tcBorders>
                    <w:tl2br w:val="nil"/>
                    <w:tr2bl w:val="nil"/>
                  </w:tcBorders>
                  <w:noWrap w:val="0"/>
                  <w:vAlign w:val="center"/>
                </w:tcPr>
                <w:p w14:paraId="5ADFC3C5">
                  <w:pPr>
                    <w:pStyle w:val="37"/>
                    <w:bidi w:val="0"/>
                    <w:rPr>
                      <w:rFonts w:hint="eastAsia"/>
                      <w:color w:val="auto"/>
                    </w:rPr>
                  </w:pPr>
                  <w:r>
                    <w:rPr>
                      <w:color w:val="auto"/>
                      <w:lang w:val="en-US" w:eastAsia="zh-CN"/>
                    </w:rPr>
                    <w:t>供电</w:t>
                  </w:r>
                </w:p>
              </w:tc>
              <w:tc>
                <w:tcPr>
                  <w:tcW w:w="677" w:type="dxa"/>
                  <w:tcBorders>
                    <w:tl2br w:val="nil"/>
                    <w:tr2bl w:val="nil"/>
                  </w:tcBorders>
                  <w:noWrap w:val="0"/>
                  <w:vAlign w:val="center"/>
                </w:tcPr>
                <w:p w14:paraId="2DF8770F">
                  <w:pPr>
                    <w:pStyle w:val="37"/>
                    <w:bidi w:val="0"/>
                    <w:rPr>
                      <w:rFonts w:hint="eastAsia"/>
                      <w:color w:val="auto"/>
                    </w:rPr>
                  </w:pPr>
                  <w:r>
                    <w:rPr>
                      <w:color w:val="auto"/>
                      <w:lang w:val="en-US" w:eastAsia="zh-CN"/>
                    </w:rPr>
                    <w:t>施工期</w:t>
                  </w:r>
                </w:p>
              </w:tc>
              <w:tc>
                <w:tcPr>
                  <w:tcW w:w="5640" w:type="dxa"/>
                  <w:tcBorders>
                    <w:tl2br w:val="nil"/>
                    <w:tr2bl w:val="nil"/>
                  </w:tcBorders>
                  <w:noWrap/>
                  <w:vAlign w:val="center"/>
                </w:tcPr>
                <w:p w14:paraId="509BF18F">
                  <w:pPr>
                    <w:pStyle w:val="37"/>
                    <w:bidi w:val="0"/>
                    <w:rPr>
                      <w:rFonts w:hint="eastAsia"/>
                      <w:color w:val="auto"/>
                    </w:rPr>
                  </w:pPr>
                  <w:r>
                    <w:rPr>
                      <w:rFonts w:hint="eastAsia"/>
                      <w:color w:val="auto"/>
                      <w:lang w:val="en-US" w:eastAsia="zh-CN"/>
                    </w:rPr>
                    <w:t>采用就近接取电源与移动式柴油发电机相结合的供电方式</w:t>
                  </w:r>
                </w:p>
              </w:tc>
              <w:tc>
                <w:tcPr>
                  <w:tcW w:w="755" w:type="dxa"/>
                  <w:tcBorders>
                    <w:tl2br w:val="nil"/>
                    <w:tr2bl w:val="nil"/>
                  </w:tcBorders>
                  <w:noWrap/>
                  <w:vAlign w:val="center"/>
                </w:tcPr>
                <w:p w14:paraId="4C30E1D4">
                  <w:pPr>
                    <w:pStyle w:val="37"/>
                    <w:bidi w:val="0"/>
                    <w:rPr>
                      <w:rFonts w:hint="default"/>
                      <w:color w:val="auto"/>
                      <w:lang w:val="en-US" w:eastAsia="zh-CN"/>
                    </w:rPr>
                  </w:pPr>
                  <w:r>
                    <w:rPr>
                      <w:rFonts w:hint="eastAsia"/>
                      <w:color w:val="auto"/>
                      <w:lang w:val="en-US" w:eastAsia="zh-CN"/>
                    </w:rPr>
                    <w:t>/</w:t>
                  </w:r>
                </w:p>
              </w:tc>
            </w:tr>
            <w:tr w14:paraId="52460C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426" w:type="dxa"/>
                  <w:vMerge w:val="continue"/>
                  <w:tcBorders>
                    <w:tl2br w:val="nil"/>
                    <w:tr2bl w:val="nil"/>
                  </w:tcBorders>
                  <w:noWrap w:val="0"/>
                  <w:vAlign w:val="center"/>
                </w:tcPr>
                <w:p w14:paraId="63C28E8A">
                  <w:pPr>
                    <w:keepNext w:val="0"/>
                    <w:keepLines w:val="0"/>
                    <w:pageBreakBefore w:val="0"/>
                    <w:widowControl/>
                    <w:kinsoku/>
                    <w:wordWrap/>
                    <w:overflowPunct/>
                    <w:topLinePunct w:val="0"/>
                    <w:autoSpaceDE w:val="0"/>
                    <w:autoSpaceDN w:val="0"/>
                    <w:bidi w:val="0"/>
                    <w:adjustRightInd w:val="0"/>
                    <w:snapToGrid w:val="0"/>
                    <w:textAlignment w:val="baseline"/>
                    <w:rPr>
                      <w:rFonts w:hint="eastAsia"/>
                      <w:color w:val="auto"/>
                    </w:rPr>
                  </w:pPr>
                </w:p>
              </w:tc>
              <w:tc>
                <w:tcPr>
                  <w:tcW w:w="426" w:type="dxa"/>
                  <w:vMerge w:val="continue"/>
                  <w:tcBorders>
                    <w:tl2br w:val="nil"/>
                    <w:tr2bl w:val="nil"/>
                  </w:tcBorders>
                  <w:noWrap w:val="0"/>
                  <w:vAlign w:val="center"/>
                </w:tcPr>
                <w:p w14:paraId="52ADBDC7">
                  <w:pPr>
                    <w:keepNext w:val="0"/>
                    <w:keepLines w:val="0"/>
                    <w:pageBreakBefore w:val="0"/>
                    <w:widowControl/>
                    <w:kinsoku/>
                    <w:wordWrap/>
                    <w:overflowPunct/>
                    <w:topLinePunct w:val="0"/>
                    <w:autoSpaceDE w:val="0"/>
                    <w:autoSpaceDN w:val="0"/>
                    <w:bidi w:val="0"/>
                    <w:adjustRightInd w:val="0"/>
                    <w:snapToGrid w:val="0"/>
                    <w:textAlignment w:val="baseline"/>
                    <w:rPr>
                      <w:rFonts w:hint="eastAsia"/>
                      <w:color w:val="auto"/>
                    </w:rPr>
                  </w:pPr>
                </w:p>
              </w:tc>
              <w:tc>
                <w:tcPr>
                  <w:tcW w:w="677" w:type="dxa"/>
                  <w:tcBorders>
                    <w:tl2br w:val="nil"/>
                    <w:tr2bl w:val="nil"/>
                  </w:tcBorders>
                  <w:noWrap w:val="0"/>
                  <w:vAlign w:val="center"/>
                </w:tcPr>
                <w:p w14:paraId="7F484435">
                  <w:pPr>
                    <w:pStyle w:val="37"/>
                    <w:bidi w:val="0"/>
                    <w:rPr>
                      <w:rFonts w:hint="eastAsia"/>
                      <w:color w:val="auto"/>
                    </w:rPr>
                  </w:pPr>
                  <w:r>
                    <w:rPr>
                      <w:color w:val="auto"/>
                      <w:lang w:val="en-US" w:eastAsia="zh-CN"/>
                    </w:rPr>
                    <w:t>运营期</w:t>
                  </w:r>
                </w:p>
              </w:tc>
              <w:tc>
                <w:tcPr>
                  <w:tcW w:w="5640" w:type="dxa"/>
                  <w:tcBorders>
                    <w:tl2br w:val="nil"/>
                    <w:tr2bl w:val="nil"/>
                  </w:tcBorders>
                  <w:noWrap w:val="0"/>
                  <w:vAlign w:val="center"/>
                </w:tcPr>
                <w:p w14:paraId="200BE1D9">
                  <w:pPr>
                    <w:pStyle w:val="37"/>
                    <w:bidi w:val="0"/>
                    <w:rPr>
                      <w:rFonts w:hint="eastAsia"/>
                      <w:color w:val="auto"/>
                    </w:rPr>
                  </w:pPr>
                  <w:r>
                    <w:rPr>
                      <w:color w:val="auto"/>
                      <w:lang w:val="en-US" w:eastAsia="zh-CN"/>
                    </w:rPr>
                    <w:t>运营期逆变器供电由自身供电，其他用</w:t>
                  </w:r>
                  <w:r>
                    <w:rPr>
                      <w:rFonts w:hint="eastAsia"/>
                      <w:color w:val="auto"/>
                      <w:lang w:val="en-US" w:eastAsia="zh-CN"/>
                    </w:rPr>
                    <w:t>电</w:t>
                  </w:r>
                  <w:r>
                    <w:rPr>
                      <w:color w:val="auto"/>
                      <w:lang w:val="en-US" w:eastAsia="zh-CN"/>
                    </w:rPr>
                    <w:t>由附近电网接入。</w:t>
                  </w:r>
                </w:p>
              </w:tc>
              <w:tc>
                <w:tcPr>
                  <w:tcW w:w="755" w:type="dxa"/>
                  <w:tcBorders>
                    <w:tl2br w:val="nil"/>
                    <w:tr2bl w:val="nil"/>
                  </w:tcBorders>
                  <w:noWrap w:val="0"/>
                  <w:vAlign w:val="center"/>
                </w:tcPr>
                <w:p w14:paraId="7AE9BB81">
                  <w:pPr>
                    <w:pStyle w:val="37"/>
                    <w:bidi w:val="0"/>
                    <w:rPr>
                      <w:rFonts w:hint="default"/>
                      <w:color w:val="auto"/>
                      <w:lang w:val="en-US" w:eastAsia="zh-CN"/>
                    </w:rPr>
                  </w:pPr>
                  <w:r>
                    <w:rPr>
                      <w:rFonts w:hint="eastAsia"/>
                      <w:color w:val="auto"/>
                      <w:lang w:val="en-US" w:eastAsia="zh-CN"/>
                    </w:rPr>
                    <w:t>/</w:t>
                  </w:r>
                </w:p>
              </w:tc>
            </w:tr>
            <w:tr w14:paraId="47F4CEA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426" w:type="dxa"/>
                  <w:vMerge w:val="continue"/>
                  <w:tcBorders>
                    <w:tl2br w:val="nil"/>
                    <w:tr2bl w:val="nil"/>
                  </w:tcBorders>
                  <w:noWrap w:val="0"/>
                  <w:vAlign w:val="center"/>
                </w:tcPr>
                <w:p w14:paraId="4035A172">
                  <w:pPr>
                    <w:keepNext w:val="0"/>
                    <w:keepLines w:val="0"/>
                    <w:pageBreakBefore w:val="0"/>
                    <w:widowControl/>
                    <w:kinsoku/>
                    <w:wordWrap/>
                    <w:overflowPunct/>
                    <w:topLinePunct w:val="0"/>
                    <w:autoSpaceDE w:val="0"/>
                    <w:autoSpaceDN w:val="0"/>
                    <w:bidi w:val="0"/>
                    <w:adjustRightInd w:val="0"/>
                    <w:snapToGrid w:val="0"/>
                    <w:textAlignment w:val="baseline"/>
                    <w:rPr>
                      <w:rFonts w:hint="eastAsia"/>
                      <w:color w:val="auto"/>
                    </w:rPr>
                  </w:pPr>
                </w:p>
              </w:tc>
              <w:tc>
                <w:tcPr>
                  <w:tcW w:w="426" w:type="dxa"/>
                  <w:vMerge w:val="restart"/>
                  <w:tcBorders>
                    <w:tl2br w:val="nil"/>
                    <w:tr2bl w:val="nil"/>
                  </w:tcBorders>
                  <w:noWrap w:val="0"/>
                  <w:vAlign w:val="center"/>
                </w:tcPr>
                <w:p w14:paraId="437C7AA2">
                  <w:pPr>
                    <w:pStyle w:val="37"/>
                    <w:bidi w:val="0"/>
                    <w:rPr>
                      <w:rFonts w:hint="eastAsia"/>
                      <w:color w:val="auto"/>
                    </w:rPr>
                  </w:pPr>
                  <w:r>
                    <w:rPr>
                      <w:color w:val="auto"/>
                      <w:lang w:val="en-US" w:eastAsia="zh-CN"/>
                    </w:rPr>
                    <w:t>供水</w:t>
                  </w:r>
                </w:p>
              </w:tc>
              <w:tc>
                <w:tcPr>
                  <w:tcW w:w="677" w:type="dxa"/>
                  <w:tcBorders>
                    <w:tl2br w:val="nil"/>
                    <w:tr2bl w:val="nil"/>
                  </w:tcBorders>
                  <w:noWrap w:val="0"/>
                  <w:vAlign w:val="center"/>
                </w:tcPr>
                <w:p w14:paraId="7D43F406">
                  <w:pPr>
                    <w:pStyle w:val="37"/>
                    <w:bidi w:val="0"/>
                    <w:rPr>
                      <w:rFonts w:hint="eastAsia"/>
                      <w:color w:val="auto"/>
                    </w:rPr>
                  </w:pPr>
                  <w:r>
                    <w:rPr>
                      <w:rFonts w:hint="eastAsia"/>
                      <w:color w:val="auto"/>
                      <w:lang w:val="en-US" w:eastAsia="zh-CN"/>
                    </w:rPr>
                    <w:t>施工期</w:t>
                  </w:r>
                </w:p>
              </w:tc>
              <w:tc>
                <w:tcPr>
                  <w:tcW w:w="5640" w:type="dxa"/>
                  <w:tcBorders>
                    <w:tl2br w:val="nil"/>
                    <w:tr2bl w:val="nil"/>
                  </w:tcBorders>
                  <w:noWrap/>
                  <w:vAlign w:val="center"/>
                </w:tcPr>
                <w:p w14:paraId="24CFAC5C">
                  <w:pPr>
                    <w:pStyle w:val="37"/>
                    <w:bidi w:val="0"/>
                    <w:rPr>
                      <w:rFonts w:hint="default"/>
                      <w:color w:val="auto"/>
                      <w:lang w:val="en-US"/>
                    </w:rPr>
                  </w:pPr>
                  <w:r>
                    <w:rPr>
                      <w:rFonts w:hint="eastAsia"/>
                      <w:color w:val="auto"/>
                      <w:lang w:val="en-US" w:eastAsia="zh-CN"/>
                    </w:rPr>
                    <w:t>拟采用水车供给。</w:t>
                  </w:r>
                </w:p>
              </w:tc>
              <w:tc>
                <w:tcPr>
                  <w:tcW w:w="755" w:type="dxa"/>
                  <w:tcBorders>
                    <w:tl2br w:val="nil"/>
                    <w:tr2bl w:val="nil"/>
                  </w:tcBorders>
                  <w:noWrap/>
                  <w:vAlign w:val="center"/>
                </w:tcPr>
                <w:p w14:paraId="7970C814">
                  <w:pPr>
                    <w:pStyle w:val="37"/>
                    <w:bidi w:val="0"/>
                    <w:rPr>
                      <w:rFonts w:hint="default"/>
                      <w:color w:val="auto"/>
                      <w:lang w:val="en-US" w:eastAsia="zh-CN"/>
                    </w:rPr>
                  </w:pPr>
                  <w:r>
                    <w:rPr>
                      <w:rFonts w:hint="eastAsia"/>
                      <w:color w:val="auto"/>
                      <w:lang w:val="en-US" w:eastAsia="zh-CN"/>
                    </w:rPr>
                    <w:t>/</w:t>
                  </w:r>
                </w:p>
              </w:tc>
            </w:tr>
            <w:tr w14:paraId="627D4E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426" w:type="dxa"/>
                  <w:vMerge w:val="continue"/>
                  <w:tcBorders>
                    <w:tl2br w:val="nil"/>
                    <w:tr2bl w:val="nil"/>
                  </w:tcBorders>
                  <w:noWrap w:val="0"/>
                  <w:vAlign w:val="center"/>
                </w:tcPr>
                <w:p w14:paraId="0F1EFC36">
                  <w:pPr>
                    <w:keepNext w:val="0"/>
                    <w:keepLines w:val="0"/>
                    <w:pageBreakBefore w:val="0"/>
                    <w:widowControl/>
                    <w:kinsoku/>
                    <w:wordWrap/>
                    <w:overflowPunct/>
                    <w:topLinePunct w:val="0"/>
                    <w:autoSpaceDE w:val="0"/>
                    <w:autoSpaceDN w:val="0"/>
                    <w:bidi w:val="0"/>
                    <w:adjustRightInd w:val="0"/>
                    <w:snapToGrid w:val="0"/>
                    <w:textAlignment w:val="baseline"/>
                    <w:rPr>
                      <w:rFonts w:hint="eastAsia"/>
                      <w:color w:val="auto"/>
                    </w:rPr>
                  </w:pPr>
                </w:p>
              </w:tc>
              <w:tc>
                <w:tcPr>
                  <w:tcW w:w="426" w:type="dxa"/>
                  <w:vMerge w:val="continue"/>
                  <w:tcBorders>
                    <w:tl2br w:val="nil"/>
                    <w:tr2bl w:val="nil"/>
                  </w:tcBorders>
                  <w:noWrap w:val="0"/>
                  <w:vAlign w:val="center"/>
                </w:tcPr>
                <w:p w14:paraId="1E28C1D6">
                  <w:pPr>
                    <w:keepNext w:val="0"/>
                    <w:keepLines w:val="0"/>
                    <w:pageBreakBefore w:val="0"/>
                    <w:widowControl/>
                    <w:kinsoku/>
                    <w:wordWrap/>
                    <w:overflowPunct/>
                    <w:topLinePunct w:val="0"/>
                    <w:autoSpaceDE w:val="0"/>
                    <w:autoSpaceDN w:val="0"/>
                    <w:bidi w:val="0"/>
                    <w:adjustRightInd w:val="0"/>
                    <w:snapToGrid w:val="0"/>
                    <w:textAlignment w:val="baseline"/>
                    <w:rPr>
                      <w:rFonts w:hint="eastAsia"/>
                      <w:color w:val="auto"/>
                    </w:rPr>
                  </w:pPr>
                </w:p>
              </w:tc>
              <w:tc>
                <w:tcPr>
                  <w:tcW w:w="677" w:type="dxa"/>
                  <w:tcBorders>
                    <w:tl2br w:val="nil"/>
                    <w:tr2bl w:val="nil"/>
                  </w:tcBorders>
                  <w:noWrap w:val="0"/>
                  <w:vAlign w:val="center"/>
                </w:tcPr>
                <w:p w14:paraId="045AF07C">
                  <w:pPr>
                    <w:pStyle w:val="37"/>
                    <w:bidi w:val="0"/>
                    <w:rPr>
                      <w:rFonts w:hint="eastAsia"/>
                      <w:color w:val="auto"/>
                    </w:rPr>
                  </w:pPr>
                  <w:r>
                    <w:rPr>
                      <w:rFonts w:hint="eastAsia"/>
                      <w:color w:val="auto"/>
                      <w:lang w:val="en-US" w:eastAsia="zh-CN"/>
                    </w:rPr>
                    <w:t>运营期</w:t>
                  </w:r>
                </w:p>
              </w:tc>
              <w:tc>
                <w:tcPr>
                  <w:tcW w:w="5640" w:type="dxa"/>
                  <w:tcBorders>
                    <w:tl2br w:val="nil"/>
                    <w:tr2bl w:val="nil"/>
                  </w:tcBorders>
                  <w:noWrap/>
                  <w:vAlign w:val="center"/>
                </w:tcPr>
                <w:p w14:paraId="3CC19E2D">
                  <w:pPr>
                    <w:pStyle w:val="37"/>
                    <w:bidi w:val="0"/>
                    <w:rPr>
                      <w:rFonts w:hint="default" w:eastAsia="宋体"/>
                      <w:color w:val="auto"/>
                      <w:lang w:val="en-US" w:eastAsia="zh-CN"/>
                    </w:rPr>
                  </w:pPr>
                  <w:r>
                    <w:rPr>
                      <w:rFonts w:hint="eastAsia"/>
                      <w:color w:val="auto"/>
                      <w:lang w:val="en-US" w:eastAsia="zh-CN"/>
                    </w:rPr>
                    <w:t>运营期依托西泽风电场升压站运营无供水需求。</w:t>
                  </w:r>
                </w:p>
              </w:tc>
              <w:tc>
                <w:tcPr>
                  <w:tcW w:w="755" w:type="dxa"/>
                  <w:tcBorders>
                    <w:tl2br w:val="nil"/>
                    <w:tr2bl w:val="nil"/>
                  </w:tcBorders>
                  <w:noWrap/>
                  <w:vAlign w:val="center"/>
                </w:tcPr>
                <w:p w14:paraId="4D78EF51">
                  <w:pPr>
                    <w:pStyle w:val="37"/>
                    <w:bidi w:val="0"/>
                    <w:rPr>
                      <w:rFonts w:hint="default"/>
                      <w:color w:val="auto"/>
                      <w:lang w:val="en-US" w:eastAsia="zh-CN"/>
                    </w:rPr>
                  </w:pPr>
                  <w:r>
                    <w:rPr>
                      <w:rFonts w:hint="eastAsia"/>
                      <w:color w:val="auto"/>
                      <w:lang w:val="en-US" w:eastAsia="zh-CN"/>
                    </w:rPr>
                    <w:t>依托</w:t>
                  </w:r>
                </w:p>
              </w:tc>
            </w:tr>
            <w:tr w14:paraId="6E8A2C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26" w:type="dxa"/>
                  <w:vMerge w:val="continue"/>
                  <w:tcBorders>
                    <w:tl2br w:val="nil"/>
                    <w:tr2bl w:val="nil"/>
                  </w:tcBorders>
                  <w:noWrap w:val="0"/>
                  <w:vAlign w:val="center"/>
                </w:tcPr>
                <w:p w14:paraId="4AD26E9A">
                  <w:pPr>
                    <w:keepNext w:val="0"/>
                    <w:keepLines w:val="0"/>
                    <w:pageBreakBefore w:val="0"/>
                    <w:widowControl/>
                    <w:kinsoku/>
                    <w:wordWrap/>
                    <w:overflowPunct/>
                    <w:topLinePunct w:val="0"/>
                    <w:autoSpaceDE w:val="0"/>
                    <w:autoSpaceDN w:val="0"/>
                    <w:bidi w:val="0"/>
                    <w:adjustRightInd w:val="0"/>
                    <w:snapToGrid w:val="0"/>
                    <w:textAlignment w:val="baseline"/>
                    <w:rPr>
                      <w:rFonts w:hint="eastAsia"/>
                      <w:color w:val="auto"/>
                    </w:rPr>
                  </w:pPr>
                </w:p>
              </w:tc>
              <w:tc>
                <w:tcPr>
                  <w:tcW w:w="1103" w:type="dxa"/>
                  <w:gridSpan w:val="2"/>
                  <w:tcBorders>
                    <w:tl2br w:val="nil"/>
                    <w:tr2bl w:val="nil"/>
                  </w:tcBorders>
                  <w:noWrap w:val="0"/>
                  <w:vAlign w:val="center"/>
                </w:tcPr>
                <w:p w14:paraId="7EEABED9">
                  <w:pPr>
                    <w:pStyle w:val="37"/>
                    <w:bidi w:val="0"/>
                    <w:rPr>
                      <w:rFonts w:hint="eastAsia"/>
                      <w:color w:val="auto"/>
                    </w:rPr>
                  </w:pPr>
                  <w:r>
                    <w:rPr>
                      <w:color w:val="auto"/>
                      <w:lang w:val="en-US" w:eastAsia="zh-CN"/>
                    </w:rPr>
                    <w:t>排水</w:t>
                  </w:r>
                </w:p>
              </w:tc>
              <w:tc>
                <w:tcPr>
                  <w:tcW w:w="5640" w:type="dxa"/>
                  <w:tcBorders>
                    <w:tl2br w:val="nil"/>
                    <w:tr2bl w:val="nil"/>
                  </w:tcBorders>
                  <w:noWrap w:val="0"/>
                  <w:vAlign w:val="center"/>
                </w:tcPr>
                <w:p w14:paraId="482DC41A">
                  <w:pPr>
                    <w:pStyle w:val="37"/>
                    <w:bidi w:val="0"/>
                    <w:rPr>
                      <w:rFonts w:hint="default" w:eastAsia="宋体"/>
                      <w:color w:val="auto"/>
                      <w:lang w:val="en-US" w:eastAsia="zh-CN"/>
                    </w:rPr>
                  </w:pPr>
                  <w:r>
                    <w:rPr>
                      <w:rFonts w:hint="eastAsia"/>
                      <w:color w:val="auto"/>
                      <w:lang w:val="en-US" w:eastAsia="zh-CN"/>
                    </w:rPr>
                    <w:t>项目运营期无废水产生。</w:t>
                  </w:r>
                </w:p>
              </w:tc>
              <w:tc>
                <w:tcPr>
                  <w:tcW w:w="755" w:type="dxa"/>
                  <w:tcBorders>
                    <w:tl2br w:val="nil"/>
                    <w:tr2bl w:val="nil"/>
                  </w:tcBorders>
                  <w:noWrap w:val="0"/>
                  <w:vAlign w:val="center"/>
                </w:tcPr>
                <w:p w14:paraId="6430D913">
                  <w:pPr>
                    <w:pStyle w:val="37"/>
                    <w:bidi w:val="0"/>
                    <w:rPr>
                      <w:rFonts w:hint="eastAsia"/>
                      <w:color w:val="auto"/>
                      <w:lang w:val="en-US" w:eastAsia="zh-CN"/>
                    </w:rPr>
                  </w:pPr>
                  <w:r>
                    <w:rPr>
                      <w:rFonts w:hint="eastAsia"/>
                      <w:color w:val="auto"/>
                      <w:lang w:val="en-US" w:eastAsia="zh-CN"/>
                    </w:rPr>
                    <w:t>/</w:t>
                  </w:r>
                </w:p>
              </w:tc>
            </w:tr>
            <w:tr w14:paraId="2CE318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426" w:type="dxa"/>
                  <w:vMerge w:val="continue"/>
                  <w:tcBorders>
                    <w:tl2br w:val="nil"/>
                    <w:tr2bl w:val="nil"/>
                  </w:tcBorders>
                  <w:noWrap w:val="0"/>
                  <w:vAlign w:val="center"/>
                </w:tcPr>
                <w:p w14:paraId="1A1CF8AF">
                  <w:pPr>
                    <w:keepNext w:val="0"/>
                    <w:keepLines w:val="0"/>
                    <w:pageBreakBefore w:val="0"/>
                    <w:widowControl/>
                    <w:kinsoku/>
                    <w:wordWrap/>
                    <w:overflowPunct/>
                    <w:topLinePunct w:val="0"/>
                    <w:autoSpaceDE w:val="0"/>
                    <w:autoSpaceDN w:val="0"/>
                    <w:bidi w:val="0"/>
                    <w:adjustRightInd w:val="0"/>
                    <w:snapToGrid w:val="0"/>
                    <w:textAlignment w:val="baseline"/>
                    <w:rPr>
                      <w:rFonts w:hint="eastAsia"/>
                      <w:color w:val="auto"/>
                    </w:rPr>
                  </w:pPr>
                </w:p>
              </w:tc>
              <w:tc>
                <w:tcPr>
                  <w:tcW w:w="1103" w:type="dxa"/>
                  <w:gridSpan w:val="2"/>
                  <w:tcBorders>
                    <w:tl2br w:val="nil"/>
                    <w:tr2bl w:val="nil"/>
                  </w:tcBorders>
                  <w:noWrap w:val="0"/>
                  <w:vAlign w:val="center"/>
                </w:tcPr>
                <w:p w14:paraId="36A73FE4">
                  <w:pPr>
                    <w:pStyle w:val="37"/>
                    <w:bidi w:val="0"/>
                    <w:rPr>
                      <w:rFonts w:hint="default"/>
                      <w:color w:val="auto"/>
                      <w:lang w:val="en-US"/>
                    </w:rPr>
                  </w:pPr>
                  <w:r>
                    <w:rPr>
                      <w:color w:val="auto"/>
                      <w:lang w:val="en-US" w:eastAsia="zh-CN"/>
                    </w:rPr>
                    <w:t>施工</w:t>
                  </w:r>
                  <w:r>
                    <w:rPr>
                      <w:rFonts w:hint="eastAsia"/>
                      <w:color w:val="auto"/>
                      <w:lang w:val="en-US" w:eastAsia="zh-CN"/>
                    </w:rPr>
                    <w:t>生产生活区</w:t>
                  </w:r>
                </w:p>
              </w:tc>
              <w:tc>
                <w:tcPr>
                  <w:tcW w:w="5640" w:type="dxa"/>
                  <w:tcBorders>
                    <w:tl2br w:val="nil"/>
                    <w:tr2bl w:val="nil"/>
                  </w:tcBorders>
                  <w:noWrap/>
                  <w:vAlign w:val="center"/>
                </w:tcPr>
                <w:p w14:paraId="69C1235C">
                  <w:pPr>
                    <w:pStyle w:val="37"/>
                    <w:bidi w:val="0"/>
                    <w:rPr>
                      <w:rFonts w:hint="eastAsia"/>
                      <w:color w:val="auto"/>
                    </w:rPr>
                  </w:pPr>
                  <w:r>
                    <w:rPr>
                      <w:rFonts w:hint="eastAsia"/>
                      <w:color w:val="auto"/>
                      <w:lang w:val="en-US" w:eastAsia="zh-CN"/>
                    </w:rPr>
                    <w:t>项目不设施工生产生活区，施工人员住宿依托附近民房，项目外购商品混凝土，施工现场及材料堆存依托风机平台，在XZB04风机平台设置1座仓库，每台风机在风机平台空地设置1座100m</w:t>
                  </w:r>
                  <w:r>
                    <w:rPr>
                      <w:rFonts w:hint="eastAsia"/>
                      <w:color w:val="auto"/>
                      <w:vertAlign w:val="superscript"/>
                      <w:lang w:val="en-US" w:eastAsia="zh-CN"/>
                    </w:rPr>
                    <w:t>3</w:t>
                  </w:r>
                  <w:r>
                    <w:rPr>
                      <w:rFonts w:hint="eastAsia"/>
                      <w:color w:val="auto"/>
                      <w:lang w:val="en-US" w:eastAsia="zh-CN"/>
                    </w:rPr>
                    <w:t>临时表土堆场，并采取覆盖措施，此外，不单独设置其他堆场及施工场地。</w:t>
                  </w:r>
                </w:p>
              </w:tc>
              <w:tc>
                <w:tcPr>
                  <w:tcW w:w="755" w:type="dxa"/>
                  <w:tcBorders>
                    <w:tl2br w:val="nil"/>
                    <w:tr2bl w:val="nil"/>
                  </w:tcBorders>
                  <w:noWrap/>
                  <w:vAlign w:val="center"/>
                </w:tcPr>
                <w:p w14:paraId="06F80A18">
                  <w:pPr>
                    <w:pStyle w:val="37"/>
                    <w:bidi w:val="0"/>
                    <w:rPr>
                      <w:rFonts w:hint="eastAsia"/>
                      <w:color w:val="auto"/>
                      <w:lang w:val="en-US" w:eastAsia="zh-CN"/>
                    </w:rPr>
                  </w:pPr>
                  <w:r>
                    <w:rPr>
                      <w:rFonts w:hint="eastAsia"/>
                      <w:color w:val="auto"/>
                      <w:lang w:val="en-US" w:eastAsia="zh-CN"/>
                    </w:rPr>
                    <w:t>新建</w:t>
                  </w:r>
                </w:p>
              </w:tc>
            </w:tr>
            <w:tr w14:paraId="417FE3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26" w:type="dxa"/>
                  <w:vMerge w:val="restart"/>
                  <w:tcBorders>
                    <w:tl2br w:val="nil"/>
                    <w:tr2bl w:val="nil"/>
                  </w:tcBorders>
                  <w:noWrap w:val="0"/>
                  <w:vAlign w:val="center"/>
                </w:tcPr>
                <w:p w14:paraId="45B964B1">
                  <w:pPr>
                    <w:pStyle w:val="37"/>
                    <w:bidi w:val="0"/>
                    <w:rPr>
                      <w:rFonts w:hint="eastAsia"/>
                      <w:color w:val="auto"/>
                    </w:rPr>
                  </w:pPr>
                  <w:r>
                    <w:rPr>
                      <w:color w:val="auto"/>
                      <w:lang w:val="en-US" w:eastAsia="zh-CN"/>
                    </w:rPr>
                    <w:t>环保工程</w:t>
                  </w:r>
                </w:p>
              </w:tc>
              <w:tc>
                <w:tcPr>
                  <w:tcW w:w="1103" w:type="dxa"/>
                  <w:gridSpan w:val="2"/>
                  <w:tcBorders>
                    <w:tl2br w:val="nil"/>
                    <w:tr2bl w:val="nil"/>
                  </w:tcBorders>
                  <w:noWrap w:val="0"/>
                  <w:vAlign w:val="center"/>
                </w:tcPr>
                <w:p w14:paraId="008E1A64">
                  <w:pPr>
                    <w:pStyle w:val="37"/>
                    <w:bidi w:val="0"/>
                    <w:rPr>
                      <w:rFonts w:hint="eastAsia"/>
                      <w:color w:val="auto"/>
                    </w:rPr>
                  </w:pPr>
                  <w:r>
                    <w:rPr>
                      <w:color w:val="auto"/>
                      <w:lang w:val="en-US" w:eastAsia="zh-CN"/>
                    </w:rPr>
                    <w:t>事故油池</w:t>
                  </w:r>
                </w:p>
              </w:tc>
              <w:tc>
                <w:tcPr>
                  <w:tcW w:w="5640" w:type="dxa"/>
                  <w:tcBorders>
                    <w:tl2br w:val="nil"/>
                    <w:tr2bl w:val="nil"/>
                  </w:tcBorders>
                  <w:noWrap/>
                  <w:vAlign w:val="center"/>
                </w:tcPr>
                <w:p w14:paraId="75261646">
                  <w:pPr>
                    <w:pStyle w:val="37"/>
                    <w:bidi w:val="0"/>
                    <w:rPr>
                      <w:rFonts w:hint="eastAsia"/>
                      <w:color w:val="auto"/>
                    </w:rPr>
                  </w:pPr>
                  <w:r>
                    <w:rPr>
                      <w:rFonts w:hint="eastAsia"/>
                      <w:color w:val="auto"/>
                      <w:lang w:val="en-US" w:eastAsia="zh-CN"/>
                    </w:rPr>
                    <w:t>升压站新建主编设置1座35m</w:t>
                  </w:r>
                  <w:r>
                    <w:rPr>
                      <w:rFonts w:hint="eastAsia"/>
                      <w:color w:val="auto"/>
                      <w:vertAlign w:val="superscript"/>
                      <w:lang w:val="en-US" w:eastAsia="zh-CN"/>
                    </w:rPr>
                    <w:t>2</w:t>
                  </w:r>
                  <w:r>
                    <w:rPr>
                      <w:rFonts w:hint="eastAsia"/>
                      <w:color w:val="auto"/>
                      <w:lang w:val="en-US" w:eastAsia="zh-CN"/>
                    </w:rPr>
                    <w:t>事故油池，每个箱式变压器设置1座3m</w:t>
                  </w:r>
                  <w:r>
                    <w:rPr>
                      <w:rFonts w:hint="eastAsia"/>
                      <w:color w:val="auto"/>
                      <w:vertAlign w:val="superscript"/>
                      <w:lang w:val="en-US" w:eastAsia="zh-CN"/>
                    </w:rPr>
                    <w:t>2</w:t>
                  </w:r>
                  <w:r>
                    <w:rPr>
                      <w:rFonts w:hint="eastAsia"/>
                      <w:color w:val="auto"/>
                      <w:lang w:val="en-US" w:eastAsia="zh-CN"/>
                    </w:rPr>
                    <w:t>事故油池，共设置4座。事故油池须进行防渗处理，按重点防渗区进行建设，防渗选择2mm厚高密度聚乙烯，或至少2mm厚的其他人工材料，渗透系数≤10</w:t>
                  </w:r>
                  <w:r>
                    <w:rPr>
                      <w:rFonts w:hint="eastAsia"/>
                      <w:color w:val="auto"/>
                      <w:vertAlign w:val="superscript"/>
                      <w:lang w:val="en-US" w:eastAsia="zh-CN"/>
                    </w:rPr>
                    <w:t>-10</w:t>
                  </w:r>
                  <w:r>
                    <w:rPr>
                      <w:rFonts w:hint="eastAsia"/>
                      <w:color w:val="auto"/>
                      <w:lang w:val="en-US" w:eastAsia="zh-CN"/>
                    </w:rPr>
                    <w:t>cm/s。依托的危废贮存间采用环氧树脂和丙烯酸防渗。</w:t>
                  </w:r>
                </w:p>
              </w:tc>
              <w:tc>
                <w:tcPr>
                  <w:tcW w:w="755" w:type="dxa"/>
                  <w:tcBorders>
                    <w:tl2br w:val="nil"/>
                    <w:tr2bl w:val="nil"/>
                  </w:tcBorders>
                  <w:noWrap/>
                  <w:vAlign w:val="center"/>
                </w:tcPr>
                <w:p w14:paraId="7D7A793B">
                  <w:pPr>
                    <w:pStyle w:val="37"/>
                    <w:bidi w:val="0"/>
                    <w:rPr>
                      <w:rFonts w:hint="eastAsia"/>
                      <w:color w:val="auto"/>
                      <w:lang w:val="en-US" w:eastAsia="zh-CN"/>
                    </w:rPr>
                  </w:pPr>
                  <w:r>
                    <w:rPr>
                      <w:rFonts w:hint="eastAsia"/>
                      <w:color w:val="auto"/>
                      <w:lang w:val="en-US" w:eastAsia="zh-CN"/>
                    </w:rPr>
                    <w:t>新建</w:t>
                  </w:r>
                </w:p>
              </w:tc>
            </w:tr>
            <w:tr w14:paraId="36F091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426" w:type="dxa"/>
                  <w:vMerge w:val="continue"/>
                  <w:tcBorders>
                    <w:tl2br w:val="nil"/>
                    <w:tr2bl w:val="nil"/>
                  </w:tcBorders>
                  <w:noWrap w:val="0"/>
                  <w:vAlign w:val="center"/>
                </w:tcPr>
                <w:p w14:paraId="6DE8AA70">
                  <w:pPr>
                    <w:pStyle w:val="37"/>
                    <w:bidi w:val="0"/>
                    <w:rPr>
                      <w:color w:val="auto"/>
                      <w:lang w:val="en-US" w:eastAsia="zh-CN"/>
                    </w:rPr>
                  </w:pPr>
                </w:p>
              </w:tc>
              <w:tc>
                <w:tcPr>
                  <w:tcW w:w="1103" w:type="dxa"/>
                  <w:gridSpan w:val="2"/>
                  <w:tcBorders>
                    <w:tl2br w:val="nil"/>
                    <w:tr2bl w:val="nil"/>
                  </w:tcBorders>
                  <w:noWrap w:val="0"/>
                  <w:vAlign w:val="center"/>
                </w:tcPr>
                <w:p w14:paraId="0FC502C2">
                  <w:pPr>
                    <w:pStyle w:val="37"/>
                    <w:bidi w:val="0"/>
                    <w:rPr>
                      <w:rFonts w:hint="default"/>
                      <w:color w:val="auto"/>
                      <w:lang w:val="en-US" w:eastAsia="zh-CN"/>
                    </w:rPr>
                  </w:pPr>
                  <w:r>
                    <w:rPr>
                      <w:rFonts w:hint="eastAsia"/>
                      <w:color w:val="auto"/>
                      <w:lang w:val="en-US" w:eastAsia="zh-CN"/>
                    </w:rPr>
                    <w:t>标识标牌</w:t>
                  </w:r>
                </w:p>
              </w:tc>
              <w:tc>
                <w:tcPr>
                  <w:tcW w:w="5640" w:type="dxa"/>
                  <w:tcBorders>
                    <w:tl2br w:val="nil"/>
                    <w:tr2bl w:val="nil"/>
                  </w:tcBorders>
                  <w:noWrap/>
                  <w:vAlign w:val="center"/>
                </w:tcPr>
                <w:p w14:paraId="30FC9911">
                  <w:pPr>
                    <w:pStyle w:val="37"/>
                    <w:bidi w:val="0"/>
                    <w:rPr>
                      <w:rFonts w:hint="default"/>
                      <w:color w:val="auto"/>
                      <w:lang w:val="en-US" w:eastAsia="zh-CN"/>
                    </w:rPr>
                  </w:pPr>
                  <w:r>
                    <w:rPr>
                      <w:rFonts w:hint="eastAsia"/>
                      <w:color w:val="auto"/>
                      <w:lang w:val="en-US" w:eastAsia="zh-CN"/>
                    </w:rPr>
                    <w:t>更换完善升压站现有的一体化污水处理设备的标识标牌</w:t>
                  </w:r>
                </w:p>
              </w:tc>
              <w:tc>
                <w:tcPr>
                  <w:tcW w:w="755" w:type="dxa"/>
                  <w:tcBorders>
                    <w:tl2br w:val="nil"/>
                    <w:tr2bl w:val="nil"/>
                  </w:tcBorders>
                  <w:noWrap/>
                  <w:vAlign w:val="center"/>
                </w:tcPr>
                <w:p w14:paraId="779274F6">
                  <w:pPr>
                    <w:pStyle w:val="37"/>
                    <w:bidi w:val="0"/>
                    <w:rPr>
                      <w:rFonts w:hint="default"/>
                      <w:color w:val="auto"/>
                      <w:lang w:val="en-US" w:eastAsia="zh-CN"/>
                    </w:rPr>
                  </w:pPr>
                  <w:r>
                    <w:rPr>
                      <w:rFonts w:hint="eastAsia"/>
                      <w:color w:val="auto"/>
                      <w:lang w:val="en-US" w:eastAsia="zh-CN"/>
                    </w:rPr>
                    <w:t>新带老</w:t>
                  </w:r>
                </w:p>
              </w:tc>
            </w:tr>
            <w:tr w14:paraId="7786AA6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426" w:type="dxa"/>
                  <w:tcBorders>
                    <w:tl2br w:val="nil"/>
                    <w:tr2bl w:val="nil"/>
                  </w:tcBorders>
                  <w:noWrap w:val="0"/>
                  <w:vAlign w:val="center"/>
                </w:tcPr>
                <w:p w14:paraId="2BA44C9A">
                  <w:pPr>
                    <w:pStyle w:val="37"/>
                    <w:bidi w:val="0"/>
                    <w:rPr>
                      <w:rFonts w:hint="eastAsia"/>
                      <w:color w:val="auto"/>
                    </w:rPr>
                  </w:pPr>
                  <w:r>
                    <w:rPr>
                      <w:color w:val="auto"/>
                      <w:lang w:val="en-US" w:eastAsia="zh-CN"/>
                    </w:rPr>
                    <w:t>依托工程</w:t>
                  </w:r>
                </w:p>
              </w:tc>
              <w:tc>
                <w:tcPr>
                  <w:tcW w:w="1103" w:type="dxa"/>
                  <w:gridSpan w:val="2"/>
                  <w:tcBorders>
                    <w:tl2br w:val="nil"/>
                    <w:tr2bl w:val="nil"/>
                  </w:tcBorders>
                  <w:noWrap w:val="0"/>
                  <w:vAlign w:val="center"/>
                </w:tcPr>
                <w:p w14:paraId="41058916">
                  <w:pPr>
                    <w:pStyle w:val="37"/>
                    <w:bidi w:val="0"/>
                    <w:rPr>
                      <w:rFonts w:hint="eastAsia" w:eastAsia="宋体"/>
                      <w:color w:val="auto"/>
                      <w:lang w:val="en-US" w:eastAsia="zh-CN"/>
                    </w:rPr>
                  </w:pPr>
                  <w:r>
                    <w:rPr>
                      <w:rFonts w:hint="eastAsia"/>
                      <w:color w:val="auto"/>
                      <w:lang w:val="en-US" w:eastAsia="zh-CN"/>
                    </w:rPr>
                    <w:t>升压站</w:t>
                  </w:r>
                </w:p>
              </w:tc>
              <w:tc>
                <w:tcPr>
                  <w:tcW w:w="5640" w:type="dxa"/>
                  <w:tcBorders>
                    <w:tl2br w:val="nil"/>
                    <w:tr2bl w:val="nil"/>
                  </w:tcBorders>
                  <w:noWrap w:val="0"/>
                  <w:vAlign w:val="center"/>
                </w:tcPr>
                <w:p w14:paraId="29FBBC9C">
                  <w:pPr>
                    <w:pStyle w:val="37"/>
                    <w:bidi w:val="0"/>
                    <w:rPr>
                      <w:rFonts w:hint="eastAsia"/>
                      <w:color w:val="auto"/>
                      <w:lang w:val="en-US" w:eastAsia="zh-CN"/>
                    </w:rPr>
                  </w:pPr>
                  <w:r>
                    <w:rPr>
                      <w:rFonts w:hint="eastAsia"/>
                      <w:color w:val="auto"/>
                      <w:lang w:val="en-US" w:eastAsia="zh-CN"/>
                    </w:rPr>
                    <w:t>项目运营期人员与现有西泽风电场为同一批，不新增劳动定员</w:t>
                  </w:r>
                  <w:r>
                    <w:rPr>
                      <w:color w:val="auto"/>
                      <w:lang w:val="en-US" w:eastAsia="zh-CN"/>
                    </w:rPr>
                    <w:t>。</w:t>
                  </w:r>
                  <w:r>
                    <w:rPr>
                      <w:rFonts w:hint="eastAsia"/>
                      <w:color w:val="auto"/>
                      <w:lang w:val="en-US" w:eastAsia="zh-CN"/>
                    </w:rPr>
                    <w:t>项目危废收集依托一期建设的22</w:t>
                  </w:r>
                  <w:r>
                    <w:rPr>
                      <w:color w:val="auto"/>
                      <w:lang w:val="en-US" w:eastAsia="zh-CN"/>
                    </w:rPr>
                    <w:t>0k</w:t>
                  </w:r>
                  <w:r>
                    <w:rPr>
                      <w:rFonts w:hint="eastAsia"/>
                      <w:color w:val="auto"/>
                      <w:lang w:val="en-US" w:eastAsia="zh-CN"/>
                    </w:rPr>
                    <w:t>V</w:t>
                  </w:r>
                  <w:r>
                    <w:rPr>
                      <w:color w:val="auto"/>
                      <w:lang w:val="en-US" w:eastAsia="zh-CN"/>
                    </w:rPr>
                    <w:t>升压</w:t>
                  </w:r>
                  <w:r>
                    <w:rPr>
                      <w:rFonts w:hint="eastAsia"/>
                      <w:color w:val="auto"/>
                      <w:lang w:val="en-US" w:eastAsia="zh-CN"/>
                    </w:rPr>
                    <w:t>站</w:t>
                  </w:r>
                  <w:r>
                    <w:rPr>
                      <w:color w:val="auto"/>
                      <w:lang w:val="en-US" w:eastAsia="zh-CN"/>
                    </w:rPr>
                    <w:t>设置</w:t>
                  </w:r>
                  <w:r>
                    <w:rPr>
                      <w:rFonts w:hint="eastAsia"/>
                      <w:color w:val="auto"/>
                      <w:lang w:val="en-US" w:eastAsia="zh-CN"/>
                    </w:rPr>
                    <w:t>的</w:t>
                  </w:r>
                  <w:r>
                    <w:rPr>
                      <w:color w:val="auto"/>
                      <w:lang w:val="en-US" w:eastAsia="zh-CN"/>
                    </w:rPr>
                    <w:t>危废</w:t>
                  </w:r>
                  <w:r>
                    <w:rPr>
                      <w:rFonts w:hint="eastAsia"/>
                      <w:color w:val="auto"/>
                      <w:lang w:val="en-US" w:eastAsia="zh-CN"/>
                    </w:rPr>
                    <w:t>贮存库</w:t>
                  </w:r>
                  <w:r>
                    <w:rPr>
                      <w:color w:val="auto"/>
                      <w:lang w:val="en-US" w:eastAsia="zh-CN"/>
                    </w:rPr>
                    <w:t>。</w:t>
                  </w:r>
                  <w:r>
                    <w:rPr>
                      <w:rFonts w:hint="eastAsia"/>
                      <w:color w:val="auto"/>
                      <w:lang w:val="en-US" w:eastAsia="zh-CN"/>
                    </w:rPr>
                    <w:t>项目一般废物收集依托一期建设的22</w:t>
                  </w:r>
                  <w:r>
                    <w:rPr>
                      <w:color w:val="auto"/>
                      <w:lang w:val="en-US" w:eastAsia="zh-CN"/>
                    </w:rPr>
                    <w:t>0k</w:t>
                  </w:r>
                  <w:r>
                    <w:rPr>
                      <w:rFonts w:hint="eastAsia"/>
                      <w:color w:val="auto"/>
                      <w:lang w:val="en-US" w:eastAsia="zh-CN"/>
                    </w:rPr>
                    <w:t>V</w:t>
                  </w:r>
                  <w:r>
                    <w:rPr>
                      <w:color w:val="auto"/>
                      <w:lang w:val="en-US" w:eastAsia="zh-CN"/>
                    </w:rPr>
                    <w:t>升压设置</w:t>
                  </w:r>
                  <w:r>
                    <w:rPr>
                      <w:rFonts w:hint="eastAsia"/>
                      <w:color w:val="auto"/>
                      <w:lang w:val="en-US" w:eastAsia="zh-CN"/>
                    </w:rPr>
                    <w:t>的</w:t>
                  </w:r>
                  <w:r>
                    <w:rPr>
                      <w:color w:val="auto"/>
                      <w:lang w:val="en-US" w:eastAsia="zh-CN"/>
                    </w:rPr>
                    <w:t>废电器组件收储间。</w:t>
                  </w:r>
                </w:p>
              </w:tc>
              <w:tc>
                <w:tcPr>
                  <w:tcW w:w="755" w:type="dxa"/>
                  <w:tcBorders>
                    <w:tl2br w:val="nil"/>
                    <w:tr2bl w:val="nil"/>
                  </w:tcBorders>
                  <w:noWrap w:val="0"/>
                  <w:vAlign w:val="center"/>
                </w:tcPr>
                <w:p w14:paraId="59938DD4">
                  <w:pPr>
                    <w:pStyle w:val="37"/>
                    <w:bidi w:val="0"/>
                    <w:rPr>
                      <w:rFonts w:hint="eastAsia"/>
                      <w:color w:val="auto"/>
                      <w:lang w:val="en-US" w:eastAsia="zh-CN"/>
                    </w:rPr>
                  </w:pPr>
                  <w:r>
                    <w:rPr>
                      <w:rFonts w:hint="eastAsia"/>
                      <w:color w:val="auto"/>
                      <w:lang w:val="en-US" w:eastAsia="zh-CN"/>
                    </w:rPr>
                    <w:t>依托</w:t>
                  </w:r>
                </w:p>
              </w:tc>
            </w:tr>
          </w:tbl>
          <w:p w14:paraId="44BDF7FF">
            <w:pPr>
              <w:pStyle w:val="27"/>
              <w:pageBreakBefore w:val="0"/>
              <w:kinsoku/>
              <w:wordWrap/>
              <w:overflowPunct/>
              <w:bidi w:val="0"/>
              <w:rPr>
                <w:rFonts w:hint="eastAsia"/>
                <w:color w:val="auto"/>
              </w:rPr>
            </w:pPr>
          </w:p>
          <w:p w14:paraId="599F7A47">
            <w:pPr>
              <w:bidi w:val="0"/>
              <w:rPr>
                <w:rFonts w:hint="default" w:eastAsia="宋体"/>
                <w:color w:val="auto"/>
                <w:lang w:val="en-US" w:eastAsia="zh-CN"/>
              </w:rPr>
            </w:pPr>
            <w:r>
              <w:rPr>
                <w:rFonts w:hint="eastAsia"/>
                <w:color w:val="auto"/>
              </w:rPr>
              <w:t>项目</w:t>
            </w:r>
            <w:r>
              <w:rPr>
                <w:rFonts w:hint="eastAsia"/>
                <w:color w:val="auto"/>
                <w:lang w:val="en-US" w:eastAsia="zh-CN"/>
              </w:rPr>
              <w:t>经济技术指标</w:t>
            </w:r>
            <w:r>
              <w:rPr>
                <w:rFonts w:hint="eastAsia"/>
                <w:color w:val="auto"/>
              </w:rPr>
              <w:t>见表2-</w:t>
            </w:r>
            <w:r>
              <w:rPr>
                <w:rFonts w:hint="eastAsia"/>
                <w:color w:val="auto"/>
                <w:lang w:val="en-US" w:eastAsia="zh-CN"/>
              </w:rPr>
              <w:t>2，工程特性表见表2-3。</w:t>
            </w:r>
          </w:p>
          <w:p w14:paraId="7CAFFDD1">
            <w:pPr>
              <w:pStyle w:val="27"/>
              <w:pageBreakBefore w:val="0"/>
              <w:kinsoku/>
              <w:wordWrap/>
              <w:overflowPunct/>
              <w:bidi w:val="0"/>
              <w:rPr>
                <w:rFonts w:hint="eastAsia"/>
                <w:color w:val="auto"/>
                <w:lang w:val="en-US" w:eastAsia="zh-CN"/>
              </w:rPr>
            </w:pPr>
            <w:r>
              <w:rPr>
                <w:rFonts w:hint="eastAsia"/>
                <w:color w:val="auto"/>
              </w:rPr>
              <w:t>表2-2</w:t>
            </w:r>
            <w:r>
              <w:rPr>
                <w:rFonts w:hint="eastAsia"/>
                <w:color w:val="auto"/>
                <w:lang w:val="en-US" w:eastAsia="zh-CN"/>
              </w:rPr>
              <w:t xml:space="preserve">  </w:t>
            </w:r>
            <w:r>
              <w:rPr>
                <w:rFonts w:hint="eastAsia"/>
                <w:color w:val="auto"/>
              </w:rPr>
              <w:t>经济技术指标</w:t>
            </w:r>
            <w:r>
              <w:rPr>
                <w:rFonts w:hint="eastAsia"/>
                <w:color w:val="auto"/>
                <w:lang w:val="en-US" w:eastAsia="zh-CN"/>
              </w:rPr>
              <w:t>表</w:t>
            </w:r>
          </w:p>
          <w:tbl>
            <w:tblPr>
              <w:tblStyle w:val="26"/>
              <w:tblW w:w="4998" w:type="pct"/>
              <w:tblInd w:w="1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265"/>
              <w:gridCol w:w="1060"/>
              <w:gridCol w:w="1396"/>
              <w:gridCol w:w="699"/>
              <w:gridCol w:w="1631"/>
              <w:gridCol w:w="931"/>
              <w:gridCol w:w="1054"/>
            </w:tblGrid>
            <w:tr w14:paraId="7DAA090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87" w:type="pct"/>
                  <w:tcBorders>
                    <w:tl2br w:val="nil"/>
                    <w:tr2bl w:val="nil"/>
                  </w:tcBorders>
                  <w:vAlign w:val="center"/>
                </w:tcPr>
                <w:p w14:paraId="3E8F54AB">
                  <w:pPr>
                    <w:pStyle w:val="37"/>
                    <w:bidi w:val="0"/>
                    <w:rPr>
                      <w:color w:val="auto"/>
                    </w:rPr>
                  </w:pPr>
                  <w:r>
                    <w:rPr>
                      <w:color w:val="auto"/>
                    </w:rPr>
                    <w:t>风电场名称</w:t>
                  </w:r>
                </w:p>
              </w:tc>
              <w:tc>
                <w:tcPr>
                  <w:tcW w:w="1527" w:type="pct"/>
                  <w:gridSpan w:val="2"/>
                  <w:tcBorders>
                    <w:tl2br w:val="nil"/>
                    <w:tr2bl w:val="nil"/>
                  </w:tcBorders>
                  <w:vAlign w:val="center"/>
                </w:tcPr>
                <w:p w14:paraId="3A63B823">
                  <w:pPr>
                    <w:pStyle w:val="37"/>
                    <w:bidi w:val="0"/>
                    <w:rPr>
                      <w:color w:val="auto"/>
                    </w:rPr>
                  </w:pPr>
                  <w:r>
                    <w:rPr>
                      <w:color w:val="auto"/>
                    </w:rPr>
                    <w:t>西泽风电场（二期）</w:t>
                  </w:r>
                </w:p>
              </w:tc>
              <w:tc>
                <w:tcPr>
                  <w:tcW w:w="1449" w:type="pct"/>
                  <w:gridSpan w:val="2"/>
                  <w:tcBorders>
                    <w:tl2br w:val="nil"/>
                    <w:tr2bl w:val="nil"/>
                  </w:tcBorders>
                  <w:vAlign w:val="center"/>
                </w:tcPr>
                <w:p w14:paraId="0E3CFDBB">
                  <w:pPr>
                    <w:pStyle w:val="37"/>
                    <w:bidi w:val="0"/>
                    <w:rPr>
                      <w:color w:val="auto"/>
                    </w:rPr>
                  </w:pPr>
                  <w:r>
                    <w:rPr>
                      <w:color w:val="auto"/>
                    </w:rPr>
                    <w:t>风电机组设备价格</w:t>
                  </w:r>
                </w:p>
              </w:tc>
              <w:tc>
                <w:tcPr>
                  <w:tcW w:w="579" w:type="pct"/>
                  <w:tcBorders>
                    <w:tl2br w:val="nil"/>
                    <w:tr2bl w:val="nil"/>
                  </w:tcBorders>
                  <w:vAlign w:val="center"/>
                </w:tcPr>
                <w:p w14:paraId="0F7C257E">
                  <w:pPr>
                    <w:pStyle w:val="37"/>
                    <w:bidi w:val="0"/>
                    <w:rPr>
                      <w:color w:val="auto"/>
                    </w:rPr>
                  </w:pPr>
                  <w:r>
                    <w:rPr>
                      <w:color w:val="auto"/>
                    </w:rPr>
                    <w:t>元/kW</w:t>
                  </w:r>
                </w:p>
              </w:tc>
              <w:tc>
                <w:tcPr>
                  <w:tcW w:w="656" w:type="pct"/>
                  <w:tcBorders>
                    <w:tl2br w:val="nil"/>
                    <w:tr2bl w:val="nil"/>
                  </w:tcBorders>
                  <w:vAlign w:val="center"/>
                </w:tcPr>
                <w:p w14:paraId="22C01F15">
                  <w:pPr>
                    <w:pStyle w:val="37"/>
                    <w:bidi w:val="0"/>
                    <w:rPr>
                      <w:rFonts w:hint="default"/>
                      <w:color w:val="auto"/>
                      <w:lang w:val="en-US" w:eastAsia="zh-CN"/>
                    </w:rPr>
                  </w:pPr>
                  <w:r>
                    <w:rPr>
                      <w:rFonts w:hint="eastAsia"/>
                      <w:color w:val="auto"/>
                      <w:lang w:val="en-US" w:eastAsia="zh-CN"/>
                    </w:rPr>
                    <w:t>1450</w:t>
                  </w:r>
                </w:p>
              </w:tc>
            </w:tr>
            <w:tr w14:paraId="355356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87" w:type="pct"/>
                  <w:tcBorders>
                    <w:tl2br w:val="nil"/>
                    <w:tr2bl w:val="nil"/>
                  </w:tcBorders>
                  <w:vAlign w:val="center"/>
                </w:tcPr>
                <w:p w14:paraId="351D95B4">
                  <w:pPr>
                    <w:pStyle w:val="37"/>
                    <w:bidi w:val="0"/>
                    <w:rPr>
                      <w:color w:val="auto"/>
                    </w:rPr>
                  </w:pPr>
                  <w:r>
                    <w:rPr>
                      <w:color w:val="auto"/>
                    </w:rPr>
                    <w:t>建设地点</w:t>
                  </w:r>
                </w:p>
              </w:tc>
              <w:tc>
                <w:tcPr>
                  <w:tcW w:w="1527" w:type="pct"/>
                  <w:gridSpan w:val="2"/>
                  <w:tcBorders>
                    <w:tl2br w:val="nil"/>
                    <w:tr2bl w:val="nil"/>
                  </w:tcBorders>
                  <w:vAlign w:val="center"/>
                </w:tcPr>
                <w:p w14:paraId="7118D90F">
                  <w:pPr>
                    <w:pStyle w:val="37"/>
                    <w:bidi w:val="0"/>
                    <w:rPr>
                      <w:color w:val="auto"/>
                    </w:rPr>
                  </w:pPr>
                  <w:r>
                    <w:rPr>
                      <w:color w:val="auto"/>
                    </w:rPr>
                    <w:t>云</w:t>
                  </w:r>
                  <w:r>
                    <w:rPr>
                      <w:rFonts w:hint="eastAsia"/>
                      <w:color w:val="auto"/>
                      <w:lang w:eastAsia="zh-CN"/>
                    </w:rPr>
                    <w:t>南省</w:t>
                  </w:r>
                  <w:r>
                    <w:rPr>
                      <w:color w:val="auto"/>
                    </w:rPr>
                    <w:t>曲靖市宣威市</w:t>
                  </w:r>
                </w:p>
              </w:tc>
              <w:tc>
                <w:tcPr>
                  <w:tcW w:w="1449" w:type="pct"/>
                  <w:gridSpan w:val="2"/>
                  <w:tcBorders>
                    <w:tl2br w:val="nil"/>
                    <w:tr2bl w:val="nil"/>
                  </w:tcBorders>
                  <w:vAlign w:val="center"/>
                </w:tcPr>
                <w:p w14:paraId="24A5808B">
                  <w:pPr>
                    <w:pStyle w:val="37"/>
                    <w:bidi w:val="0"/>
                    <w:rPr>
                      <w:color w:val="auto"/>
                    </w:rPr>
                  </w:pPr>
                  <w:r>
                    <w:rPr>
                      <w:color w:val="auto"/>
                    </w:rPr>
                    <w:t>塔筒（架）设备价格</w:t>
                  </w:r>
                </w:p>
              </w:tc>
              <w:tc>
                <w:tcPr>
                  <w:tcW w:w="579" w:type="pct"/>
                  <w:tcBorders>
                    <w:tl2br w:val="nil"/>
                    <w:tr2bl w:val="nil"/>
                  </w:tcBorders>
                  <w:vAlign w:val="center"/>
                </w:tcPr>
                <w:p w14:paraId="049E7321">
                  <w:pPr>
                    <w:pStyle w:val="37"/>
                    <w:bidi w:val="0"/>
                    <w:rPr>
                      <w:color w:val="auto"/>
                    </w:rPr>
                  </w:pPr>
                  <w:r>
                    <w:rPr>
                      <w:color w:val="auto"/>
                    </w:rPr>
                    <w:t>万元/t</w:t>
                  </w:r>
                </w:p>
              </w:tc>
              <w:tc>
                <w:tcPr>
                  <w:tcW w:w="656" w:type="pct"/>
                  <w:tcBorders>
                    <w:tl2br w:val="nil"/>
                    <w:tr2bl w:val="nil"/>
                  </w:tcBorders>
                  <w:vAlign w:val="center"/>
                </w:tcPr>
                <w:p w14:paraId="74AFE928">
                  <w:pPr>
                    <w:pStyle w:val="37"/>
                    <w:bidi w:val="0"/>
                    <w:rPr>
                      <w:rFonts w:hint="default"/>
                      <w:color w:val="auto"/>
                      <w:lang w:val="en-US" w:eastAsia="zh-CN"/>
                    </w:rPr>
                  </w:pPr>
                  <w:r>
                    <w:rPr>
                      <w:color w:val="auto"/>
                    </w:rPr>
                    <w:t>0.</w:t>
                  </w:r>
                  <w:r>
                    <w:rPr>
                      <w:rFonts w:hint="eastAsia"/>
                      <w:color w:val="auto"/>
                      <w:lang w:val="en-US" w:eastAsia="zh-CN"/>
                    </w:rPr>
                    <w:t>85</w:t>
                  </w:r>
                </w:p>
              </w:tc>
            </w:tr>
            <w:tr w14:paraId="2BE295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7" w:hRule="atLeast"/>
              </w:trPr>
              <w:tc>
                <w:tcPr>
                  <w:tcW w:w="787" w:type="pct"/>
                  <w:tcBorders>
                    <w:tl2br w:val="nil"/>
                    <w:tr2bl w:val="nil"/>
                  </w:tcBorders>
                  <w:vAlign w:val="center"/>
                </w:tcPr>
                <w:p w14:paraId="1F5DDC1F">
                  <w:pPr>
                    <w:pStyle w:val="37"/>
                    <w:bidi w:val="0"/>
                    <w:rPr>
                      <w:color w:val="auto"/>
                    </w:rPr>
                  </w:pPr>
                  <w:r>
                    <w:rPr>
                      <w:color w:val="auto"/>
                    </w:rPr>
                    <w:t>设计单位</w:t>
                  </w:r>
                </w:p>
              </w:tc>
              <w:tc>
                <w:tcPr>
                  <w:tcW w:w="1527" w:type="pct"/>
                  <w:gridSpan w:val="2"/>
                  <w:tcBorders>
                    <w:tl2br w:val="nil"/>
                    <w:tr2bl w:val="nil"/>
                  </w:tcBorders>
                  <w:vAlign w:val="center"/>
                </w:tcPr>
                <w:p w14:paraId="4754A5E7">
                  <w:pPr>
                    <w:pStyle w:val="37"/>
                    <w:bidi w:val="0"/>
                    <w:rPr>
                      <w:color w:val="auto"/>
                    </w:rPr>
                  </w:pPr>
                  <w:r>
                    <w:rPr>
                      <w:color w:val="auto"/>
                    </w:rPr>
                    <w:t>中国能源建设集团云南省电力设计院有限公司</w:t>
                  </w:r>
                </w:p>
              </w:tc>
              <w:tc>
                <w:tcPr>
                  <w:tcW w:w="1449" w:type="pct"/>
                  <w:gridSpan w:val="2"/>
                  <w:tcBorders>
                    <w:tl2br w:val="nil"/>
                    <w:tr2bl w:val="nil"/>
                  </w:tcBorders>
                  <w:vAlign w:val="center"/>
                </w:tcPr>
                <w:p w14:paraId="3753DD20">
                  <w:pPr>
                    <w:pStyle w:val="37"/>
                    <w:bidi w:val="0"/>
                    <w:rPr>
                      <w:color w:val="auto"/>
                    </w:rPr>
                  </w:pPr>
                  <w:r>
                    <w:rPr>
                      <w:color w:val="auto"/>
                    </w:rPr>
                    <w:t>风电机组基础造价</w:t>
                  </w:r>
                </w:p>
                <w:p w14:paraId="37582941">
                  <w:pPr>
                    <w:pStyle w:val="37"/>
                    <w:bidi w:val="0"/>
                    <w:rPr>
                      <w:color w:val="auto"/>
                    </w:rPr>
                  </w:pPr>
                  <w:r>
                    <w:rPr>
                      <w:color w:val="auto"/>
                    </w:rPr>
                    <w:t>（不含锚栓）</w:t>
                  </w:r>
                </w:p>
              </w:tc>
              <w:tc>
                <w:tcPr>
                  <w:tcW w:w="579" w:type="pct"/>
                  <w:tcBorders>
                    <w:tl2br w:val="nil"/>
                    <w:tr2bl w:val="nil"/>
                  </w:tcBorders>
                  <w:vAlign w:val="center"/>
                </w:tcPr>
                <w:p w14:paraId="769233C1">
                  <w:pPr>
                    <w:pStyle w:val="37"/>
                    <w:bidi w:val="0"/>
                    <w:rPr>
                      <w:color w:val="auto"/>
                    </w:rPr>
                  </w:pPr>
                  <w:r>
                    <w:rPr>
                      <w:color w:val="auto"/>
                    </w:rPr>
                    <w:t>万元/座</w:t>
                  </w:r>
                </w:p>
              </w:tc>
              <w:tc>
                <w:tcPr>
                  <w:tcW w:w="656" w:type="pct"/>
                  <w:tcBorders>
                    <w:tl2br w:val="nil"/>
                    <w:tr2bl w:val="nil"/>
                  </w:tcBorders>
                  <w:vAlign w:val="center"/>
                </w:tcPr>
                <w:p w14:paraId="428B53A1">
                  <w:pPr>
                    <w:pStyle w:val="37"/>
                    <w:bidi w:val="0"/>
                    <w:rPr>
                      <w:rFonts w:hint="default"/>
                      <w:color w:val="auto"/>
                      <w:lang w:val="en-US" w:eastAsia="zh-CN"/>
                    </w:rPr>
                  </w:pPr>
                  <w:r>
                    <w:rPr>
                      <w:rFonts w:hint="eastAsia"/>
                      <w:color w:val="auto"/>
                      <w:lang w:val="en-US" w:eastAsia="zh-CN"/>
                    </w:rPr>
                    <w:t>178.50</w:t>
                  </w:r>
                </w:p>
              </w:tc>
            </w:tr>
            <w:tr w14:paraId="1A3E3A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48" w:hRule="atLeast"/>
              </w:trPr>
              <w:tc>
                <w:tcPr>
                  <w:tcW w:w="787" w:type="pct"/>
                  <w:tcBorders>
                    <w:tl2br w:val="nil"/>
                    <w:tr2bl w:val="nil"/>
                  </w:tcBorders>
                  <w:vAlign w:val="center"/>
                </w:tcPr>
                <w:p w14:paraId="4EC32E32">
                  <w:pPr>
                    <w:pStyle w:val="37"/>
                    <w:bidi w:val="0"/>
                    <w:rPr>
                      <w:color w:val="auto"/>
                    </w:rPr>
                  </w:pPr>
                  <w:r>
                    <w:rPr>
                      <w:color w:val="auto"/>
                    </w:rPr>
                    <w:t>建设单位</w:t>
                  </w:r>
                </w:p>
              </w:tc>
              <w:tc>
                <w:tcPr>
                  <w:tcW w:w="1527" w:type="pct"/>
                  <w:gridSpan w:val="2"/>
                  <w:tcBorders>
                    <w:tl2br w:val="nil"/>
                    <w:tr2bl w:val="nil"/>
                  </w:tcBorders>
                  <w:vAlign w:val="center"/>
                </w:tcPr>
                <w:p w14:paraId="1A672080">
                  <w:pPr>
                    <w:pStyle w:val="37"/>
                    <w:bidi w:val="0"/>
                    <w:rPr>
                      <w:color w:val="auto"/>
                    </w:rPr>
                  </w:pPr>
                  <w:r>
                    <w:rPr>
                      <w:color w:val="auto"/>
                    </w:rPr>
                    <w:t>国电电力</w:t>
                  </w:r>
                </w:p>
                <w:p w14:paraId="6D2DE20A">
                  <w:pPr>
                    <w:pStyle w:val="37"/>
                    <w:bidi w:val="0"/>
                    <w:rPr>
                      <w:color w:val="auto"/>
                    </w:rPr>
                  </w:pPr>
                  <w:r>
                    <w:rPr>
                      <w:color w:val="auto"/>
                    </w:rPr>
                    <w:t>云南新能源开发有限公司</w:t>
                  </w:r>
                </w:p>
              </w:tc>
              <w:tc>
                <w:tcPr>
                  <w:tcW w:w="1449" w:type="pct"/>
                  <w:gridSpan w:val="2"/>
                  <w:tcBorders>
                    <w:tl2br w:val="nil"/>
                    <w:tr2bl w:val="nil"/>
                  </w:tcBorders>
                  <w:vAlign w:val="center"/>
                </w:tcPr>
                <w:p w14:paraId="2BF2C5A3">
                  <w:pPr>
                    <w:pStyle w:val="37"/>
                    <w:bidi w:val="0"/>
                    <w:rPr>
                      <w:color w:val="auto"/>
                    </w:rPr>
                  </w:pPr>
                  <w:r>
                    <w:rPr>
                      <w:color w:val="auto"/>
                    </w:rPr>
                    <w:t>升压站</w:t>
                  </w:r>
                </w:p>
              </w:tc>
              <w:tc>
                <w:tcPr>
                  <w:tcW w:w="579" w:type="pct"/>
                  <w:tcBorders>
                    <w:tl2br w:val="nil"/>
                    <w:tr2bl w:val="nil"/>
                  </w:tcBorders>
                  <w:vAlign w:val="center"/>
                </w:tcPr>
                <w:p w14:paraId="51744F2E">
                  <w:pPr>
                    <w:pStyle w:val="37"/>
                    <w:bidi w:val="0"/>
                    <w:rPr>
                      <w:color w:val="auto"/>
                    </w:rPr>
                  </w:pPr>
                  <w:r>
                    <w:rPr>
                      <w:color w:val="auto"/>
                    </w:rPr>
                    <w:t>万元/座</w:t>
                  </w:r>
                </w:p>
              </w:tc>
              <w:tc>
                <w:tcPr>
                  <w:tcW w:w="656" w:type="pct"/>
                  <w:tcBorders>
                    <w:tl2br w:val="nil"/>
                    <w:tr2bl w:val="nil"/>
                  </w:tcBorders>
                  <w:vAlign w:val="center"/>
                </w:tcPr>
                <w:p w14:paraId="63AE7C24">
                  <w:pPr>
                    <w:pStyle w:val="37"/>
                    <w:bidi w:val="0"/>
                    <w:rPr>
                      <w:color w:val="auto"/>
                    </w:rPr>
                  </w:pPr>
                  <w:r>
                    <w:rPr>
                      <w:color w:val="auto"/>
                    </w:rPr>
                    <w:t>与一期共用</w:t>
                  </w:r>
                </w:p>
              </w:tc>
            </w:tr>
            <w:tr w14:paraId="45CAA7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87" w:type="pct"/>
                  <w:tcBorders>
                    <w:tl2br w:val="nil"/>
                    <w:tr2bl w:val="nil"/>
                  </w:tcBorders>
                  <w:vAlign w:val="center"/>
                </w:tcPr>
                <w:p w14:paraId="68EB13B0">
                  <w:pPr>
                    <w:pStyle w:val="37"/>
                    <w:bidi w:val="0"/>
                    <w:rPr>
                      <w:color w:val="auto"/>
                    </w:rPr>
                  </w:pPr>
                  <w:r>
                    <w:rPr>
                      <w:color w:val="auto"/>
                    </w:rPr>
                    <w:t>装机规模</w:t>
                  </w:r>
                </w:p>
              </w:tc>
              <w:tc>
                <w:tcPr>
                  <w:tcW w:w="659" w:type="pct"/>
                  <w:tcBorders>
                    <w:tl2br w:val="nil"/>
                    <w:tr2bl w:val="nil"/>
                  </w:tcBorders>
                  <w:vAlign w:val="center"/>
                </w:tcPr>
                <w:p w14:paraId="588578CF">
                  <w:pPr>
                    <w:pStyle w:val="37"/>
                    <w:bidi w:val="0"/>
                    <w:rPr>
                      <w:color w:val="auto"/>
                    </w:rPr>
                  </w:pPr>
                  <w:r>
                    <w:rPr>
                      <w:color w:val="auto"/>
                    </w:rPr>
                    <w:t>MW</w:t>
                  </w:r>
                </w:p>
              </w:tc>
              <w:tc>
                <w:tcPr>
                  <w:tcW w:w="867" w:type="pct"/>
                  <w:tcBorders>
                    <w:tl2br w:val="nil"/>
                    <w:tr2bl w:val="nil"/>
                  </w:tcBorders>
                  <w:vAlign w:val="center"/>
                </w:tcPr>
                <w:p w14:paraId="52228CA7">
                  <w:pPr>
                    <w:pStyle w:val="37"/>
                    <w:bidi w:val="0"/>
                    <w:rPr>
                      <w:color w:val="auto"/>
                    </w:rPr>
                  </w:pPr>
                  <w:r>
                    <w:rPr>
                      <w:color w:val="auto"/>
                    </w:rPr>
                    <w:t>30</w:t>
                  </w:r>
                </w:p>
              </w:tc>
              <w:tc>
                <w:tcPr>
                  <w:tcW w:w="435" w:type="pct"/>
                  <w:vMerge w:val="restart"/>
                  <w:tcBorders>
                    <w:tl2br w:val="nil"/>
                    <w:tr2bl w:val="nil"/>
                  </w:tcBorders>
                  <w:vAlign w:val="center"/>
                </w:tcPr>
                <w:p w14:paraId="2ED30082">
                  <w:pPr>
                    <w:pStyle w:val="37"/>
                    <w:bidi w:val="0"/>
                    <w:rPr>
                      <w:color w:val="auto"/>
                    </w:rPr>
                  </w:pPr>
                  <w:r>
                    <w:rPr>
                      <w:color w:val="auto"/>
                    </w:rPr>
                    <w:t>主要工程量</w:t>
                  </w:r>
                </w:p>
              </w:tc>
              <w:tc>
                <w:tcPr>
                  <w:tcW w:w="1014" w:type="pct"/>
                  <w:tcBorders>
                    <w:tl2br w:val="nil"/>
                    <w:tr2bl w:val="nil"/>
                  </w:tcBorders>
                  <w:vAlign w:val="center"/>
                </w:tcPr>
                <w:p w14:paraId="5631E982">
                  <w:pPr>
                    <w:pStyle w:val="37"/>
                    <w:bidi w:val="0"/>
                    <w:rPr>
                      <w:color w:val="auto"/>
                    </w:rPr>
                  </w:pPr>
                  <w:r>
                    <w:rPr>
                      <w:color w:val="auto"/>
                    </w:rPr>
                    <w:t>土石方开挖</w:t>
                  </w:r>
                </w:p>
              </w:tc>
              <w:tc>
                <w:tcPr>
                  <w:tcW w:w="579" w:type="pct"/>
                  <w:tcBorders>
                    <w:tl2br w:val="nil"/>
                    <w:tr2bl w:val="nil"/>
                  </w:tcBorders>
                  <w:vAlign w:val="center"/>
                </w:tcPr>
                <w:p w14:paraId="3E30207D">
                  <w:pPr>
                    <w:pStyle w:val="37"/>
                    <w:bidi w:val="0"/>
                    <w:rPr>
                      <w:color w:val="auto"/>
                    </w:rPr>
                  </w:pPr>
                  <w:r>
                    <w:rPr>
                      <w:color w:val="auto"/>
                    </w:rPr>
                    <w:t>万m</w:t>
                  </w:r>
                  <w:r>
                    <w:rPr>
                      <w:color w:val="auto"/>
                      <w:vertAlign w:val="superscript"/>
                    </w:rPr>
                    <w:t>3</w:t>
                  </w:r>
                </w:p>
              </w:tc>
              <w:tc>
                <w:tcPr>
                  <w:tcW w:w="656" w:type="pct"/>
                  <w:tcBorders>
                    <w:tl2br w:val="nil"/>
                    <w:tr2bl w:val="nil"/>
                  </w:tcBorders>
                  <w:vAlign w:val="center"/>
                </w:tcPr>
                <w:p w14:paraId="3012A14A">
                  <w:pPr>
                    <w:pStyle w:val="37"/>
                    <w:bidi w:val="0"/>
                    <w:rPr>
                      <w:rFonts w:hint="default"/>
                      <w:color w:val="auto"/>
                      <w:lang w:val="en-US" w:eastAsia="zh-CN"/>
                    </w:rPr>
                  </w:pPr>
                  <w:r>
                    <w:rPr>
                      <w:rFonts w:hint="eastAsia"/>
                      <w:color w:val="auto"/>
                      <w:lang w:val="en-US" w:eastAsia="zh-CN"/>
                    </w:rPr>
                    <w:t>5.4703</w:t>
                  </w:r>
                </w:p>
              </w:tc>
            </w:tr>
            <w:tr w14:paraId="1EFEDEE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87" w:type="pct"/>
                  <w:tcBorders>
                    <w:tl2br w:val="nil"/>
                    <w:tr2bl w:val="nil"/>
                  </w:tcBorders>
                  <w:vAlign w:val="center"/>
                </w:tcPr>
                <w:p w14:paraId="741D948D">
                  <w:pPr>
                    <w:pStyle w:val="37"/>
                    <w:bidi w:val="0"/>
                    <w:rPr>
                      <w:color w:val="auto"/>
                    </w:rPr>
                  </w:pPr>
                  <w:r>
                    <w:rPr>
                      <w:color w:val="auto"/>
                    </w:rPr>
                    <w:t>单机容量</w:t>
                  </w:r>
                </w:p>
              </w:tc>
              <w:tc>
                <w:tcPr>
                  <w:tcW w:w="659" w:type="pct"/>
                  <w:tcBorders>
                    <w:tl2br w:val="nil"/>
                    <w:tr2bl w:val="nil"/>
                  </w:tcBorders>
                  <w:vAlign w:val="center"/>
                </w:tcPr>
                <w:p w14:paraId="0B547FC5">
                  <w:pPr>
                    <w:pStyle w:val="37"/>
                    <w:bidi w:val="0"/>
                    <w:rPr>
                      <w:color w:val="auto"/>
                    </w:rPr>
                  </w:pPr>
                  <w:r>
                    <w:rPr>
                      <w:color w:val="auto"/>
                    </w:rPr>
                    <w:t>kW</w:t>
                  </w:r>
                </w:p>
              </w:tc>
              <w:tc>
                <w:tcPr>
                  <w:tcW w:w="867" w:type="pct"/>
                  <w:tcBorders>
                    <w:tl2br w:val="nil"/>
                    <w:tr2bl w:val="nil"/>
                  </w:tcBorders>
                  <w:vAlign w:val="center"/>
                </w:tcPr>
                <w:p w14:paraId="4F4984D6">
                  <w:pPr>
                    <w:pStyle w:val="37"/>
                    <w:bidi w:val="0"/>
                    <w:rPr>
                      <w:color w:val="auto"/>
                    </w:rPr>
                  </w:pPr>
                  <w:r>
                    <w:rPr>
                      <w:color w:val="auto"/>
                    </w:rPr>
                    <w:t>7500</w:t>
                  </w:r>
                </w:p>
              </w:tc>
              <w:tc>
                <w:tcPr>
                  <w:tcW w:w="435" w:type="pct"/>
                  <w:vMerge w:val="continue"/>
                  <w:tcBorders>
                    <w:tl2br w:val="nil"/>
                    <w:tr2bl w:val="nil"/>
                  </w:tcBorders>
                  <w:textDirection w:val="tbRlV"/>
                  <w:vAlign w:val="center"/>
                </w:tcPr>
                <w:p w14:paraId="52626DB9">
                  <w:pPr>
                    <w:pStyle w:val="37"/>
                    <w:bidi w:val="0"/>
                    <w:rPr>
                      <w:color w:val="auto"/>
                    </w:rPr>
                  </w:pPr>
                </w:p>
              </w:tc>
              <w:tc>
                <w:tcPr>
                  <w:tcW w:w="1014" w:type="pct"/>
                  <w:tcBorders>
                    <w:tl2br w:val="nil"/>
                    <w:tr2bl w:val="nil"/>
                  </w:tcBorders>
                  <w:vAlign w:val="center"/>
                </w:tcPr>
                <w:p w14:paraId="3C2E976B">
                  <w:pPr>
                    <w:pStyle w:val="37"/>
                    <w:bidi w:val="0"/>
                    <w:rPr>
                      <w:color w:val="auto"/>
                    </w:rPr>
                  </w:pPr>
                  <w:r>
                    <w:rPr>
                      <w:color w:val="auto"/>
                    </w:rPr>
                    <w:t>回填</w:t>
                  </w:r>
                </w:p>
              </w:tc>
              <w:tc>
                <w:tcPr>
                  <w:tcW w:w="579" w:type="pct"/>
                  <w:tcBorders>
                    <w:tl2br w:val="nil"/>
                    <w:tr2bl w:val="nil"/>
                  </w:tcBorders>
                  <w:vAlign w:val="center"/>
                </w:tcPr>
                <w:p w14:paraId="63D5E813">
                  <w:pPr>
                    <w:pStyle w:val="37"/>
                    <w:bidi w:val="0"/>
                    <w:rPr>
                      <w:color w:val="auto"/>
                    </w:rPr>
                  </w:pPr>
                  <w:r>
                    <w:rPr>
                      <w:color w:val="auto"/>
                    </w:rPr>
                    <w:t>万m</w:t>
                  </w:r>
                  <w:r>
                    <w:rPr>
                      <w:color w:val="auto"/>
                      <w:vertAlign w:val="superscript"/>
                    </w:rPr>
                    <w:t>3</w:t>
                  </w:r>
                </w:p>
              </w:tc>
              <w:tc>
                <w:tcPr>
                  <w:tcW w:w="656" w:type="pct"/>
                  <w:tcBorders>
                    <w:tl2br w:val="nil"/>
                    <w:tr2bl w:val="nil"/>
                  </w:tcBorders>
                  <w:vAlign w:val="center"/>
                </w:tcPr>
                <w:p w14:paraId="279F82DD">
                  <w:pPr>
                    <w:pStyle w:val="37"/>
                    <w:bidi w:val="0"/>
                    <w:rPr>
                      <w:color w:val="auto"/>
                    </w:rPr>
                  </w:pPr>
                  <w:r>
                    <w:rPr>
                      <w:rFonts w:hint="eastAsia"/>
                      <w:color w:val="auto"/>
                      <w:lang w:val="en-US" w:eastAsia="zh-CN"/>
                    </w:rPr>
                    <w:t>5.4703</w:t>
                  </w:r>
                </w:p>
              </w:tc>
            </w:tr>
            <w:tr w14:paraId="6BC4C8C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87" w:type="pct"/>
                  <w:tcBorders>
                    <w:tl2br w:val="nil"/>
                    <w:tr2bl w:val="nil"/>
                  </w:tcBorders>
                  <w:vAlign w:val="center"/>
                </w:tcPr>
                <w:p w14:paraId="2E1F6440">
                  <w:pPr>
                    <w:pStyle w:val="37"/>
                    <w:bidi w:val="0"/>
                    <w:rPr>
                      <w:color w:val="auto"/>
                    </w:rPr>
                  </w:pPr>
                  <w:r>
                    <w:rPr>
                      <w:color w:val="auto"/>
                    </w:rPr>
                    <w:t>年发电量</w:t>
                  </w:r>
                </w:p>
              </w:tc>
              <w:tc>
                <w:tcPr>
                  <w:tcW w:w="659" w:type="pct"/>
                  <w:tcBorders>
                    <w:tl2br w:val="nil"/>
                    <w:tr2bl w:val="nil"/>
                  </w:tcBorders>
                  <w:vAlign w:val="center"/>
                </w:tcPr>
                <w:p w14:paraId="652BCDC0">
                  <w:pPr>
                    <w:pStyle w:val="37"/>
                    <w:bidi w:val="0"/>
                    <w:rPr>
                      <w:color w:val="auto"/>
                    </w:rPr>
                  </w:pPr>
                  <w:r>
                    <w:rPr>
                      <w:color w:val="auto"/>
                    </w:rPr>
                    <w:t>万kW</w:t>
                  </w:r>
                  <w:r>
                    <w:rPr>
                      <w:rFonts w:hint="eastAsia"/>
                      <w:color w:val="auto"/>
                      <w:lang w:val="en-US" w:eastAsia="zh-CN"/>
                    </w:rPr>
                    <w:t>·</w:t>
                  </w:r>
                  <w:r>
                    <w:rPr>
                      <w:color w:val="auto"/>
                    </w:rPr>
                    <w:t>h</w:t>
                  </w:r>
                </w:p>
              </w:tc>
              <w:tc>
                <w:tcPr>
                  <w:tcW w:w="867" w:type="pct"/>
                  <w:tcBorders>
                    <w:tl2br w:val="nil"/>
                    <w:tr2bl w:val="nil"/>
                  </w:tcBorders>
                  <w:vAlign w:val="center"/>
                </w:tcPr>
                <w:p w14:paraId="3913481A">
                  <w:pPr>
                    <w:pStyle w:val="37"/>
                    <w:bidi w:val="0"/>
                    <w:rPr>
                      <w:rFonts w:hint="default"/>
                      <w:color w:val="auto"/>
                      <w:lang w:val="en-US" w:eastAsia="zh-CN"/>
                    </w:rPr>
                  </w:pPr>
                  <w:r>
                    <w:rPr>
                      <w:rFonts w:hint="eastAsia"/>
                      <w:color w:val="auto"/>
                      <w:lang w:val="en-US" w:eastAsia="zh-CN"/>
                    </w:rPr>
                    <w:t>5758.1</w:t>
                  </w:r>
                </w:p>
              </w:tc>
              <w:tc>
                <w:tcPr>
                  <w:tcW w:w="435" w:type="pct"/>
                  <w:vMerge w:val="continue"/>
                  <w:tcBorders>
                    <w:tl2br w:val="nil"/>
                    <w:tr2bl w:val="nil"/>
                  </w:tcBorders>
                  <w:textDirection w:val="tbRlV"/>
                  <w:vAlign w:val="center"/>
                </w:tcPr>
                <w:p w14:paraId="157293F0">
                  <w:pPr>
                    <w:pStyle w:val="37"/>
                    <w:bidi w:val="0"/>
                    <w:rPr>
                      <w:color w:val="auto"/>
                    </w:rPr>
                  </w:pPr>
                </w:p>
              </w:tc>
              <w:tc>
                <w:tcPr>
                  <w:tcW w:w="1014" w:type="pct"/>
                  <w:tcBorders>
                    <w:tl2br w:val="nil"/>
                    <w:tr2bl w:val="nil"/>
                  </w:tcBorders>
                  <w:vAlign w:val="center"/>
                </w:tcPr>
                <w:p w14:paraId="219B2A51">
                  <w:pPr>
                    <w:pStyle w:val="37"/>
                    <w:bidi w:val="0"/>
                    <w:rPr>
                      <w:color w:val="auto"/>
                    </w:rPr>
                  </w:pPr>
                  <w:r>
                    <w:rPr>
                      <w:color w:val="auto"/>
                    </w:rPr>
                    <w:t>钢筋</w:t>
                  </w:r>
                </w:p>
              </w:tc>
              <w:tc>
                <w:tcPr>
                  <w:tcW w:w="579" w:type="pct"/>
                  <w:tcBorders>
                    <w:tl2br w:val="nil"/>
                    <w:tr2bl w:val="nil"/>
                  </w:tcBorders>
                  <w:vAlign w:val="center"/>
                </w:tcPr>
                <w:p w14:paraId="6F2FA9B3">
                  <w:pPr>
                    <w:pStyle w:val="37"/>
                    <w:bidi w:val="0"/>
                    <w:rPr>
                      <w:color w:val="auto"/>
                    </w:rPr>
                  </w:pPr>
                  <w:r>
                    <w:rPr>
                      <w:color w:val="auto"/>
                    </w:rPr>
                    <w:t>t</w:t>
                  </w:r>
                </w:p>
              </w:tc>
              <w:tc>
                <w:tcPr>
                  <w:tcW w:w="656" w:type="pct"/>
                  <w:tcBorders>
                    <w:tl2br w:val="nil"/>
                    <w:tr2bl w:val="nil"/>
                  </w:tcBorders>
                  <w:vAlign w:val="center"/>
                </w:tcPr>
                <w:p w14:paraId="2F1717AE">
                  <w:pPr>
                    <w:pStyle w:val="37"/>
                    <w:bidi w:val="0"/>
                    <w:rPr>
                      <w:rFonts w:hint="default"/>
                      <w:color w:val="auto"/>
                      <w:lang w:val="en-US" w:eastAsia="zh-CN"/>
                    </w:rPr>
                  </w:pPr>
                  <w:r>
                    <w:rPr>
                      <w:rFonts w:hint="eastAsia"/>
                      <w:color w:val="auto"/>
                      <w:lang w:val="en-US" w:eastAsia="zh-CN"/>
                    </w:rPr>
                    <w:t>490</w:t>
                  </w:r>
                </w:p>
              </w:tc>
            </w:tr>
            <w:tr w14:paraId="1B5A01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87" w:type="pct"/>
                  <w:tcBorders>
                    <w:tl2br w:val="nil"/>
                    <w:tr2bl w:val="nil"/>
                  </w:tcBorders>
                  <w:vAlign w:val="center"/>
                </w:tcPr>
                <w:p w14:paraId="2AEB63F5">
                  <w:pPr>
                    <w:pStyle w:val="37"/>
                    <w:bidi w:val="0"/>
                    <w:rPr>
                      <w:color w:val="auto"/>
                    </w:rPr>
                  </w:pPr>
                  <w:r>
                    <w:rPr>
                      <w:color w:val="auto"/>
                    </w:rPr>
                    <w:t>年利用小时数</w:t>
                  </w:r>
                </w:p>
              </w:tc>
              <w:tc>
                <w:tcPr>
                  <w:tcW w:w="659" w:type="pct"/>
                  <w:tcBorders>
                    <w:tl2br w:val="nil"/>
                    <w:tr2bl w:val="nil"/>
                  </w:tcBorders>
                  <w:vAlign w:val="center"/>
                </w:tcPr>
                <w:p w14:paraId="3C547D56">
                  <w:pPr>
                    <w:pStyle w:val="37"/>
                    <w:bidi w:val="0"/>
                    <w:rPr>
                      <w:color w:val="auto"/>
                    </w:rPr>
                  </w:pPr>
                  <w:r>
                    <w:rPr>
                      <w:color w:val="auto"/>
                    </w:rPr>
                    <w:t>h</w:t>
                  </w:r>
                </w:p>
              </w:tc>
              <w:tc>
                <w:tcPr>
                  <w:tcW w:w="867" w:type="pct"/>
                  <w:tcBorders>
                    <w:tl2br w:val="nil"/>
                    <w:tr2bl w:val="nil"/>
                  </w:tcBorders>
                  <w:vAlign w:val="center"/>
                </w:tcPr>
                <w:p w14:paraId="423C25C2">
                  <w:pPr>
                    <w:pStyle w:val="37"/>
                    <w:bidi w:val="0"/>
                    <w:rPr>
                      <w:rFonts w:hint="default"/>
                      <w:color w:val="auto"/>
                      <w:lang w:val="en-US" w:eastAsia="zh-CN"/>
                    </w:rPr>
                  </w:pPr>
                  <w:r>
                    <w:rPr>
                      <w:rFonts w:hint="eastAsia"/>
                      <w:color w:val="auto"/>
                      <w:lang w:val="en-US" w:eastAsia="zh-CN"/>
                    </w:rPr>
                    <w:t>2252.7</w:t>
                  </w:r>
                </w:p>
              </w:tc>
              <w:tc>
                <w:tcPr>
                  <w:tcW w:w="435" w:type="pct"/>
                  <w:vMerge w:val="continue"/>
                  <w:tcBorders>
                    <w:tl2br w:val="nil"/>
                    <w:tr2bl w:val="nil"/>
                  </w:tcBorders>
                  <w:textDirection w:val="tbRlV"/>
                  <w:vAlign w:val="center"/>
                </w:tcPr>
                <w:p w14:paraId="7D8EF3D1">
                  <w:pPr>
                    <w:pStyle w:val="37"/>
                    <w:bidi w:val="0"/>
                    <w:rPr>
                      <w:color w:val="auto"/>
                    </w:rPr>
                  </w:pPr>
                </w:p>
              </w:tc>
              <w:tc>
                <w:tcPr>
                  <w:tcW w:w="1014" w:type="pct"/>
                  <w:tcBorders>
                    <w:tl2br w:val="nil"/>
                    <w:tr2bl w:val="nil"/>
                  </w:tcBorders>
                  <w:vAlign w:val="center"/>
                </w:tcPr>
                <w:p w14:paraId="5AD4B8A4">
                  <w:pPr>
                    <w:pStyle w:val="37"/>
                    <w:bidi w:val="0"/>
                    <w:rPr>
                      <w:color w:val="auto"/>
                    </w:rPr>
                  </w:pPr>
                  <w:r>
                    <w:rPr>
                      <w:color w:val="auto"/>
                    </w:rPr>
                    <w:t>风机基础混凝土</w:t>
                  </w:r>
                </w:p>
              </w:tc>
              <w:tc>
                <w:tcPr>
                  <w:tcW w:w="579" w:type="pct"/>
                  <w:tcBorders>
                    <w:tl2br w:val="nil"/>
                    <w:tr2bl w:val="nil"/>
                  </w:tcBorders>
                  <w:vAlign w:val="center"/>
                </w:tcPr>
                <w:p w14:paraId="2333BF91">
                  <w:pPr>
                    <w:pStyle w:val="37"/>
                    <w:bidi w:val="0"/>
                    <w:rPr>
                      <w:color w:val="auto"/>
                    </w:rPr>
                  </w:pPr>
                  <w:r>
                    <w:rPr>
                      <w:color w:val="auto"/>
                    </w:rPr>
                    <w:t>m3</w:t>
                  </w:r>
                </w:p>
              </w:tc>
              <w:tc>
                <w:tcPr>
                  <w:tcW w:w="656" w:type="pct"/>
                  <w:tcBorders>
                    <w:tl2br w:val="nil"/>
                    <w:tr2bl w:val="nil"/>
                  </w:tcBorders>
                  <w:vAlign w:val="center"/>
                </w:tcPr>
                <w:p w14:paraId="0C940E63">
                  <w:pPr>
                    <w:pStyle w:val="37"/>
                    <w:bidi w:val="0"/>
                    <w:rPr>
                      <w:rFonts w:hint="default"/>
                      <w:color w:val="auto"/>
                      <w:lang w:val="en-US" w:eastAsia="zh-CN"/>
                    </w:rPr>
                  </w:pPr>
                  <w:r>
                    <w:rPr>
                      <w:rFonts w:hint="eastAsia"/>
                      <w:color w:val="auto"/>
                      <w:lang w:val="en-US" w:eastAsia="zh-CN"/>
                    </w:rPr>
                    <w:t>5857</w:t>
                  </w:r>
                </w:p>
              </w:tc>
            </w:tr>
            <w:tr w14:paraId="24903E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87" w:type="pct"/>
                  <w:tcBorders>
                    <w:tl2br w:val="nil"/>
                    <w:tr2bl w:val="nil"/>
                  </w:tcBorders>
                  <w:vAlign w:val="center"/>
                </w:tcPr>
                <w:p w14:paraId="18DDCAB4">
                  <w:pPr>
                    <w:pStyle w:val="37"/>
                    <w:bidi w:val="0"/>
                    <w:rPr>
                      <w:color w:val="auto"/>
                    </w:rPr>
                  </w:pPr>
                  <w:r>
                    <w:rPr>
                      <w:color w:val="auto"/>
                    </w:rPr>
                    <w:t>静态总投资</w:t>
                  </w:r>
                </w:p>
              </w:tc>
              <w:tc>
                <w:tcPr>
                  <w:tcW w:w="659" w:type="pct"/>
                  <w:tcBorders>
                    <w:tl2br w:val="nil"/>
                    <w:tr2bl w:val="nil"/>
                  </w:tcBorders>
                  <w:vAlign w:val="center"/>
                </w:tcPr>
                <w:p w14:paraId="78C7F129">
                  <w:pPr>
                    <w:pStyle w:val="37"/>
                    <w:bidi w:val="0"/>
                    <w:rPr>
                      <w:rFonts w:hint="eastAsia"/>
                      <w:color w:val="auto"/>
                      <w:lang w:val="en-US" w:eastAsia="zh-CN"/>
                    </w:rPr>
                  </w:pPr>
                  <w:r>
                    <w:rPr>
                      <w:rFonts w:hint="eastAsia"/>
                      <w:color w:val="auto"/>
                      <w:lang w:val="en-US" w:eastAsia="zh-CN"/>
                    </w:rPr>
                    <w:t>万元</w:t>
                  </w:r>
                </w:p>
              </w:tc>
              <w:tc>
                <w:tcPr>
                  <w:tcW w:w="867" w:type="pct"/>
                  <w:tcBorders>
                    <w:tl2br w:val="nil"/>
                    <w:tr2bl w:val="nil"/>
                  </w:tcBorders>
                  <w:vAlign w:val="center"/>
                </w:tcPr>
                <w:p w14:paraId="587DDC0C">
                  <w:pPr>
                    <w:pStyle w:val="37"/>
                    <w:bidi w:val="0"/>
                    <w:rPr>
                      <w:rFonts w:hint="default"/>
                      <w:color w:val="auto"/>
                      <w:lang w:val="en-US" w:eastAsia="zh-CN"/>
                    </w:rPr>
                  </w:pPr>
                  <w:r>
                    <w:rPr>
                      <w:rFonts w:hint="default"/>
                      <w:color w:val="auto"/>
                      <w:lang w:val="en-US" w:eastAsia="zh-CN"/>
                    </w:rPr>
                    <w:t>13576.51</w:t>
                  </w:r>
                </w:p>
              </w:tc>
              <w:tc>
                <w:tcPr>
                  <w:tcW w:w="435" w:type="pct"/>
                  <w:vMerge w:val="continue"/>
                  <w:tcBorders>
                    <w:tl2br w:val="nil"/>
                    <w:tr2bl w:val="nil"/>
                  </w:tcBorders>
                  <w:textDirection w:val="tbRlV"/>
                  <w:vAlign w:val="center"/>
                </w:tcPr>
                <w:p w14:paraId="16AF22F0">
                  <w:pPr>
                    <w:pStyle w:val="37"/>
                    <w:bidi w:val="0"/>
                    <w:rPr>
                      <w:color w:val="auto"/>
                    </w:rPr>
                  </w:pPr>
                </w:p>
              </w:tc>
              <w:tc>
                <w:tcPr>
                  <w:tcW w:w="1014" w:type="pct"/>
                  <w:tcBorders>
                    <w:tl2br w:val="nil"/>
                    <w:tr2bl w:val="nil"/>
                  </w:tcBorders>
                  <w:vAlign w:val="center"/>
                </w:tcPr>
                <w:p w14:paraId="2B5D70F6">
                  <w:pPr>
                    <w:pStyle w:val="37"/>
                    <w:bidi w:val="0"/>
                    <w:rPr>
                      <w:color w:val="auto"/>
                    </w:rPr>
                  </w:pPr>
                  <w:r>
                    <w:rPr>
                      <w:color w:val="auto"/>
                    </w:rPr>
                    <w:t>塔筒</w:t>
                  </w:r>
                </w:p>
              </w:tc>
              <w:tc>
                <w:tcPr>
                  <w:tcW w:w="579" w:type="pct"/>
                  <w:tcBorders>
                    <w:tl2br w:val="nil"/>
                    <w:tr2bl w:val="nil"/>
                  </w:tcBorders>
                  <w:vAlign w:val="center"/>
                </w:tcPr>
                <w:p w14:paraId="341BFAF1">
                  <w:pPr>
                    <w:pStyle w:val="37"/>
                    <w:bidi w:val="0"/>
                    <w:rPr>
                      <w:color w:val="auto"/>
                    </w:rPr>
                  </w:pPr>
                  <w:r>
                    <w:rPr>
                      <w:color w:val="auto"/>
                    </w:rPr>
                    <w:t>t/台</w:t>
                  </w:r>
                </w:p>
              </w:tc>
              <w:tc>
                <w:tcPr>
                  <w:tcW w:w="656" w:type="pct"/>
                  <w:tcBorders>
                    <w:tl2br w:val="nil"/>
                    <w:tr2bl w:val="nil"/>
                  </w:tcBorders>
                  <w:vAlign w:val="center"/>
                </w:tcPr>
                <w:p w14:paraId="15CFB5C9">
                  <w:pPr>
                    <w:pStyle w:val="37"/>
                    <w:bidi w:val="0"/>
                    <w:rPr>
                      <w:color w:val="auto"/>
                    </w:rPr>
                  </w:pPr>
                  <w:r>
                    <w:rPr>
                      <w:color w:val="auto"/>
                    </w:rPr>
                    <w:t>379.4</w:t>
                  </w:r>
                </w:p>
              </w:tc>
            </w:tr>
          </w:tbl>
          <w:p w14:paraId="3A7D8DAB">
            <w:pPr>
              <w:pStyle w:val="27"/>
              <w:pageBreakBefore w:val="0"/>
              <w:kinsoku/>
              <w:wordWrap/>
              <w:overflowPunct/>
              <w:bidi w:val="0"/>
              <w:rPr>
                <w:rFonts w:hint="eastAsia"/>
                <w:color w:val="auto"/>
                <w:lang w:val="en-US" w:eastAsia="zh-CN"/>
              </w:rPr>
            </w:pPr>
            <w:r>
              <w:rPr>
                <w:rFonts w:hint="eastAsia"/>
                <w:color w:val="auto"/>
                <w:lang w:val="en-US" w:eastAsia="zh-CN"/>
              </w:rPr>
              <w:t>表2-3  风电场工程特性表</w:t>
            </w:r>
          </w:p>
          <w:tbl>
            <w:tblPr>
              <w:tblStyle w:val="26"/>
              <w:tblW w:w="4958" w:type="pct"/>
              <w:tblInd w:w="1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349"/>
              <w:gridCol w:w="719"/>
              <w:gridCol w:w="990"/>
              <w:gridCol w:w="1387"/>
              <w:gridCol w:w="1593"/>
              <w:gridCol w:w="1770"/>
              <w:gridCol w:w="1163"/>
            </w:tblGrid>
            <w:tr w14:paraId="1AC6446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2161" w:type="pct"/>
                  <w:gridSpan w:val="4"/>
                  <w:tcBorders>
                    <w:tl2br w:val="nil"/>
                    <w:tr2bl w:val="nil"/>
                  </w:tcBorders>
                  <w:vAlign w:val="center"/>
                </w:tcPr>
                <w:p w14:paraId="564AE9E7">
                  <w:pPr>
                    <w:pStyle w:val="37"/>
                    <w:bidi w:val="0"/>
                    <w:rPr>
                      <w:color w:val="auto"/>
                    </w:rPr>
                  </w:pPr>
                  <w:r>
                    <w:rPr>
                      <w:color w:val="auto"/>
                    </w:rPr>
                    <w:t>名称</w:t>
                  </w:r>
                </w:p>
              </w:tc>
              <w:tc>
                <w:tcPr>
                  <w:tcW w:w="999" w:type="pct"/>
                  <w:tcBorders>
                    <w:tl2br w:val="nil"/>
                    <w:tr2bl w:val="nil"/>
                  </w:tcBorders>
                  <w:vAlign w:val="center"/>
                </w:tcPr>
                <w:p w14:paraId="1AE2795C">
                  <w:pPr>
                    <w:pStyle w:val="37"/>
                    <w:bidi w:val="0"/>
                    <w:rPr>
                      <w:color w:val="auto"/>
                    </w:rPr>
                  </w:pPr>
                  <w:r>
                    <w:rPr>
                      <w:color w:val="auto"/>
                    </w:rPr>
                    <w:t>单位（或型号）</w:t>
                  </w:r>
                </w:p>
              </w:tc>
              <w:tc>
                <w:tcPr>
                  <w:tcW w:w="1110" w:type="pct"/>
                  <w:tcBorders>
                    <w:tl2br w:val="nil"/>
                    <w:tr2bl w:val="nil"/>
                  </w:tcBorders>
                  <w:vAlign w:val="center"/>
                </w:tcPr>
                <w:p w14:paraId="38127C85">
                  <w:pPr>
                    <w:pStyle w:val="37"/>
                    <w:bidi w:val="0"/>
                    <w:rPr>
                      <w:color w:val="auto"/>
                    </w:rPr>
                  </w:pPr>
                  <w:r>
                    <w:rPr>
                      <w:color w:val="auto"/>
                    </w:rPr>
                    <w:t>数量</w:t>
                  </w:r>
                </w:p>
              </w:tc>
              <w:tc>
                <w:tcPr>
                  <w:tcW w:w="729" w:type="pct"/>
                  <w:tcBorders>
                    <w:tl2br w:val="nil"/>
                    <w:tr2bl w:val="nil"/>
                  </w:tcBorders>
                  <w:vAlign w:val="center"/>
                </w:tcPr>
                <w:p w14:paraId="5CB02EFA">
                  <w:pPr>
                    <w:pStyle w:val="37"/>
                    <w:bidi w:val="0"/>
                    <w:rPr>
                      <w:color w:val="auto"/>
                    </w:rPr>
                  </w:pPr>
                  <w:r>
                    <w:rPr>
                      <w:color w:val="auto"/>
                    </w:rPr>
                    <w:t>备注</w:t>
                  </w:r>
                </w:p>
              </w:tc>
            </w:tr>
            <w:tr w14:paraId="00C388E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restart"/>
                  <w:tcBorders>
                    <w:tl2br w:val="nil"/>
                    <w:tr2bl w:val="nil"/>
                  </w:tcBorders>
                  <w:vAlign w:val="center"/>
                </w:tcPr>
                <w:p w14:paraId="1E4086F8">
                  <w:pPr>
                    <w:pStyle w:val="37"/>
                    <w:bidi w:val="0"/>
                    <w:rPr>
                      <w:color w:val="auto"/>
                    </w:rPr>
                  </w:pPr>
                  <w:r>
                    <w:rPr>
                      <w:color w:val="auto"/>
                    </w:rPr>
                    <w:t>风电场场址</w:t>
                  </w:r>
                </w:p>
              </w:tc>
              <w:tc>
                <w:tcPr>
                  <w:tcW w:w="1942" w:type="pct"/>
                  <w:gridSpan w:val="3"/>
                  <w:tcBorders>
                    <w:tl2br w:val="nil"/>
                    <w:tr2bl w:val="nil"/>
                  </w:tcBorders>
                  <w:vAlign w:val="center"/>
                </w:tcPr>
                <w:p w14:paraId="0A3BA466">
                  <w:pPr>
                    <w:pStyle w:val="37"/>
                    <w:bidi w:val="0"/>
                    <w:rPr>
                      <w:color w:val="auto"/>
                    </w:rPr>
                  </w:pPr>
                  <w:r>
                    <w:rPr>
                      <w:rFonts w:hint="eastAsia"/>
                      <w:color w:val="auto"/>
                      <w:lang w:eastAsia="zh-CN"/>
                    </w:rPr>
                    <w:t>海拔</w:t>
                  </w:r>
                </w:p>
              </w:tc>
              <w:tc>
                <w:tcPr>
                  <w:tcW w:w="999" w:type="pct"/>
                  <w:tcBorders>
                    <w:tl2br w:val="nil"/>
                    <w:tr2bl w:val="nil"/>
                  </w:tcBorders>
                  <w:vAlign w:val="center"/>
                </w:tcPr>
                <w:p w14:paraId="07534B4C">
                  <w:pPr>
                    <w:pStyle w:val="37"/>
                    <w:bidi w:val="0"/>
                    <w:rPr>
                      <w:color w:val="auto"/>
                    </w:rPr>
                  </w:pPr>
                  <w:r>
                    <w:rPr>
                      <w:color w:val="auto"/>
                    </w:rPr>
                    <w:t>m</w:t>
                  </w:r>
                </w:p>
              </w:tc>
              <w:tc>
                <w:tcPr>
                  <w:tcW w:w="1110" w:type="pct"/>
                  <w:tcBorders>
                    <w:tl2br w:val="nil"/>
                    <w:tr2bl w:val="nil"/>
                  </w:tcBorders>
                  <w:vAlign w:val="center"/>
                </w:tcPr>
                <w:p w14:paraId="37578FA0">
                  <w:pPr>
                    <w:pStyle w:val="37"/>
                    <w:bidi w:val="0"/>
                    <w:rPr>
                      <w:color w:val="auto"/>
                    </w:rPr>
                  </w:pPr>
                  <w:r>
                    <w:rPr>
                      <w:color w:val="auto"/>
                    </w:rPr>
                    <w:t>2320-2380</w:t>
                  </w:r>
                </w:p>
              </w:tc>
              <w:tc>
                <w:tcPr>
                  <w:tcW w:w="729" w:type="pct"/>
                  <w:tcBorders>
                    <w:tl2br w:val="nil"/>
                    <w:tr2bl w:val="nil"/>
                  </w:tcBorders>
                  <w:vAlign w:val="center"/>
                </w:tcPr>
                <w:p w14:paraId="5F8AB62A">
                  <w:pPr>
                    <w:pStyle w:val="37"/>
                    <w:bidi w:val="0"/>
                    <w:rPr>
                      <w:color w:val="auto"/>
                    </w:rPr>
                  </w:pPr>
                </w:p>
              </w:tc>
            </w:tr>
            <w:tr w14:paraId="76732B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74591F76">
                  <w:pPr>
                    <w:pStyle w:val="37"/>
                    <w:bidi w:val="0"/>
                    <w:rPr>
                      <w:color w:val="auto"/>
                    </w:rPr>
                  </w:pPr>
                </w:p>
              </w:tc>
              <w:tc>
                <w:tcPr>
                  <w:tcW w:w="1942" w:type="pct"/>
                  <w:gridSpan w:val="3"/>
                  <w:tcBorders>
                    <w:tl2br w:val="nil"/>
                    <w:tr2bl w:val="nil"/>
                  </w:tcBorders>
                  <w:vAlign w:val="center"/>
                </w:tcPr>
                <w:p w14:paraId="63DFF171">
                  <w:pPr>
                    <w:pStyle w:val="37"/>
                    <w:bidi w:val="0"/>
                    <w:rPr>
                      <w:color w:val="auto"/>
                    </w:rPr>
                  </w:pPr>
                  <w:r>
                    <w:rPr>
                      <w:color w:val="auto"/>
                    </w:rPr>
                    <w:t>经度（东经）</w:t>
                  </w:r>
                </w:p>
              </w:tc>
              <w:tc>
                <w:tcPr>
                  <w:tcW w:w="999" w:type="pct"/>
                  <w:tcBorders>
                    <w:tl2br w:val="nil"/>
                    <w:tr2bl w:val="nil"/>
                  </w:tcBorders>
                  <w:vAlign w:val="center"/>
                </w:tcPr>
                <w:p w14:paraId="39818BEE">
                  <w:pPr>
                    <w:pStyle w:val="37"/>
                    <w:bidi w:val="0"/>
                    <w:rPr>
                      <w:rFonts w:hint="default" w:eastAsia="宋体"/>
                      <w:color w:val="auto"/>
                      <w:lang w:val="en-US" w:eastAsia="zh-CN"/>
                    </w:rPr>
                  </w:pPr>
                  <w:r>
                    <w:rPr>
                      <w:rFonts w:hint="eastAsia"/>
                      <w:color w:val="auto"/>
                      <w:lang w:val="en-US" w:eastAsia="zh-CN"/>
                    </w:rPr>
                    <w:t>/</w:t>
                  </w:r>
                </w:p>
              </w:tc>
              <w:tc>
                <w:tcPr>
                  <w:tcW w:w="1110" w:type="pct"/>
                  <w:tcBorders>
                    <w:tl2br w:val="nil"/>
                    <w:tr2bl w:val="nil"/>
                  </w:tcBorders>
                  <w:vAlign w:val="center"/>
                </w:tcPr>
                <w:p w14:paraId="3F2A124C">
                  <w:pPr>
                    <w:pStyle w:val="37"/>
                    <w:bidi w:val="0"/>
                    <w:rPr>
                      <w:color w:val="auto"/>
                    </w:rPr>
                  </w:pPr>
                  <w:r>
                    <w:rPr>
                      <w:color w:val="auto"/>
                    </w:rPr>
                    <w:t>103°45'28.18"</w:t>
                  </w:r>
                </w:p>
              </w:tc>
              <w:tc>
                <w:tcPr>
                  <w:tcW w:w="729" w:type="pct"/>
                  <w:vMerge w:val="restart"/>
                  <w:tcBorders>
                    <w:tl2br w:val="nil"/>
                    <w:tr2bl w:val="nil"/>
                  </w:tcBorders>
                  <w:vAlign w:val="center"/>
                </w:tcPr>
                <w:p w14:paraId="0F0614A5">
                  <w:pPr>
                    <w:pStyle w:val="37"/>
                    <w:bidi w:val="0"/>
                    <w:rPr>
                      <w:color w:val="auto"/>
                    </w:rPr>
                  </w:pPr>
                  <w:r>
                    <w:rPr>
                      <w:color w:val="auto"/>
                    </w:rPr>
                    <w:t>升压站处</w:t>
                  </w:r>
                </w:p>
              </w:tc>
            </w:tr>
            <w:tr w14:paraId="2E034C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0D12E82D">
                  <w:pPr>
                    <w:pStyle w:val="37"/>
                    <w:bidi w:val="0"/>
                    <w:rPr>
                      <w:color w:val="auto"/>
                    </w:rPr>
                  </w:pPr>
                </w:p>
              </w:tc>
              <w:tc>
                <w:tcPr>
                  <w:tcW w:w="1942" w:type="pct"/>
                  <w:gridSpan w:val="3"/>
                  <w:tcBorders>
                    <w:tl2br w:val="nil"/>
                    <w:tr2bl w:val="nil"/>
                  </w:tcBorders>
                  <w:vAlign w:val="center"/>
                </w:tcPr>
                <w:p w14:paraId="69958AE6">
                  <w:pPr>
                    <w:pStyle w:val="37"/>
                    <w:bidi w:val="0"/>
                    <w:rPr>
                      <w:color w:val="auto"/>
                    </w:rPr>
                  </w:pPr>
                  <w:r>
                    <w:rPr>
                      <w:color w:val="auto"/>
                    </w:rPr>
                    <w:t>纬度（北纬）</w:t>
                  </w:r>
                </w:p>
              </w:tc>
              <w:tc>
                <w:tcPr>
                  <w:tcW w:w="999" w:type="pct"/>
                  <w:tcBorders>
                    <w:tl2br w:val="nil"/>
                    <w:tr2bl w:val="nil"/>
                  </w:tcBorders>
                  <w:vAlign w:val="center"/>
                </w:tcPr>
                <w:p w14:paraId="0AD6BD30">
                  <w:pPr>
                    <w:pStyle w:val="37"/>
                    <w:bidi w:val="0"/>
                    <w:rPr>
                      <w:rFonts w:hint="default" w:eastAsia="宋体"/>
                      <w:color w:val="auto"/>
                      <w:lang w:val="en-US" w:eastAsia="zh-CN"/>
                    </w:rPr>
                  </w:pPr>
                  <w:r>
                    <w:rPr>
                      <w:rFonts w:hint="eastAsia"/>
                      <w:color w:val="auto"/>
                      <w:lang w:val="en-US" w:eastAsia="zh-CN"/>
                    </w:rPr>
                    <w:t>/</w:t>
                  </w:r>
                </w:p>
              </w:tc>
              <w:tc>
                <w:tcPr>
                  <w:tcW w:w="1110" w:type="pct"/>
                  <w:tcBorders>
                    <w:tl2br w:val="nil"/>
                    <w:tr2bl w:val="nil"/>
                  </w:tcBorders>
                  <w:vAlign w:val="center"/>
                </w:tcPr>
                <w:p w14:paraId="7EF16777">
                  <w:pPr>
                    <w:pStyle w:val="37"/>
                    <w:bidi w:val="0"/>
                    <w:rPr>
                      <w:color w:val="auto"/>
                    </w:rPr>
                  </w:pPr>
                  <w:r>
                    <w:rPr>
                      <w:color w:val="auto"/>
                    </w:rPr>
                    <w:t>26°3'2.25"</w:t>
                  </w:r>
                </w:p>
              </w:tc>
              <w:tc>
                <w:tcPr>
                  <w:tcW w:w="729" w:type="pct"/>
                  <w:vMerge w:val="continue"/>
                  <w:tcBorders>
                    <w:tl2br w:val="nil"/>
                    <w:tr2bl w:val="nil"/>
                  </w:tcBorders>
                  <w:vAlign w:val="center"/>
                </w:tcPr>
                <w:p w14:paraId="39BE3621">
                  <w:pPr>
                    <w:pStyle w:val="37"/>
                    <w:bidi w:val="0"/>
                    <w:rPr>
                      <w:color w:val="auto"/>
                    </w:rPr>
                  </w:pPr>
                </w:p>
              </w:tc>
            </w:tr>
            <w:tr w14:paraId="596D6B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9" w:type="pct"/>
                  <w:vMerge w:val="continue"/>
                  <w:tcBorders>
                    <w:tl2br w:val="nil"/>
                    <w:tr2bl w:val="nil"/>
                  </w:tcBorders>
                  <w:textDirection w:val="tbRlV"/>
                  <w:vAlign w:val="center"/>
                </w:tcPr>
                <w:p w14:paraId="560CCD4C">
                  <w:pPr>
                    <w:pStyle w:val="37"/>
                    <w:bidi w:val="0"/>
                    <w:rPr>
                      <w:color w:val="auto"/>
                    </w:rPr>
                  </w:pPr>
                </w:p>
              </w:tc>
              <w:tc>
                <w:tcPr>
                  <w:tcW w:w="1942" w:type="pct"/>
                  <w:gridSpan w:val="3"/>
                  <w:tcBorders>
                    <w:tl2br w:val="nil"/>
                    <w:tr2bl w:val="nil"/>
                  </w:tcBorders>
                  <w:vAlign w:val="center"/>
                </w:tcPr>
                <w:p w14:paraId="441E627B">
                  <w:pPr>
                    <w:pStyle w:val="37"/>
                    <w:bidi w:val="0"/>
                    <w:rPr>
                      <w:color w:val="auto"/>
                    </w:rPr>
                  </w:pPr>
                  <w:r>
                    <w:rPr>
                      <w:color w:val="auto"/>
                    </w:rPr>
                    <w:t>年平均风速（125m高度）</w:t>
                  </w:r>
                </w:p>
              </w:tc>
              <w:tc>
                <w:tcPr>
                  <w:tcW w:w="999" w:type="pct"/>
                  <w:tcBorders>
                    <w:tl2br w:val="nil"/>
                    <w:tr2bl w:val="nil"/>
                  </w:tcBorders>
                  <w:vAlign w:val="center"/>
                </w:tcPr>
                <w:p w14:paraId="790B1AFD">
                  <w:pPr>
                    <w:pStyle w:val="37"/>
                    <w:bidi w:val="0"/>
                    <w:rPr>
                      <w:color w:val="auto"/>
                    </w:rPr>
                  </w:pPr>
                  <w:r>
                    <w:rPr>
                      <w:color w:val="auto"/>
                    </w:rPr>
                    <w:t>m/s</w:t>
                  </w:r>
                </w:p>
              </w:tc>
              <w:tc>
                <w:tcPr>
                  <w:tcW w:w="1110" w:type="pct"/>
                  <w:tcBorders>
                    <w:tl2br w:val="nil"/>
                    <w:tr2bl w:val="nil"/>
                  </w:tcBorders>
                  <w:vAlign w:val="center"/>
                </w:tcPr>
                <w:p w14:paraId="4E512D0C">
                  <w:pPr>
                    <w:pStyle w:val="37"/>
                    <w:bidi w:val="0"/>
                    <w:rPr>
                      <w:color w:val="auto"/>
                    </w:rPr>
                  </w:pPr>
                  <w:r>
                    <w:rPr>
                      <w:color w:val="auto"/>
                    </w:rPr>
                    <w:t>7.03</w:t>
                  </w:r>
                </w:p>
              </w:tc>
              <w:tc>
                <w:tcPr>
                  <w:tcW w:w="729" w:type="pct"/>
                  <w:tcBorders>
                    <w:tl2br w:val="nil"/>
                    <w:tr2bl w:val="nil"/>
                  </w:tcBorders>
                  <w:vAlign w:val="center"/>
                </w:tcPr>
                <w:p w14:paraId="40D6B899">
                  <w:pPr>
                    <w:pStyle w:val="37"/>
                    <w:bidi w:val="0"/>
                    <w:rPr>
                      <w:color w:val="auto"/>
                    </w:rPr>
                  </w:pPr>
                  <w:r>
                    <w:rPr>
                      <w:color w:val="auto"/>
                    </w:rPr>
                    <w:t>全场机位平均</w:t>
                  </w:r>
                </w:p>
              </w:tc>
            </w:tr>
            <w:tr w14:paraId="362B20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9" w:type="pct"/>
                  <w:vMerge w:val="continue"/>
                  <w:tcBorders>
                    <w:tl2br w:val="nil"/>
                    <w:tr2bl w:val="nil"/>
                  </w:tcBorders>
                  <w:textDirection w:val="tbRlV"/>
                  <w:vAlign w:val="center"/>
                </w:tcPr>
                <w:p w14:paraId="3D2DC549">
                  <w:pPr>
                    <w:pStyle w:val="37"/>
                    <w:bidi w:val="0"/>
                    <w:rPr>
                      <w:color w:val="auto"/>
                    </w:rPr>
                  </w:pPr>
                </w:p>
              </w:tc>
              <w:tc>
                <w:tcPr>
                  <w:tcW w:w="1942" w:type="pct"/>
                  <w:gridSpan w:val="3"/>
                  <w:tcBorders>
                    <w:tl2br w:val="nil"/>
                    <w:tr2bl w:val="nil"/>
                  </w:tcBorders>
                  <w:vAlign w:val="center"/>
                </w:tcPr>
                <w:p w14:paraId="5A0DE503">
                  <w:pPr>
                    <w:pStyle w:val="37"/>
                    <w:bidi w:val="0"/>
                    <w:rPr>
                      <w:color w:val="auto"/>
                    </w:rPr>
                  </w:pPr>
                  <w:r>
                    <w:rPr>
                      <w:color w:val="auto"/>
                    </w:rPr>
                    <w:t>风功率密度（125m高度）</w:t>
                  </w:r>
                </w:p>
              </w:tc>
              <w:tc>
                <w:tcPr>
                  <w:tcW w:w="999" w:type="pct"/>
                  <w:tcBorders>
                    <w:tl2br w:val="nil"/>
                    <w:tr2bl w:val="nil"/>
                  </w:tcBorders>
                  <w:vAlign w:val="center"/>
                </w:tcPr>
                <w:p w14:paraId="5AC72A3D">
                  <w:pPr>
                    <w:pStyle w:val="37"/>
                    <w:bidi w:val="0"/>
                    <w:rPr>
                      <w:color w:val="auto"/>
                    </w:rPr>
                  </w:pPr>
                  <w:r>
                    <w:rPr>
                      <w:color w:val="auto"/>
                    </w:rPr>
                    <w:t>W/m</w:t>
                  </w:r>
                  <w:r>
                    <w:rPr>
                      <w:color w:val="auto"/>
                      <w:vertAlign w:val="superscript"/>
                    </w:rPr>
                    <w:t>2</w:t>
                  </w:r>
                </w:p>
              </w:tc>
              <w:tc>
                <w:tcPr>
                  <w:tcW w:w="1110" w:type="pct"/>
                  <w:tcBorders>
                    <w:tl2br w:val="nil"/>
                    <w:tr2bl w:val="nil"/>
                  </w:tcBorders>
                  <w:vAlign w:val="center"/>
                </w:tcPr>
                <w:p w14:paraId="52563383">
                  <w:pPr>
                    <w:pStyle w:val="37"/>
                    <w:bidi w:val="0"/>
                    <w:rPr>
                      <w:color w:val="auto"/>
                    </w:rPr>
                  </w:pPr>
                  <w:r>
                    <w:rPr>
                      <w:color w:val="auto"/>
                    </w:rPr>
                    <w:t>287.23</w:t>
                  </w:r>
                </w:p>
              </w:tc>
              <w:tc>
                <w:tcPr>
                  <w:tcW w:w="729" w:type="pct"/>
                  <w:tcBorders>
                    <w:tl2br w:val="nil"/>
                    <w:tr2bl w:val="nil"/>
                  </w:tcBorders>
                  <w:vAlign w:val="center"/>
                </w:tcPr>
                <w:p w14:paraId="5EFCAF94">
                  <w:pPr>
                    <w:pStyle w:val="37"/>
                    <w:bidi w:val="0"/>
                    <w:rPr>
                      <w:color w:val="auto"/>
                    </w:rPr>
                  </w:pPr>
                  <w:r>
                    <w:rPr>
                      <w:color w:val="auto"/>
                    </w:rPr>
                    <w:t>全场机位平均</w:t>
                  </w:r>
                </w:p>
              </w:tc>
            </w:tr>
            <w:tr w14:paraId="68C459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72B40BED">
                  <w:pPr>
                    <w:pStyle w:val="37"/>
                    <w:bidi w:val="0"/>
                    <w:rPr>
                      <w:color w:val="auto"/>
                    </w:rPr>
                  </w:pPr>
                </w:p>
              </w:tc>
              <w:tc>
                <w:tcPr>
                  <w:tcW w:w="1942" w:type="pct"/>
                  <w:gridSpan w:val="3"/>
                  <w:tcBorders>
                    <w:tl2br w:val="nil"/>
                    <w:tr2bl w:val="nil"/>
                  </w:tcBorders>
                  <w:vAlign w:val="center"/>
                </w:tcPr>
                <w:p w14:paraId="7D85F2D4">
                  <w:pPr>
                    <w:pStyle w:val="37"/>
                    <w:bidi w:val="0"/>
                    <w:rPr>
                      <w:color w:val="auto"/>
                    </w:rPr>
                  </w:pPr>
                  <w:r>
                    <w:rPr>
                      <w:color w:val="auto"/>
                    </w:rPr>
                    <w:t>盛行风向</w:t>
                  </w:r>
                </w:p>
              </w:tc>
              <w:tc>
                <w:tcPr>
                  <w:tcW w:w="999" w:type="pct"/>
                  <w:tcBorders>
                    <w:tl2br w:val="nil"/>
                    <w:tr2bl w:val="nil"/>
                  </w:tcBorders>
                  <w:vAlign w:val="center"/>
                </w:tcPr>
                <w:p w14:paraId="5191E082">
                  <w:pPr>
                    <w:pStyle w:val="37"/>
                    <w:bidi w:val="0"/>
                    <w:rPr>
                      <w:rFonts w:hint="eastAsia" w:eastAsia="宋体"/>
                      <w:color w:val="auto"/>
                      <w:lang w:val="en-US" w:eastAsia="zh-CN"/>
                    </w:rPr>
                  </w:pPr>
                  <w:r>
                    <w:rPr>
                      <w:rFonts w:hint="eastAsia"/>
                      <w:color w:val="auto"/>
                      <w:lang w:val="en-US" w:eastAsia="zh-CN"/>
                    </w:rPr>
                    <w:t>/</w:t>
                  </w:r>
                </w:p>
              </w:tc>
              <w:tc>
                <w:tcPr>
                  <w:tcW w:w="1110" w:type="pct"/>
                  <w:tcBorders>
                    <w:tl2br w:val="nil"/>
                    <w:tr2bl w:val="nil"/>
                  </w:tcBorders>
                  <w:vAlign w:val="center"/>
                </w:tcPr>
                <w:p w14:paraId="5F9C1EFF">
                  <w:pPr>
                    <w:pStyle w:val="37"/>
                    <w:bidi w:val="0"/>
                    <w:rPr>
                      <w:color w:val="auto"/>
                    </w:rPr>
                  </w:pPr>
                  <w:r>
                    <w:rPr>
                      <w:color w:val="auto"/>
                    </w:rPr>
                    <w:t>S</w:t>
                  </w:r>
                  <w:r>
                    <w:rPr>
                      <w:rFonts w:hint="eastAsia"/>
                      <w:color w:val="auto"/>
                      <w:lang w:eastAsia="zh-CN"/>
                    </w:rPr>
                    <w:t>~</w:t>
                  </w:r>
                  <w:r>
                    <w:rPr>
                      <w:color w:val="auto"/>
                    </w:rPr>
                    <w:t>SW</w:t>
                  </w:r>
                </w:p>
              </w:tc>
              <w:tc>
                <w:tcPr>
                  <w:tcW w:w="729" w:type="pct"/>
                  <w:tcBorders>
                    <w:tl2br w:val="nil"/>
                    <w:tr2bl w:val="nil"/>
                  </w:tcBorders>
                  <w:vAlign w:val="center"/>
                </w:tcPr>
                <w:p w14:paraId="49099180">
                  <w:pPr>
                    <w:pStyle w:val="37"/>
                    <w:bidi w:val="0"/>
                    <w:rPr>
                      <w:color w:val="auto"/>
                    </w:rPr>
                  </w:pPr>
                </w:p>
              </w:tc>
            </w:tr>
            <w:tr w14:paraId="5CB5B62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restart"/>
                  <w:tcBorders>
                    <w:tl2br w:val="nil"/>
                    <w:tr2bl w:val="nil"/>
                  </w:tcBorders>
                  <w:vAlign w:val="center"/>
                </w:tcPr>
                <w:p w14:paraId="46934061">
                  <w:pPr>
                    <w:pStyle w:val="37"/>
                    <w:bidi w:val="0"/>
                    <w:rPr>
                      <w:color w:val="auto"/>
                    </w:rPr>
                  </w:pPr>
                  <w:r>
                    <w:rPr>
                      <w:color w:val="auto"/>
                    </w:rPr>
                    <w:t>主要设备</w:t>
                  </w:r>
                </w:p>
              </w:tc>
              <w:tc>
                <w:tcPr>
                  <w:tcW w:w="451" w:type="pct"/>
                  <w:vMerge w:val="restart"/>
                  <w:tcBorders>
                    <w:tl2br w:val="nil"/>
                    <w:tr2bl w:val="nil"/>
                  </w:tcBorders>
                  <w:vAlign w:val="center"/>
                </w:tcPr>
                <w:p w14:paraId="147B92A5">
                  <w:pPr>
                    <w:pStyle w:val="37"/>
                    <w:bidi w:val="0"/>
                    <w:rPr>
                      <w:color w:val="auto"/>
                    </w:rPr>
                  </w:pPr>
                  <w:r>
                    <w:rPr>
                      <w:color w:val="auto"/>
                    </w:rPr>
                    <w:t>风电场主要机电设备</w:t>
                  </w:r>
                </w:p>
              </w:tc>
              <w:tc>
                <w:tcPr>
                  <w:tcW w:w="621" w:type="pct"/>
                  <w:vMerge w:val="restart"/>
                  <w:tcBorders>
                    <w:tl2br w:val="nil"/>
                    <w:tr2bl w:val="nil"/>
                  </w:tcBorders>
                  <w:vAlign w:val="center"/>
                </w:tcPr>
                <w:p w14:paraId="3752DD67">
                  <w:pPr>
                    <w:pStyle w:val="37"/>
                    <w:bidi w:val="0"/>
                    <w:rPr>
                      <w:color w:val="auto"/>
                    </w:rPr>
                  </w:pPr>
                  <w:r>
                    <w:rPr>
                      <w:color w:val="auto"/>
                    </w:rPr>
                    <w:t>风电机组</w:t>
                  </w:r>
                </w:p>
              </w:tc>
              <w:tc>
                <w:tcPr>
                  <w:tcW w:w="869" w:type="pct"/>
                  <w:tcBorders>
                    <w:tl2br w:val="nil"/>
                    <w:tr2bl w:val="nil"/>
                  </w:tcBorders>
                  <w:vAlign w:val="center"/>
                </w:tcPr>
                <w:p w14:paraId="57CDB1B8">
                  <w:pPr>
                    <w:pStyle w:val="37"/>
                    <w:bidi w:val="0"/>
                    <w:rPr>
                      <w:color w:val="auto"/>
                    </w:rPr>
                  </w:pPr>
                  <w:r>
                    <w:rPr>
                      <w:color w:val="auto"/>
                    </w:rPr>
                    <w:t>台数</w:t>
                  </w:r>
                </w:p>
              </w:tc>
              <w:tc>
                <w:tcPr>
                  <w:tcW w:w="999" w:type="pct"/>
                  <w:tcBorders>
                    <w:tl2br w:val="nil"/>
                    <w:tr2bl w:val="nil"/>
                  </w:tcBorders>
                  <w:vAlign w:val="center"/>
                </w:tcPr>
                <w:p w14:paraId="464F3105">
                  <w:pPr>
                    <w:pStyle w:val="37"/>
                    <w:bidi w:val="0"/>
                    <w:rPr>
                      <w:color w:val="auto"/>
                    </w:rPr>
                  </w:pPr>
                  <w:r>
                    <w:rPr>
                      <w:color w:val="auto"/>
                    </w:rPr>
                    <w:t>台</w:t>
                  </w:r>
                </w:p>
              </w:tc>
              <w:tc>
                <w:tcPr>
                  <w:tcW w:w="1110" w:type="pct"/>
                  <w:tcBorders>
                    <w:tl2br w:val="nil"/>
                    <w:tr2bl w:val="nil"/>
                  </w:tcBorders>
                  <w:vAlign w:val="center"/>
                </w:tcPr>
                <w:p w14:paraId="5F7DED6E">
                  <w:pPr>
                    <w:pStyle w:val="37"/>
                    <w:bidi w:val="0"/>
                    <w:rPr>
                      <w:color w:val="auto"/>
                    </w:rPr>
                  </w:pPr>
                  <w:r>
                    <w:rPr>
                      <w:color w:val="auto"/>
                    </w:rPr>
                    <w:t>4</w:t>
                  </w:r>
                </w:p>
              </w:tc>
              <w:tc>
                <w:tcPr>
                  <w:tcW w:w="729" w:type="pct"/>
                  <w:tcBorders>
                    <w:tl2br w:val="nil"/>
                    <w:tr2bl w:val="nil"/>
                  </w:tcBorders>
                  <w:vAlign w:val="center"/>
                </w:tcPr>
                <w:p w14:paraId="0E756239">
                  <w:pPr>
                    <w:pStyle w:val="37"/>
                    <w:bidi w:val="0"/>
                    <w:rPr>
                      <w:color w:val="auto"/>
                    </w:rPr>
                  </w:pPr>
                </w:p>
              </w:tc>
            </w:tr>
            <w:tr w14:paraId="73991C7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6A1C1A6E">
                  <w:pPr>
                    <w:pStyle w:val="37"/>
                    <w:bidi w:val="0"/>
                    <w:rPr>
                      <w:color w:val="auto"/>
                    </w:rPr>
                  </w:pPr>
                </w:p>
              </w:tc>
              <w:tc>
                <w:tcPr>
                  <w:tcW w:w="451" w:type="pct"/>
                  <w:vMerge w:val="continue"/>
                  <w:tcBorders>
                    <w:tl2br w:val="nil"/>
                    <w:tr2bl w:val="nil"/>
                  </w:tcBorders>
                  <w:textDirection w:val="tbRlV"/>
                  <w:vAlign w:val="center"/>
                </w:tcPr>
                <w:p w14:paraId="22440899">
                  <w:pPr>
                    <w:pStyle w:val="37"/>
                    <w:bidi w:val="0"/>
                    <w:rPr>
                      <w:color w:val="auto"/>
                    </w:rPr>
                  </w:pPr>
                </w:p>
              </w:tc>
              <w:tc>
                <w:tcPr>
                  <w:tcW w:w="621" w:type="pct"/>
                  <w:vMerge w:val="continue"/>
                  <w:tcBorders>
                    <w:tl2br w:val="nil"/>
                    <w:tr2bl w:val="nil"/>
                  </w:tcBorders>
                  <w:vAlign w:val="center"/>
                </w:tcPr>
                <w:p w14:paraId="438247B6">
                  <w:pPr>
                    <w:pStyle w:val="37"/>
                    <w:bidi w:val="0"/>
                    <w:rPr>
                      <w:color w:val="auto"/>
                    </w:rPr>
                  </w:pPr>
                </w:p>
              </w:tc>
              <w:tc>
                <w:tcPr>
                  <w:tcW w:w="869" w:type="pct"/>
                  <w:tcBorders>
                    <w:tl2br w:val="nil"/>
                    <w:tr2bl w:val="nil"/>
                  </w:tcBorders>
                  <w:vAlign w:val="center"/>
                </w:tcPr>
                <w:p w14:paraId="670468E3">
                  <w:pPr>
                    <w:pStyle w:val="37"/>
                    <w:bidi w:val="0"/>
                    <w:rPr>
                      <w:color w:val="auto"/>
                    </w:rPr>
                  </w:pPr>
                  <w:r>
                    <w:rPr>
                      <w:color w:val="auto"/>
                    </w:rPr>
                    <w:t>额定功率</w:t>
                  </w:r>
                </w:p>
              </w:tc>
              <w:tc>
                <w:tcPr>
                  <w:tcW w:w="999" w:type="pct"/>
                  <w:tcBorders>
                    <w:tl2br w:val="nil"/>
                    <w:tr2bl w:val="nil"/>
                  </w:tcBorders>
                  <w:vAlign w:val="center"/>
                </w:tcPr>
                <w:p w14:paraId="0F092D06">
                  <w:pPr>
                    <w:pStyle w:val="37"/>
                    <w:bidi w:val="0"/>
                    <w:rPr>
                      <w:color w:val="auto"/>
                    </w:rPr>
                  </w:pPr>
                  <w:r>
                    <w:rPr>
                      <w:color w:val="auto"/>
                    </w:rPr>
                    <w:t>kW</w:t>
                  </w:r>
                </w:p>
              </w:tc>
              <w:tc>
                <w:tcPr>
                  <w:tcW w:w="1110" w:type="pct"/>
                  <w:tcBorders>
                    <w:tl2br w:val="nil"/>
                    <w:tr2bl w:val="nil"/>
                  </w:tcBorders>
                  <w:vAlign w:val="center"/>
                </w:tcPr>
                <w:p w14:paraId="361657D6">
                  <w:pPr>
                    <w:pStyle w:val="37"/>
                    <w:bidi w:val="0"/>
                    <w:rPr>
                      <w:color w:val="auto"/>
                    </w:rPr>
                  </w:pPr>
                  <w:r>
                    <w:rPr>
                      <w:color w:val="auto"/>
                    </w:rPr>
                    <w:t>7500</w:t>
                  </w:r>
                </w:p>
              </w:tc>
              <w:tc>
                <w:tcPr>
                  <w:tcW w:w="729" w:type="pct"/>
                  <w:tcBorders>
                    <w:tl2br w:val="nil"/>
                    <w:tr2bl w:val="nil"/>
                  </w:tcBorders>
                  <w:vAlign w:val="center"/>
                </w:tcPr>
                <w:p w14:paraId="5B9B1998">
                  <w:pPr>
                    <w:pStyle w:val="37"/>
                    <w:bidi w:val="0"/>
                    <w:rPr>
                      <w:color w:val="auto"/>
                    </w:rPr>
                  </w:pPr>
                </w:p>
              </w:tc>
            </w:tr>
            <w:tr w14:paraId="3AE5E5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44E34172">
                  <w:pPr>
                    <w:pStyle w:val="37"/>
                    <w:bidi w:val="0"/>
                    <w:rPr>
                      <w:color w:val="auto"/>
                    </w:rPr>
                  </w:pPr>
                </w:p>
              </w:tc>
              <w:tc>
                <w:tcPr>
                  <w:tcW w:w="451" w:type="pct"/>
                  <w:vMerge w:val="continue"/>
                  <w:tcBorders>
                    <w:tl2br w:val="nil"/>
                    <w:tr2bl w:val="nil"/>
                  </w:tcBorders>
                  <w:textDirection w:val="tbRlV"/>
                  <w:vAlign w:val="center"/>
                </w:tcPr>
                <w:p w14:paraId="5B263C59">
                  <w:pPr>
                    <w:pStyle w:val="37"/>
                    <w:bidi w:val="0"/>
                    <w:rPr>
                      <w:color w:val="auto"/>
                    </w:rPr>
                  </w:pPr>
                </w:p>
              </w:tc>
              <w:tc>
                <w:tcPr>
                  <w:tcW w:w="621" w:type="pct"/>
                  <w:vMerge w:val="continue"/>
                  <w:tcBorders>
                    <w:tl2br w:val="nil"/>
                    <w:tr2bl w:val="nil"/>
                  </w:tcBorders>
                  <w:vAlign w:val="center"/>
                </w:tcPr>
                <w:p w14:paraId="4B46FB85">
                  <w:pPr>
                    <w:pStyle w:val="37"/>
                    <w:bidi w:val="0"/>
                    <w:rPr>
                      <w:color w:val="auto"/>
                    </w:rPr>
                  </w:pPr>
                </w:p>
              </w:tc>
              <w:tc>
                <w:tcPr>
                  <w:tcW w:w="869" w:type="pct"/>
                  <w:tcBorders>
                    <w:tl2br w:val="nil"/>
                    <w:tr2bl w:val="nil"/>
                  </w:tcBorders>
                  <w:vAlign w:val="center"/>
                </w:tcPr>
                <w:p w14:paraId="1F155AE3">
                  <w:pPr>
                    <w:pStyle w:val="37"/>
                    <w:bidi w:val="0"/>
                    <w:rPr>
                      <w:color w:val="auto"/>
                    </w:rPr>
                  </w:pPr>
                  <w:r>
                    <w:rPr>
                      <w:color w:val="auto"/>
                    </w:rPr>
                    <w:t>叶片数</w:t>
                  </w:r>
                </w:p>
              </w:tc>
              <w:tc>
                <w:tcPr>
                  <w:tcW w:w="999" w:type="pct"/>
                  <w:tcBorders>
                    <w:tl2br w:val="nil"/>
                    <w:tr2bl w:val="nil"/>
                  </w:tcBorders>
                  <w:vAlign w:val="center"/>
                </w:tcPr>
                <w:p w14:paraId="52C190A6">
                  <w:pPr>
                    <w:pStyle w:val="37"/>
                    <w:bidi w:val="0"/>
                    <w:rPr>
                      <w:color w:val="auto"/>
                    </w:rPr>
                  </w:pPr>
                  <w:r>
                    <w:rPr>
                      <w:color w:val="auto"/>
                    </w:rPr>
                    <w:t>个</w:t>
                  </w:r>
                </w:p>
              </w:tc>
              <w:tc>
                <w:tcPr>
                  <w:tcW w:w="1110" w:type="pct"/>
                  <w:tcBorders>
                    <w:tl2br w:val="nil"/>
                    <w:tr2bl w:val="nil"/>
                  </w:tcBorders>
                  <w:vAlign w:val="center"/>
                </w:tcPr>
                <w:p w14:paraId="37D156D2">
                  <w:pPr>
                    <w:pStyle w:val="37"/>
                    <w:bidi w:val="0"/>
                    <w:rPr>
                      <w:color w:val="auto"/>
                    </w:rPr>
                  </w:pPr>
                  <w:r>
                    <w:rPr>
                      <w:color w:val="auto"/>
                    </w:rPr>
                    <w:t>3</w:t>
                  </w:r>
                </w:p>
              </w:tc>
              <w:tc>
                <w:tcPr>
                  <w:tcW w:w="729" w:type="pct"/>
                  <w:tcBorders>
                    <w:tl2br w:val="nil"/>
                    <w:tr2bl w:val="nil"/>
                  </w:tcBorders>
                  <w:vAlign w:val="center"/>
                </w:tcPr>
                <w:p w14:paraId="4D03B67C">
                  <w:pPr>
                    <w:pStyle w:val="37"/>
                    <w:bidi w:val="0"/>
                    <w:rPr>
                      <w:color w:val="auto"/>
                    </w:rPr>
                  </w:pPr>
                </w:p>
              </w:tc>
            </w:tr>
            <w:tr w14:paraId="3822A4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4B6E3C5C">
                  <w:pPr>
                    <w:pStyle w:val="37"/>
                    <w:bidi w:val="0"/>
                    <w:rPr>
                      <w:color w:val="auto"/>
                    </w:rPr>
                  </w:pPr>
                </w:p>
              </w:tc>
              <w:tc>
                <w:tcPr>
                  <w:tcW w:w="451" w:type="pct"/>
                  <w:vMerge w:val="continue"/>
                  <w:tcBorders>
                    <w:tl2br w:val="nil"/>
                    <w:tr2bl w:val="nil"/>
                  </w:tcBorders>
                  <w:textDirection w:val="tbRlV"/>
                  <w:vAlign w:val="center"/>
                </w:tcPr>
                <w:p w14:paraId="2D198E93">
                  <w:pPr>
                    <w:pStyle w:val="37"/>
                    <w:bidi w:val="0"/>
                    <w:rPr>
                      <w:color w:val="auto"/>
                    </w:rPr>
                  </w:pPr>
                </w:p>
              </w:tc>
              <w:tc>
                <w:tcPr>
                  <w:tcW w:w="621" w:type="pct"/>
                  <w:vMerge w:val="continue"/>
                  <w:tcBorders>
                    <w:tl2br w:val="nil"/>
                    <w:tr2bl w:val="nil"/>
                  </w:tcBorders>
                  <w:vAlign w:val="center"/>
                </w:tcPr>
                <w:p w14:paraId="516E3DE2">
                  <w:pPr>
                    <w:pStyle w:val="37"/>
                    <w:bidi w:val="0"/>
                    <w:rPr>
                      <w:color w:val="auto"/>
                    </w:rPr>
                  </w:pPr>
                </w:p>
              </w:tc>
              <w:tc>
                <w:tcPr>
                  <w:tcW w:w="869" w:type="pct"/>
                  <w:tcBorders>
                    <w:tl2br w:val="nil"/>
                    <w:tr2bl w:val="nil"/>
                  </w:tcBorders>
                  <w:vAlign w:val="center"/>
                </w:tcPr>
                <w:p w14:paraId="1B3C0296">
                  <w:pPr>
                    <w:pStyle w:val="37"/>
                    <w:bidi w:val="0"/>
                    <w:rPr>
                      <w:color w:val="auto"/>
                    </w:rPr>
                  </w:pPr>
                  <w:r>
                    <w:rPr>
                      <w:color w:val="auto"/>
                    </w:rPr>
                    <w:t>风轮直径</w:t>
                  </w:r>
                </w:p>
              </w:tc>
              <w:tc>
                <w:tcPr>
                  <w:tcW w:w="999" w:type="pct"/>
                  <w:tcBorders>
                    <w:tl2br w:val="nil"/>
                    <w:tr2bl w:val="nil"/>
                  </w:tcBorders>
                  <w:vAlign w:val="center"/>
                </w:tcPr>
                <w:p w14:paraId="2BA4343C">
                  <w:pPr>
                    <w:pStyle w:val="37"/>
                    <w:bidi w:val="0"/>
                    <w:rPr>
                      <w:color w:val="auto"/>
                    </w:rPr>
                  </w:pPr>
                  <w:r>
                    <w:rPr>
                      <w:color w:val="auto"/>
                    </w:rPr>
                    <w:t>m</w:t>
                  </w:r>
                </w:p>
              </w:tc>
              <w:tc>
                <w:tcPr>
                  <w:tcW w:w="1110" w:type="pct"/>
                  <w:tcBorders>
                    <w:tl2br w:val="nil"/>
                    <w:tr2bl w:val="nil"/>
                  </w:tcBorders>
                  <w:vAlign w:val="center"/>
                </w:tcPr>
                <w:p w14:paraId="52E90A61">
                  <w:pPr>
                    <w:pStyle w:val="37"/>
                    <w:bidi w:val="0"/>
                    <w:rPr>
                      <w:color w:val="auto"/>
                    </w:rPr>
                  </w:pPr>
                  <w:r>
                    <w:rPr>
                      <w:color w:val="auto"/>
                    </w:rPr>
                    <w:t>220</w:t>
                  </w:r>
                </w:p>
              </w:tc>
              <w:tc>
                <w:tcPr>
                  <w:tcW w:w="729" w:type="pct"/>
                  <w:tcBorders>
                    <w:tl2br w:val="nil"/>
                    <w:tr2bl w:val="nil"/>
                  </w:tcBorders>
                  <w:vAlign w:val="center"/>
                </w:tcPr>
                <w:p w14:paraId="499DAE0C">
                  <w:pPr>
                    <w:pStyle w:val="37"/>
                    <w:bidi w:val="0"/>
                    <w:rPr>
                      <w:color w:val="auto"/>
                    </w:rPr>
                  </w:pPr>
                </w:p>
              </w:tc>
            </w:tr>
            <w:tr w14:paraId="014231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4E33F81D">
                  <w:pPr>
                    <w:pStyle w:val="37"/>
                    <w:bidi w:val="0"/>
                    <w:rPr>
                      <w:color w:val="auto"/>
                    </w:rPr>
                  </w:pPr>
                </w:p>
              </w:tc>
              <w:tc>
                <w:tcPr>
                  <w:tcW w:w="451" w:type="pct"/>
                  <w:vMerge w:val="continue"/>
                  <w:tcBorders>
                    <w:tl2br w:val="nil"/>
                    <w:tr2bl w:val="nil"/>
                  </w:tcBorders>
                  <w:textDirection w:val="tbRlV"/>
                  <w:vAlign w:val="center"/>
                </w:tcPr>
                <w:p w14:paraId="2D9E4889">
                  <w:pPr>
                    <w:pStyle w:val="37"/>
                    <w:bidi w:val="0"/>
                    <w:rPr>
                      <w:color w:val="auto"/>
                    </w:rPr>
                  </w:pPr>
                </w:p>
              </w:tc>
              <w:tc>
                <w:tcPr>
                  <w:tcW w:w="621" w:type="pct"/>
                  <w:vMerge w:val="continue"/>
                  <w:tcBorders>
                    <w:tl2br w:val="nil"/>
                    <w:tr2bl w:val="nil"/>
                  </w:tcBorders>
                  <w:vAlign w:val="center"/>
                </w:tcPr>
                <w:p w14:paraId="6E1617A1">
                  <w:pPr>
                    <w:pStyle w:val="37"/>
                    <w:bidi w:val="0"/>
                    <w:rPr>
                      <w:color w:val="auto"/>
                    </w:rPr>
                  </w:pPr>
                </w:p>
              </w:tc>
              <w:tc>
                <w:tcPr>
                  <w:tcW w:w="869" w:type="pct"/>
                  <w:tcBorders>
                    <w:tl2br w:val="nil"/>
                    <w:tr2bl w:val="nil"/>
                  </w:tcBorders>
                  <w:vAlign w:val="center"/>
                </w:tcPr>
                <w:p w14:paraId="3FC1B22F">
                  <w:pPr>
                    <w:pStyle w:val="37"/>
                    <w:bidi w:val="0"/>
                    <w:rPr>
                      <w:color w:val="auto"/>
                    </w:rPr>
                  </w:pPr>
                  <w:r>
                    <w:rPr>
                      <w:color w:val="auto"/>
                    </w:rPr>
                    <w:t>风轮扫风面积</w:t>
                  </w:r>
                </w:p>
              </w:tc>
              <w:tc>
                <w:tcPr>
                  <w:tcW w:w="999" w:type="pct"/>
                  <w:tcBorders>
                    <w:tl2br w:val="nil"/>
                    <w:tr2bl w:val="nil"/>
                  </w:tcBorders>
                  <w:vAlign w:val="center"/>
                </w:tcPr>
                <w:p w14:paraId="0E338ED6">
                  <w:pPr>
                    <w:pStyle w:val="37"/>
                    <w:bidi w:val="0"/>
                    <w:rPr>
                      <w:color w:val="auto"/>
                    </w:rPr>
                  </w:pPr>
                  <w:r>
                    <w:rPr>
                      <w:color w:val="auto"/>
                    </w:rPr>
                    <w:t>m</w:t>
                  </w:r>
                  <w:r>
                    <w:rPr>
                      <w:color w:val="auto"/>
                      <w:vertAlign w:val="superscript"/>
                    </w:rPr>
                    <w:t>2</w:t>
                  </w:r>
                </w:p>
              </w:tc>
              <w:tc>
                <w:tcPr>
                  <w:tcW w:w="1110" w:type="pct"/>
                  <w:tcBorders>
                    <w:tl2br w:val="nil"/>
                    <w:tr2bl w:val="nil"/>
                  </w:tcBorders>
                  <w:vAlign w:val="center"/>
                </w:tcPr>
                <w:p w14:paraId="0F2B93C5">
                  <w:pPr>
                    <w:pStyle w:val="37"/>
                    <w:bidi w:val="0"/>
                    <w:rPr>
                      <w:color w:val="auto"/>
                    </w:rPr>
                  </w:pPr>
                  <w:r>
                    <w:rPr>
                      <w:color w:val="auto"/>
                    </w:rPr>
                    <w:t>38013.27</w:t>
                  </w:r>
                </w:p>
              </w:tc>
              <w:tc>
                <w:tcPr>
                  <w:tcW w:w="729" w:type="pct"/>
                  <w:tcBorders>
                    <w:tl2br w:val="nil"/>
                    <w:tr2bl w:val="nil"/>
                  </w:tcBorders>
                  <w:vAlign w:val="center"/>
                </w:tcPr>
                <w:p w14:paraId="6B00F32A">
                  <w:pPr>
                    <w:pStyle w:val="37"/>
                    <w:bidi w:val="0"/>
                    <w:rPr>
                      <w:color w:val="auto"/>
                    </w:rPr>
                  </w:pPr>
                </w:p>
              </w:tc>
            </w:tr>
            <w:tr w14:paraId="3BB048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249FBC76">
                  <w:pPr>
                    <w:pStyle w:val="37"/>
                    <w:bidi w:val="0"/>
                    <w:rPr>
                      <w:color w:val="auto"/>
                    </w:rPr>
                  </w:pPr>
                </w:p>
              </w:tc>
              <w:tc>
                <w:tcPr>
                  <w:tcW w:w="451" w:type="pct"/>
                  <w:vMerge w:val="continue"/>
                  <w:tcBorders>
                    <w:tl2br w:val="nil"/>
                    <w:tr2bl w:val="nil"/>
                  </w:tcBorders>
                  <w:textDirection w:val="tbRlV"/>
                  <w:vAlign w:val="center"/>
                </w:tcPr>
                <w:p w14:paraId="32507433">
                  <w:pPr>
                    <w:pStyle w:val="37"/>
                    <w:bidi w:val="0"/>
                    <w:rPr>
                      <w:color w:val="auto"/>
                    </w:rPr>
                  </w:pPr>
                </w:p>
              </w:tc>
              <w:tc>
                <w:tcPr>
                  <w:tcW w:w="621" w:type="pct"/>
                  <w:vMerge w:val="continue"/>
                  <w:tcBorders>
                    <w:tl2br w:val="nil"/>
                    <w:tr2bl w:val="nil"/>
                  </w:tcBorders>
                  <w:vAlign w:val="center"/>
                </w:tcPr>
                <w:p w14:paraId="4ACF3B4D">
                  <w:pPr>
                    <w:pStyle w:val="37"/>
                    <w:bidi w:val="0"/>
                    <w:rPr>
                      <w:color w:val="auto"/>
                    </w:rPr>
                  </w:pPr>
                </w:p>
              </w:tc>
              <w:tc>
                <w:tcPr>
                  <w:tcW w:w="869" w:type="pct"/>
                  <w:tcBorders>
                    <w:tl2br w:val="nil"/>
                    <w:tr2bl w:val="nil"/>
                  </w:tcBorders>
                  <w:vAlign w:val="center"/>
                </w:tcPr>
                <w:p w14:paraId="01B009BD">
                  <w:pPr>
                    <w:pStyle w:val="37"/>
                    <w:bidi w:val="0"/>
                    <w:rPr>
                      <w:color w:val="auto"/>
                    </w:rPr>
                  </w:pPr>
                  <w:r>
                    <w:rPr>
                      <w:color w:val="auto"/>
                    </w:rPr>
                    <w:t>切入风速</w:t>
                  </w:r>
                </w:p>
              </w:tc>
              <w:tc>
                <w:tcPr>
                  <w:tcW w:w="999" w:type="pct"/>
                  <w:tcBorders>
                    <w:tl2br w:val="nil"/>
                    <w:tr2bl w:val="nil"/>
                  </w:tcBorders>
                  <w:vAlign w:val="center"/>
                </w:tcPr>
                <w:p w14:paraId="415D5089">
                  <w:pPr>
                    <w:pStyle w:val="37"/>
                    <w:bidi w:val="0"/>
                    <w:rPr>
                      <w:color w:val="auto"/>
                    </w:rPr>
                  </w:pPr>
                  <w:r>
                    <w:rPr>
                      <w:color w:val="auto"/>
                    </w:rPr>
                    <w:t>m/s</w:t>
                  </w:r>
                </w:p>
              </w:tc>
              <w:tc>
                <w:tcPr>
                  <w:tcW w:w="1110" w:type="pct"/>
                  <w:tcBorders>
                    <w:tl2br w:val="nil"/>
                    <w:tr2bl w:val="nil"/>
                  </w:tcBorders>
                  <w:vAlign w:val="center"/>
                </w:tcPr>
                <w:p w14:paraId="66EE0394">
                  <w:pPr>
                    <w:pStyle w:val="37"/>
                    <w:bidi w:val="0"/>
                    <w:rPr>
                      <w:color w:val="auto"/>
                    </w:rPr>
                  </w:pPr>
                  <w:r>
                    <w:rPr>
                      <w:color w:val="auto"/>
                    </w:rPr>
                    <w:t>3</w:t>
                  </w:r>
                </w:p>
              </w:tc>
              <w:tc>
                <w:tcPr>
                  <w:tcW w:w="729" w:type="pct"/>
                  <w:tcBorders>
                    <w:tl2br w:val="nil"/>
                    <w:tr2bl w:val="nil"/>
                  </w:tcBorders>
                  <w:vAlign w:val="center"/>
                </w:tcPr>
                <w:p w14:paraId="32B56E5C">
                  <w:pPr>
                    <w:pStyle w:val="37"/>
                    <w:bidi w:val="0"/>
                    <w:rPr>
                      <w:color w:val="auto"/>
                    </w:rPr>
                  </w:pPr>
                </w:p>
              </w:tc>
            </w:tr>
            <w:tr w14:paraId="66463D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9" w:type="pct"/>
                  <w:vMerge w:val="continue"/>
                  <w:tcBorders>
                    <w:tl2br w:val="nil"/>
                    <w:tr2bl w:val="nil"/>
                  </w:tcBorders>
                  <w:textDirection w:val="tbRlV"/>
                  <w:vAlign w:val="center"/>
                </w:tcPr>
                <w:p w14:paraId="36C8C445">
                  <w:pPr>
                    <w:pStyle w:val="37"/>
                    <w:bidi w:val="0"/>
                    <w:rPr>
                      <w:color w:val="auto"/>
                    </w:rPr>
                  </w:pPr>
                </w:p>
              </w:tc>
              <w:tc>
                <w:tcPr>
                  <w:tcW w:w="451" w:type="pct"/>
                  <w:vMerge w:val="continue"/>
                  <w:tcBorders>
                    <w:tl2br w:val="nil"/>
                    <w:tr2bl w:val="nil"/>
                  </w:tcBorders>
                  <w:textDirection w:val="tbRlV"/>
                  <w:vAlign w:val="center"/>
                </w:tcPr>
                <w:p w14:paraId="7C68A646">
                  <w:pPr>
                    <w:pStyle w:val="37"/>
                    <w:bidi w:val="0"/>
                    <w:rPr>
                      <w:color w:val="auto"/>
                    </w:rPr>
                  </w:pPr>
                </w:p>
              </w:tc>
              <w:tc>
                <w:tcPr>
                  <w:tcW w:w="621" w:type="pct"/>
                  <w:vMerge w:val="continue"/>
                  <w:tcBorders>
                    <w:tl2br w:val="nil"/>
                    <w:tr2bl w:val="nil"/>
                  </w:tcBorders>
                  <w:vAlign w:val="center"/>
                </w:tcPr>
                <w:p w14:paraId="2004EEFF">
                  <w:pPr>
                    <w:pStyle w:val="37"/>
                    <w:bidi w:val="0"/>
                    <w:rPr>
                      <w:color w:val="auto"/>
                    </w:rPr>
                  </w:pPr>
                </w:p>
              </w:tc>
              <w:tc>
                <w:tcPr>
                  <w:tcW w:w="869" w:type="pct"/>
                  <w:tcBorders>
                    <w:tl2br w:val="nil"/>
                    <w:tr2bl w:val="nil"/>
                  </w:tcBorders>
                  <w:vAlign w:val="center"/>
                </w:tcPr>
                <w:p w14:paraId="1B7741B8">
                  <w:pPr>
                    <w:pStyle w:val="37"/>
                    <w:bidi w:val="0"/>
                    <w:rPr>
                      <w:color w:val="auto"/>
                    </w:rPr>
                  </w:pPr>
                  <w:r>
                    <w:rPr>
                      <w:color w:val="auto"/>
                    </w:rPr>
                    <w:t>额定风速</w:t>
                  </w:r>
                </w:p>
              </w:tc>
              <w:tc>
                <w:tcPr>
                  <w:tcW w:w="999" w:type="pct"/>
                  <w:tcBorders>
                    <w:tl2br w:val="nil"/>
                    <w:tr2bl w:val="nil"/>
                  </w:tcBorders>
                  <w:vAlign w:val="center"/>
                </w:tcPr>
                <w:p w14:paraId="3A4775F2">
                  <w:pPr>
                    <w:pStyle w:val="37"/>
                    <w:bidi w:val="0"/>
                    <w:rPr>
                      <w:color w:val="auto"/>
                    </w:rPr>
                  </w:pPr>
                  <w:r>
                    <w:rPr>
                      <w:color w:val="auto"/>
                    </w:rPr>
                    <w:t>m/s</w:t>
                  </w:r>
                </w:p>
              </w:tc>
              <w:tc>
                <w:tcPr>
                  <w:tcW w:w="1110" w:type="pct"/>
                  <w:tcBorders>
                    <w:tl2br w:val="nil"/>
                    <w:tr2bl w:val="nil"/>
                  </w:tcBorders>
                  <w:vAlign w:val="center"/>
                </w:tcPr>
                <w:p w14:paraId="338C9E16">
                  <w:pPr>
                    <w:pStyle w:val="37"/>
                    <w:bidi w:val="0"/>
                    <w:rPr>
                      <w:color w:val="auto"/>
                    </w:rPr>
                  </w:pPr>
                  <w:r>
                    <w:rPr>
                      <w:color w:val="auto"/>
                    </w:rPr>
                    <w:t>10.5</w:t>
                  </w:r>
                </w:p>
              </w:tc>
              <w:tc>
                <w:tcPr>
                  <w:tcW w:w="729" w:type="pct"/>
                  <w:tcBorders>
                    <w:tl2br w:val="nil"/>
                    <w:tr2bl w:val="nil"/>
                  </w:tcBorders>
                  <w:vAlign w:val="center"/>
                </w:tcPr>
                <w:p w14:paraId="6111A827">
                  <w:pPr>
                    <w:pStyle w:val="37"/>
                    <w:bidi w:val="0"/>
                    <w:rPr>
                      <w:color w:val="auto"/>
                    </w:rPr>
                  </w:pPr>
                  <w:r>
                    <w:rPr>
                      <w:color w:val="auto"/>
                    </w:rPr>
                    <w:t>标准空气密度</w:t>
                  </w:r>
                </w:p>
              </w:tc>
            </w:tr>
            <w:tr w14:paraId="5651367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015F5788">
                  <w:pPr>
                    <w:pStyle w:val="37"/>
                    <w:bidi w:val="0"/>
                    <w:rPr>
                      <w:color w:val="auto"/>
                    </w:rPr>
                  </w:pPr>
                </w:p>
              </w:tc>
              <w:tc>
                <w:tcPr>
                  <w:tcW w:w="451" w:type="pct"/>
                  <w:vMerge w:val="continue"/>
                  <w:tcBorders>
                    <w:tl2br w:val="nil"/>
                    <w:tr2bl w:val="nil"/>
                  </w:tcBorders>
                  <w:textDirection w:val="tbRlV"/>
                  <w:vAlign w:val="center"/>
                </w:tcPr>
                <w:p w14:paraId="7D7F4B4D">
                  <w:pPr>
                    <w:pStyle w:val="37"/>
                    <w:bidi w:val="0"/>
                    <w:rPr>
                      <w:color w:val="auto"/>
                    </w:rPr>
                  </w:pPr>
                </w:p>
              </w:tc>
              <w:tc>
                <w:tcPr>
                  <w:tcW w:w="621" w:type="pct"/>
                  <w:vMerge w:val="continue"/>
                  <w:tcBorders>
                    <w:tl2br w:val="nil"/>
                    <w:tr2bl w:val="nil"/>
                  </w:tcBorders>
                  <w:vAlign w:val="center"/>
                </w:tcPr>
                <w:p w14:paraId="7DD05455">
                  <w:pPr>
                    <w:pStyle w:val="37"/>
                    <w:bidi w:val="0"/>
                    <w:rPr>
                      <w:color w:val="auto"/>
                    </w:rPr>
                  </w:pPr>
                </w:p>
              </w:tc>
              <w:tc>
                <w:tcPr>
                  <w:tcW w:w="869" w:type="pct"/>
                  <w:tcBorders>
                    <w:tl2br w:val="nil"/>
                    <w:tr2bl w:val="nil"/>
                  </w:tcBorders>
                  <w:vAlign w:val="center"/>
                </w:tcPr>
                <w:p w14:paraId="49CA030D">
                  <w:pPr>
                    <w:pStyle w:val="37"/>
                    <w:bidi w:val="0"/>
                    <w:rPr>
                      <w:color w:val="auto"/>
                    </w:rPr>
                  </w:pPr>
                  <w:r>
                    <w:rPr>
                      <w:color w:val="auto"/>
                    </w:rPr>
                    <w:t>切出风速</w:t>
                  </w:r>
                </w:p>
              </w:tc>
              <w:tc>
                <w:tcPr>
                  <w:tcW w:w="999" w:type="pct"/>
                  <w:tcBorders>
                    <w:tl2br w:val="nil"/>
                    <w:tr2bl w:val="nil"/>
                  </w:tcBorders>
                  <w:vAlign w:val="center"/>
                </w:tcPr>
                <w:p w14:paraId="0447B918">
                  <w:pPr>
                    <w:pStyle w:val="37"/>
                    <w:bidi w:val="0"/>
                    <w:rPr>
                      <w:color w:val="auto"/>
                    </w:rPr>
                  </w:pPr>
                  <w:r>
                    <w:rPr>
                      <w:color w:val="auto"/>
                    </w:rPr>
                    <w:t>m/s</w:t>
                  </w:r>
                </w:p>
              </w:tc>
              <w:tc>
                <w:tcPr>
                  <w:tcW w:w="1110" w:type="pct"/>
                  <w:tcBorders>
                    <w:tl2br w:val="nil"/>
                    <w:tr2bl w:val="nil"/>
                  </w:tcBorders>
                  <w:vAlign w:val="center"/>
                </w:tcPr>
                <w:p w14:paraId="21711C19">
                  <w:pPr>
                    <w:pStyle w:val="37"/>
                    <w:bidi w:val="0"/>
                    <w:rPr>
                      <w:color w:val="auto"/>
                    </w:rPr>
                  </w:pPr>
                  <w:r>
                    <w:rPr>
                      <w:color w:val="auto"/>
                    </w:rPr>
                    <w:t>25</w:t>
                  </w:r>
                </w:p>
              </w:tc>
              <w:tc>
                <w:tcPr>
                  <w:tcW w:w="729" w:type="pct"/>
                  <w:tcBorders>
                    <w:tl2br w:val="nil"/>
                    <w:tr2bl w:val="nil"/>
                  </w:tcBorders>
                  <w:vAlign w:val="center"/>
                </w:tcPr>
                <w:p w14:paraId="0D82996E">
                  <w:pPr>
                    <w:pStyle w:val="37"/>
                    <w:bidi w:val="0"/>
                    <w:rPr>
                      <w:color w:val="auto"/>
                    </w:rPr>
                  </w:pPr>
                </w:p>
              </w:tc>
            </w:tr>
            <w:tr w14:paraId="1E5A5B4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097478A1">
                  <w:pPr>
                    <w:pStyle w:val="37"/>
                    <w:bidi w:val="0"/>
                    <w:rPr>
                      <w:color w:val="auto"/>
                    </w:rPr>
                  </w:pPr>
                </w:p>
              </w:tc>
              <w:tc>
                <w:tcPr>
                  <w:tcW w:w="451" w:type="pct"/>
                  <w:vMerge w:val="continue"/>
                  <w:tcBorders>
                    <w:tl2br w:val="nil"/>
                    <w:tr2bl w:val="nil"/>
                  </w:tcBorders>
                  <w:textDirection w:val="tbRlV"/>
                  <w:vAlign w:val="center"/>
                </w:tcPr>
                <w:p w14:paraId="1008415D">
                  <w:pPr>
                    <w:pStyle w:val="37"/>
                    <w:bidi w:val="0"/>
                    <w:rPr>
                      <w:color w:val="auto"/>
                    </w:rPr>
                  </w:pPr>
                </w:p>
              </w:tc>
              <w:tc>
                <w:tcPr>
                  <w:tcW w:w="621" w:type="pct"/>
                  <w:vMerge w:val="continue"/>
                  <w:tcBorders>
                    <w:tl2br w:val="nil"/>
                    <w:tr2bl w:val="nil"/>
                  </w:tcBorders>
                  <w:vAlign w:val="center"/>
                </w:tcPr>
                <w:p w14:paraId="09147083">
                  <w:pPr>
                    <w:pStyle w:val="37"/>
                    <w:bidi w:val="0"/>
                    <w:rPr>
                      <w:color w:val="auto"/>
                    </w:rPr>
                  </w:pPr>
                </w:p>
              </w:tc>
              <w:tc>
                <w:tcPr>
                  <w:tcW w:w="869" w:type="pct"/>
                  <w:tcBorders>
                    <w:tl2br w:val="nil"/>
                    <w:tr2bl w:val="nil"/>
                  </w:tcBorders>
                  <w:vAlign w:val="center"/>
                </w:tcPr>
                <w:p w14:paraId="4561717A">
                  <w:pPr>
                    <w:pStyle w:val="37"/>
                    <w:bidi w:val="0"/>
                    <w:rPr>
                      <w:color w:val="auto"/>
                    </w:rPr>
                  </w:pPr>
                  <w:r>
                    <w:rPr>
                      <w:color w:val="auto"/>
                    </w:rPr>
                    <w:t>安全风速</w:t>
                  </w:r>
                </w:p>
              </w:tc>
              <w:tc>
                <w:tcPr>
                  <w:tcW w:w="999" w:type="pct"/>
                  <w:tcBorders>
                    <w:tl2br w:val="nil"/>
                    <w:tr2bl w:val="nil"/>
                  </w:tcBorders>
                  <w:vAlign w:val="center"/>
                </w:tcPr>
                <w:p w14:paraId="7690E533">
                  <w:pPr>
                    <w:pStyle w:val="37"/>
                    <w:bidi w:val="0"/>
                    <w:rPr>
                      <w:color w:val="auto"/>
                    </w:rPr>
                  </w:pPr>
                  <w:r>
                    <w:rPr>
                      <w:color w:val="auto"/>
                    </w:rPr>
                    <w:t>m/s</w:t>
                  </w:r>
                </w:p>
              </w:tc>
              <w:tc>
                <w:tcPr>
                  <w:tcW w:w="1110" w:type="pct"/>
                  <w:tcBorders>
                    <w:tl2br w:val="nil"/>
                    <w:tr2bl w:val="nil"/>
                  </w:tcBorders>
                  <w:vAlign w:val="center"/>
                </w:tcPr>
                <w:p w14:paraId="64715D9B">
                  <w:pPr>
                    <w:pStyle w:val="37"/>
                    <w:bidi w:val="0"/>
                    <w:rPr>
                      <w:color w:val="auto"/>
                    </w:rPr>
                  </w:pPr>
                  <w:r>
                    <w:rPr>
                      <w:color w:val="auto"/>
                    </w:rPr>
                    <w:t>52.5</w:t>
                  </w:r>
                </w:p>
              </w:tc>
              <w:tc>
                <w:tcPr>
                  <w:tcW w:w="729" w:type="pct"/>
                  <w:tcBorders>
                    <w:tl2br w:val="nil"/>
                    <w:tr2bl w:val="nil"/>
                  </w:tcBorders>
                  <w:vAlign w:val="center"/>
                </w:tcPr>
                <w:p w14:paraId="6168E78D">
                  <w:pPr>
                    <w:pStyle w:val="37"/>
                    <w:bidi w:val="0"/>
                    <w:rPr>
                      <w:color w:val="auto"/>
                    </w:rPr>
                  </w:pPr>
                </w:p>
              </w:tc>
            </w:tr>
            <w:tr w14:paraId="3BC7AF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6419DBB0">
                  <w:pPr>
                    <w:pStyle w:val="37"/>
                    <w:bidi w:val="0"/>
                    <w:rPr>
                      <w:color w:val="auto"/>
                    </w:rPr>
                  </w:pPr>
                </w:p>
              </w:tc>
              <w:tc>
                <w:tcPr>
                  <w:tcW w:w="451" w:type="pct"/>
                  <w:vMerge w:val="continue"/>
                  <w:tcBorders>
                    <w:tl2br w:val="nil"/>
                    <w:tr2bl w:val="nil"/>
                  </w:tcBorders>
                  <w:textDirection w:val="tbRlV"/>
                  <w:vAlign w:val="center"/>
                </w:tcPr>
                <w:p w14:paraId="5C6794E2">
                  <w:pPr>
                    <w:pStyle w:val="37"/>
                    <w:bidi w:val="0"/>
                    <w:rPr>
                      <w:color w:val="auto"/>
                    </w:rPr>
                  </w:pPr>
                </w:p>
              </w:tc>
              <w:tc>
                <w:tcPr>
                  <w:tcW w:w="621" w:type="pct"/>
                  <w:vMerge w:val="continue"/>
                  <w:tcBorders>
                    <w:tl2br w:val="nil"/>
                    <w:tr2bl w:val="nil"/>
                  </w:tcBorders>
                  <w:vAlign w:val="center"/>
                </w:tcPr>
                <w:p w14:paraId="525F3E72">
                  <w:pPr>
                    <w:pStyle w:val="37"/>
                    <w:bidi w:val="0"/>
                    <w:rPr>
                      <w:color w:val="auto"/>
                    </w:rPr>
                  </w:pPr>
                </w:p>
              </w:tc>
              <w:tc>
                <w:tcPr>
                  <w:tcW w:w="869" w:type="pct"/>
                  <w:tcBorders>
                    <w:tl2br w:val="nil"/>
                    <w:tr2bl w:val="nil"/>
                  </w:tcBorders>
                  <w:vAlign w:val="center"/>
                </w:tcPr>
                <w:p w14:paraId="7DE506CA">
                  <w:pPr>
                    <w:pStyle w:val="37"/>
                    <w:bidi w:val="0"/>
                    <w:rPr>
                      <w:color w:val="auto"/>
                    </w:rPr>
                  </w:pPr>
                  <w:r>
                    <w:rPr>
                      <w:color w:val="auto"/>
                    </w:rPr>
                    <w:t>安全等级</w:t>
                  </w:r>
                </w:p>
              </w:tc>
              <w:tc>
                <w:tcPr>
                  <w:tcW w:w="999" w:type="pct"/>
                  <w:tcBorders>
                    <w:tl2br w:val="nil"/>
                    <w:tr2bl w:val="nil"/>
                  </w:tcBorders>
                  <w:vAlign w:val="center"/>
                </w:tcPr>
                <w:p w14:paraId="228B457F">
                  <w:pPr>
                    <w:pStyle w:val="37"/>
                    <w:bidi w:val="0"/>
                    <w:rPr>
                      <w:color w:val="auto"/>
                    </w:rPr>
                  </w:pPr>
                </w:p>
              </w:tc>
              <w:tc>
                <w:tcPr>
                  <w:tcW w:w="1110" w:type="pct"/>
                  <w:tcBorders>
                    <w:tl2br w:val="nil"/>
                    <w:tr2bl w:val="nil"/>
                  </w:tcBorders>
                  <w:vAlign w:val="center"/>
                </w:tcPr>
                <w:p w14:paraId="34E2251D">
                  <w:pPr>
                    <w:pStyle w:val="37"/>
                    <w:bidi w:val="0"/>
                    <w:rPr>
                      <w:color w:val="auto"/>
                    </w:rPr>
                  </w:pPr>
                  <w:r>
                    <w:rPr>
                      <w:color w:val="auto"/>
                    </w:rPr>
                    <w:t>IEC</w:t>
                  </w:r>
                  <w:r>
                    <w:rPr>
                      <w:rFonts w:hint="eastAsia"/>
                      <w:color w:val="auto"/>
                      <w:lang w:val="en-US" w:eastAsia="zh-CN"/>
                    </w:rPr>
                    <w:t xml:space="preserve"> </w:t>
                  </w:r>
                  <w:r>
                    <w:rPr>
                      <w:color w:val="auto"/>
                    </w:rPr>
                    <w:t>S</w:t>
                  </w:r>
                </w:p>
              </w:tc>
              <w:tc>
                <w:tcPr>
                  <w:tcW w:w="729" w:type="pct"/>
                  <w:tcBorders>
                    <w:tl2br w:val="nil"/>
                    <w:tr2bl w:val="nil"/>
                  </w:tcBorders>
                  <w:vAlign w:val="center"/>
                </w:tcPr>
                <w:p w14:paraId="2DB13B05">
                  <w:pPr>
                    <w:pStyle w:val="37"/>
                    <w:bidi w:val="0"/>
                    <w:rPr>
                      <w:color w:val="auto"/>
                    </w:rPr>
                  </w:pPr>
                </w:p>
              </w:tc>
            </w:tr>
            <w:tr w14:paraId="138EBA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4969BBCA">
                  <w:pPr>
                    <w:pStyle w:val="37"/>
                    <w:bidi w:val="0"/>
                    <w:rPr>
                      <w:color w:val="auto"/>
                    </w:rPr>
                  </w:pPr>
                </w:p>
              </w:tc>
              <w:tc>
                <w:tcPr>
                  <w:tcW w:w="451" w:type="pct"/>
                  <w:vMerge w:val="continue"/>
                  <w:tcBorders>
                    <w:tl2br w:val="nil"/>
                    <w:tr2bl w:val="nil"/>
                  </w:tcBorders>
                  <w:textDirection w:val="tbRlV"/>
                  <w:vAlign w:val="center"/>
                </w:tcPr>
                <w:p w14:paraId="66B8C155">
                  <w:pPr>
                    <w:pStyle w:val="37"/>
                    <w:bidi w:val="0"/>
                    <w:rPr>
                      <w:color w:val="auto"/>
                    </w:rPr>
                  </w:pPr>
                </w:p>
              </w:tc>
              <w:tc>
                <w:tcPr>
                  <w:tcW w:w="621" w:type="pct"/>
                  <w:vMerge w:val="continue"/>
                  <w:tcBorders>
                    <w:tl2br w:val="nil"/>
                    <w:tr2bl w:val="nil"/>
                  </w:tcBorders>
                  <w:vAlign w:val="center"/>
                </w:tcPr>
                <w:p w14:paraId="591D23E4">
                  <w:pPr>
                    <w:pStyle w:val="37"/>
                    <w:bidi w:val="0"/>
                    <w:rPr>
                      <w:color w:val="auto"/>
                    </w:rPr>
                  </w:pPr>
                </w:p>
              </w:tc>
              <w:tc>
                <w:tcPr>
                  <w:tcW w:w="869" w:type="pct"/>
                  <w:tcBorders>
                    <w:tl2br w:val="nil"/>
                    <w:tr2bl w:val="nil"/>
                  </w:tcBorders>
                  <w:vAlign w:val="center"/>
                </w:tcPr>
                <w:p w14:paraId="27C295D2">
                  <w:pPr>
                    <w:pStyle w:val="37"/>
                    <w:bidi w:val="0"/>
                    <w:rPr>
                      <w:color w:val="auto"/>
                    </w:rPr>
                  </w:pPr>
                  <w:r>
                    <w:rPr>
                      <w:color w:val="auto"/>
                    </w:rPr>
                    <w:t>轮毂高度</w:t>
                  </w:r>
                </w:p>
              </w:tc>
              <w:tc>
                <w:tcPr>
                  <w:tcW w:w="999" w:type="pct"/>
                  <w:tcBorders>
                    <w:tl2br w:val="nil"/>
                    <w:tr2bl w:val="nil"/>
                  </w:tcBorders>
                  <w:vAlign w:val="center"/>
                </w:tcPr>
                <w:p w14:paraId="00A8E61F">
                  <w:pPr>
                    <w:pStyle w:val="37"/>
                    <w:bidi w:val="0"/>
                    <w:rPr>
                      <w:color w:val="auto"/>
                    </w:rPr>
                  </w:pPr>
                  <w:r>
                    <w:rPr>
                      <w:color w:val="auto"/>
                    </w:rPr>
                    <w:t>m</w:t>
                  </w:r>
                </w:p>
              </w:tc>
              <w:tc>
                <w:tcPr>
                  <w:tcW w:w="1110" w:type="pct"/>
                  <w:tcBorders>
                    <w:tl2br w:val="nil"/>
                    <w:tr2bl w:val="nil"/>
                  </w:tcBorders>
                  <w:vAlign w:val="center"/>
                </w:tcPr>
                <w:p w14:paraId="66D2E06C">
                  <w:pPr>
                    <w:pStyle w:val="37"/>
                    <w:bidi w:val="0"/>
                    <w:rPr>
                      <w:color w:val="auto"/>
                    </w:rPr>
                  </w:pPr>
                  <w:r>
                    <w:rPr>
                      <w:color w:val="auto"/>
                    </w:rPr>
                    <w:t>125</w:t>
                  </w:r>
                </w:p>
              </w:tc>
              <w:tc>
                <w:tcPr>
                  <w:tcW w:w="729" w:type="pct"/>
                  <w:tcBorders>
                    <w:tl2br w:val="nil"/>
                    <w:tr2bl w:val="nil"/>
                  </w:tcBorders>
                  <w:vAlign w:val="center"/>
                </w:tcPr>
                <w:p w14:paraId="170FA742">
                  <w:pPr>
                    <w:pStyle w:val="37"/>
                    <w:bidi w:val="0"/>
                    <w:rPr>
                      <w:color w:val="auto"/>
                    </w:rPr>
                  </w:pPr>
                </w:p>
              </w:tc>
            </w:tr>
            <w:tr w14:paraId="4F03DA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4C35624D">
                  <w:pPr>
                    <w:pStyle w:val="37"/>
                    <w:bidi w:val="0"/>
                    <w:rPr>
                      <w:color w:val="auto"/>
                    </w:rPr>
                  </w:pPr>
                </w:p>
              </w:tc>
              <w:tc>
                <w:tcPr>
                  <w:tcW w:w="451" w:type="pct"/>
                  <w:vMerge w:val="continue"/>
                  <w:tcBorders>
                    <w:tl2br w:val="nil"/>
                    <w:tr2bl w:val="nil"/>
                  </w:tcBorders>
                  <w:textDirection w:val="tbRlV"/>
                  <w:vAlign w:val="center"/>
                </w:tcPr>
                <w:p w14:paraId="13FB8BA6">
                  <w:pPr>
                    <w:pStyle w:val="37"/>
                    <w:bidi w:val="0"/>
                    <w:rPr>
                      <w:color w:val="auto"/>
                    </w:rPr>
                  </w:pPr>
                </w:p>
              </w:tc>
              <w:tc>
                <w:tcPr>
                  <w:tcW w:w="621" w:type="pct"/>
                  <w:vMerge w:val="continue"/>
                  <w:tcBorders>
                    <w:tl2br w:val="nil"/>
                    <w:tr2bl w:val="nil"/>
                  </w:tcBorders>
                  <w:vAlign w:val="center"/>
                </w:tcPr>
                <w:p w14:paraId="1E9C66CA">
                  <w:pPr>
                    <w:pStyle w:val="37"/>
                    <w:bidi w:val="0"/>
                    <w:rPr>
                      <w:color w:val="auto"/>
                    </w:rPr>
                  </w:pPr>
                </w:p>
              </w:tc>
              <w:tc>
                <w:tcPr>
                  <w:tcW w:w="869" w:type="pct"/>
                  <w:tcBorders>
                    <w:tl2br w:val="nil"/>
                    <w:tr2bl w:val="nil"/>
                  </w:tcBorders>
                  <w:vAlign w:val="center"/>
                </w:tcPr>
                <w:p w14:paraId="5EE5BE30">
                  <w:pPr>
                    <w:pStyle w:val="37"/>
                    <w:bidi w:val="0"/>
                    <w:rPr>
                      <w:color w:val="auto"/>
                    </w:rPr>
                  </w:pPr>
                  <w:r>
                    <w:rPr>
                      <w:color w:val="auto"/>
                    </w:rPr>
                    <w:t>输出电压</w:t>
                  </w:r>
                </w:p>
              </w:tc>
              <w:tc>
                <w:tcPr>
                  <w:tcW w:w="999" w:type="pct"/>
                  <w:tcBorders>
                    <w:tl2br w:val="nil"/>
                    <w:tr2bl w:val="nil"/>
                  </w:tcBorders>
                  <w:vAlign w:val="center"/>
                </w:tcPr>
                <w:p w14:paraId="72F79647">
                  <w:pPr>
                    <w:pStyle w:val="37"/>
                    <w:bidi w:val="0"/>
                    <w:rPr>
                      <w:color w:val="auto"/>
                    </w:rPr>
                  </w:pPr>
                  <w:r>
                    <w:rPr>
                      <w:color w:val="auto"/>
                    </w:rPr>
                    <w:t>V</w:t>
                  </w:r>
                </w:p>
              </w:tc>
              <w:tc>
                <w:tcPr>
                  <w:tcW w:w="1110" w:type="pct"/>
                  <w:tcBorders>
                    <w:tl2br w:val="nil"/>
                    <w:tr2bl w:val="nil"/>
                  </w:tcBorders>
                  <w:vAlign w:val="center"/>
                </w:tcPr>
                <w:p w14:paraId="49DEFE56">
                  <w:pPr>
                    <w:pStyle w:val="37"/>
                    <w:bidi w:val="0"/>
                    <w:rPr>
                      <w:color w:val="auto"/>
                    </w:rPr>
                  </w:pPr>
                  <w:r>
                    <w:rPr>
                      <w:color w:val="auto"/>
                    </w:rPr>
                    <w:t>1140</w:t>
                  </w:r>
                </w:p>
              </w:tc>
              <w:tc>
                <w:tcPr>
                  <w:tcW w:w="729" w:type="pct"/>
                  <w:tcBorders>
                    <w:tl2br w:val="nil"/>
                    <w:tr2bl w:val="nil"/>
                  </w:tcBorders>
                  <w:vAlign w:val="center"/>
                </w:tcPr>
                <w:p w14:paraId="7BDACFA4">
                  <w:pPr>
                    <w:pStyle w:val="37"/>
                    <w:bidi w:val="0"/>
                    <w:rPr>
                      <w:color w:val="auto"/>
                    </w:rPr>
                  </w:pPr>
                </w:p>
              </w:tc>
            </w:tr>
            <w:tr w14:paraId="5B7E4D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9" w:type="pct"/>
                  <w:vMerge w:val="continue"/>
                  <w:tcBorders>
                    <w:tl2br w:val="nil"/>
                    <w:tr2bl w:val="nil"/>
                  </w:tcBorders>
                  <w:textDirection w:val="tbRlV"/>
                  <w:vAlign w:val="center"/>
                </w:tcPr>
                <w:p w14:paraId="4D008D45">
                  <w:pPr>
                    <w:pStyle w:val="37"/>
                    <w:bidi w:val="0"/>
                    <w:rPr>
                      <w:color w:val="auto"/>
                    </w:rPr>
                  </w:pPr>
                </w:p>
              </w:tc>
              <w:tc>
                <w:tcPr>
                  <w:tcW w:w="451" w:type="pct"/>
                  <w:vMerge w:val="continue"/>
                  <w:tcBorders>
                    <w:tl2br w:val="nil"/>
                    <w:tr2bl w:val="nil"/>
                  </w:tcBorders>
                  <w:textDirection w:val="tbRlV"/>
                  <w:vAlign w:val="center"/>
                </w:tcPr>
                <w:p w14:paraId="3094F482">
                  <w:pPr>
                    <w:pStyle w:val="37"/>
                    <w:bidi w:val="0"/>
                    <w:rPr>
                      <w:color w:val="auto"/>
                    </w:rPr>
                  </w:pPr>
                </w:p>
              </w:tc>
              <w:tc>
                <w:tcPr>
                  <w:tcW w:w="621" w:type="pct"/>
                  <w:vMerge w:val="continue"/>
                  <w:tcBorders>
                    <w:tl2br w:val="nil"/>
                    <w:tr2bl w:val="nil"/>
                  </w:tcBorders>
                  <w:vAlign w:val="center"/>
                </w:tcPr>
                <w:p w14:paraId="3876E6D2">
                  <w:pPr>
                    <w:pStyle w:val="37"/>
                    <w:bidi w:val="0"/>
                    <w:rPr>
                      <w:color w:val="auto"/>
                    </w:rPr>
                  </w:pPr>
                </w:p>
              </w:tc>
              <w:tc>
                <w:tcPr>
                  <w:tcW w:w="869" w:type="pct"/>
                  <w:tcBorders>
                    <w:tl2br w:val="nil"/>
                    <w:tr2bl w:val="nil"/>
                  </w:tcBorders>
                  <w:vAlign w:val="center"/>
                </w:tcPr>
                <w:p w14:paraId="3CA571EA">
                  <w:pPr>
                    <w:pStyle w:val="37"/>
                    <w:bidi w:val="0"/>
                    <w:rPr>
                      <w:color w:val="auto"/>
                    </w:rPr>
                  </w:pPr>
                  <w:r>
                    <w:rPr>
                      <w:color w:val="auto"/>
                    </w:rPr>
                    <w:t>发电机额定功率</w:t>
                  </w:r>
                </w:p>
              </w:tc>
              <w:tc>
                <w:tcPr>
                  <w:tcW w:w="999" w:type="pct"/>
                  <w:tcBorders>
                    <w:tl2br w:val="nil"/>
                    <w:tr2bl w:val="nil"/>
                  </w:tcBorders>
                  <w:vAlign w:val="center"/>
                </w:tcPr>
                <w:p w14:paraId="0E3C499E">
                  <w:pPr>
                    <w:pStyle w:val="37"/>
                    <w:bidi w:val="0"/>
                    <w:rPr>
                      <w:color w:val="auto"/>
                    </w:rPr>
                  </w:pPr>
                  <w:r>
                    <w:rPr>
                      <w:color w:val="auto"/>
                    </w:rPr>
                    <w:t>kW</w:t>
                  </w:r>
                </w:p>
              </w:tc>
              <w:tc>
                <w:tcPr>
                  <w:tcW w:w="1110" w:type="pct"/>
                  <w:tcBorders>
                    <w:tl2br w:val="nil"/>
                    <w:tr2bl w:val="nil"/>
                  </w:tcBorders>
                  <w:vAlign w:val="center"/>
                </w:tcPr>
                <w:p w14:paraId="232C39DA">
                  <w:pPr>
                    <w:pStyle w:val="37"/>
                    <w:bidi w:val="0"/>
                    <w:rPr>
                      <w:color w:val="auto"/>
                    </w:rPr>
                  </w:pPr>
                  <w:r>
                    <w:rPr>
                      <w:color w:val="auto"/>
                    </w:rPr>
                    <w:t>7750</w:t>
                  </w:r>
                </w:p>
              </w:tc>
              <w:tc>
                <w:tcPr>
                  <w:tcW w:w="729" w:type="pct"/>
                  <w:tcBorders>
                    <w:tl2br w:val="nil"/>
                    <w:tr2bl w:val="nil"/>
                  </w:tcBorders>
                  <w:vAlign w:val="center"/>
                </w:tcPr>
                <w:p w14:paraId="27622CEE">
                  <w:pPr>
                    <w:pStyle w:val="37"/>
                    <w:bidi w:val="0"/>
                    <w:rPr>
                      <w:color w:val="auto"/>
                    </w:rPr>
                  </w:pPr>
                </w:p>
              </w:tc>
            </w:tr>
            <w:tr w14:paraId="203AA74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9" w:type="pct"/>
                  <w:vMerge w:val="continue"/>
                  <w:tcBorders>
                    <w:tl2br w:val="nil"/>
                    <w:tr2bl w:val="nil"/>
                  </w:tcBorders>
                  <w:textDirection w:val="tbRlV"/>
                  <w:vAlign w:val="center"/>
                </w:tcPr>
                <w:p w14:paraId="4206A6A7">
                  <w:pPr>
                    <w:pStyle w:val="37"/>
                    <w:bidi w:val="0"/>
                    <w:rPr>
                      <w:color w:val="auto"/>
                    </w:rPr>
                  </w:pPr>
                </w:p>
              </w:tc>
              <w:tc>
                <w:tcPr>
                  <w:tcW w:w="451" w:type="pct"/>
                  <w:vMerge w:val="continue"/>
                  <w:tcBorders>
                    <w:tl2br w:val="nil"/>
                    <w:tr2bl w:val="nil"/>
                  </w:tcBorders>
                  <w:textDirection w:val="tbRlV"/>
                  <w:vAlign w:val="center"/>
                </w:tcPr>
                <w:p w14:paraId="3027BA40">
                  <w:pPr>
                    <w:pStyle w:val="37"/>
                    <w:bidi w:val="0"/>
                    <w:rPr>
                      <w:color w:val="auto"/>
                    </w:rPr>
                  </w:pPr>
                </w:p>
              </w:tc>
              <w:tc>
                <w:tcPr>
                  <w:tcW w:w="621" w:type="pct"/>
                  <w:vMerge w:val="continue"/>
                  <w:tcBorders>
                    <w:tl2br w:val="nil"/>
                    <w:tr2bl w:val="nil"/>
                  </w:tcBorders>
                  <w:vAlign w:val="center"/>
                </w:tcPr>
                <w:p w14:paraId="79BB285F">
                  <w:pPr>
                    <w:pStyle w:val="37"/>
                    <w:bidi w:val="0"/>
                    <w:rPr>
                      <w:color w:val="auto"/>
                    </w:rPr>
                  </w:pPr>
                </w:p>
              </w:tc>
              <w:tc>
                <w:tcPr>
                  <w:tcW w:w="869" w:type="pct"/>
                  <w:tcBorders>
                    <w:tl2br w:val="nil"/>
                    <w:tr2bl w:val="nil"/>
                  </w:tcBorders>
                  <w:vAlign w:val="center"/>
                </w:tcPr>
                <w:p w14:paraId="4B0AD758">
                  <w:pPr>
                    <w:pStyle w:val="37"/>
                    <w:bidi w:val="0"/>
                    <w:rPr>
                      <w:color w:val="auto"/>
                    </w:rPr>
                  </w:pPr>
                  <w:r>
                    <w:rPr>
                      <w:color w:val="auto"/>
                    </w:rPr>
                    <w:t>发电机功率因数</w:t>
                  </w:r>
                </w:p>
              </w:tc>
              <w:tc>
                <w:tcPr>
                  <w:tcW w:w="999" w:type="pct"/>
                  <w:tcBorders>
                    <w:tl2br w:val="nil"/>
                    <w:tr2bl w:val="nil"/>
                  </w:tcBorders>
                  <w:vAlign w:val="center"/>
                </w:tcPr>
                <w:p w14:paraId="3A60F9B1">
                  <w:pPr>
                    <w:pStyle w:val="37"/>
                    <w:bidi w:val="0"/>
                    <w:rPr>
                      <w:color w:val="auto"/>
                    </w:rPr>
                  </w:pPr>
                </w:p>
              </w:tc>
              <w:tc>
                <w:tcPr>
                  <w:tcW w:w="1110" w:type="pct"/>
                  <w:tcBorders>
                    <w:tl2br w:val="nil"/>
                    <w:tr2bl w:val="nil"/>
                  </w:tcBorders>
                  <w:vAlign w:val="center"/>
                </w:tcPr>
                <w:p w14:paraId="497684C8">
                  <w:pPr>
                    <w:pStyle w:val="37"/>
                    <w:bidi w:val="0"/>
                    <w:rPr>
                      <w:color w:val="auto"/>
                    </w:rPr>
                  </w:pPr>
                  <w:r>
                    <w:rPr>
                      <w:color w:val="auto"/>
                    </w:rPr>
                    <w:t>-0.95</w:t>
                  </w:r>
                  <w:r>
                    <w:rPr>
                      <w:rFonts w:hint="eastAsia"/>
                      <w:color w:val="auto"/>
                      <w:lang w:eastAsia="zh-CN"/>
                    </w:rPr>
                    <w:t>~</w:t>
                  </w:r>
                  <w:r>
                    <w:rPr>
                      <w:color w:val="auto"/>
                    </w:rPr>
                    <w:t>+0.95</w:t>
                  </w:r>
                </w:p>
              </w:tc>
              <w:tc>
                <w:tcPr>
                  <w:tcW w:w="729" w:type="pct"/>
                  <w:tcBorders>
                    <w:tl2br w:val="nil"/>
                    <w:tr2bl w:val="nil"/>
                  </w:tcBorders>
                  <w:vAlign w:val="center"/>
                </w:tcPr>
                <w:p w14:paraId="224AB520">
                  <w:pPr>
                    <w:pStyle w:val="37"/>
                    <w:bidi w:val="0"/>
                    <w:rPr>
                      <w:color w:val="auto"/>
                    </w:rPr>
                  </w:pPr>
                </w:p>
              </w:tc>
            </w:tr>
            <w:tr w14:paraId="62C177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265" w:hRule="atLeast"/>
              </w:trPr>
              <w:tc>
                <w:tcPr>
                  <w:tcW w:w="219" w:type="pct"/>
                  <w:vMerge w:val="continue"/>
                  <w:tcBorders>
                    <w:tl2br w:val="nil"/>
                    <w:tr2bl w:val="nil"/>
                  </w:tcBorders>
                  <w:textDirection w:val="tbRlV"/>
                  <w:vAlign w:val="center"/>
                </w:tcPr>
                <w:p w14:paraId="22C8FE49">
                  <w:pPr>
                    <w:pStyle w:val="37"/>
                    <w:bidi w:val="0"/>
                    <w:rPr>
                      <w:color w:val="auto"/>
                    </w:rPr>
                  </w:pPr>
                </w:p>
              </w:tc>
              <w:tc>
                <w:tcPr>
                  <w:tcW w:w="451" w:type="pct"/>
                  <w:vMerge w:val="continue"/>
                  <w:tcBorders>
                    <w:tl2br w:val="nil"/>
                    <w:tr2bl w:val="nil"/>
                  </w:tcBorders>
                  <w:textDirection w:val="tbRlV"/>
                  <w:vAlign w:val="center"/>
                </w:tcPr>
                <w:p w14:paraId="78388243">
                  <w:pPr>
                    <w:pStyle w:val="37"/>
                    <w:bidi w:val="0"/>
                    <w:rPr>
                      <w:color w:val="auto"/>
                    </w:rPr>
                  </w:pPr>
                </w:p>
              </w:tc>
              <w:tc>
                <w:tcPr>
                  <w:tcW w:w="621" w:type="pct"/>
                  <w:vMerge w:val="restart"/>
                  <w:tcBorders>
                    <w:tl2br w:val="nil"/>
                    <w:tr2bl w:val="nil"/>
                  </w:tcBorders>
                  <w:vAlign w:val="center"/>
                </w:tcPr>
                <w:p w14:paraId="49B7B07D">
                  <w:pPr>
                    <w:pStyle w:val="37"/>
                    <w:bidi w:val="0"/>
                    <w:rPr>
                      <w:color w:val="auto"/>
                    </w:rPr>
                  </w:pPr>
                  <w:r>
                    <w:rPr>
                      <w:color w:val="auto"/>
                    </w:rPr>
                    <w:t>机组升压变压器</w:t>
                  </w:r>
                </w:p>
              </w:tc>
              <w:tc>
                <w:tcPr>
                  <w:tcW w:w="869" w:type="pct"/>
                  <w:tcBorders>
                    <w:tl2br w:val="nil"/>
                    <w:tr2bl w:val="nil"/>
                  </w:tcBorders>
                  <w:vAlign w:val="center"/>
                </w:tcPr>
                <w:p w14:paraId="511F36CE">
                  <w:pPr>
                    <w:pStyle w:val="37"/>
                    <w:bidi w:val="0"/>
                    <w:rPr>
                      <w:color w:val="auto"/>
                    </w:rPr>
                  </w:pPr>
                  <w:r>
                    <w:rPr>
                      <w:color w:val="auto"/>
                    </w:rPr>
                    <w:t>套数</w:t>
                  </w:r>
                </w:p>
              </w:tc>
              <w:tc>
                <w:tcPr>
                  <w:tcW w:w="999" w:type="pct"/>
                  <w:tcBorders>
                    <w:tl2br w:val="nil"/>
                    <w:tr2bl w:val="nil"/>
                  </w:tcBorders>
                  <w:vAlign w:val="center"/>
                </w:tcPr>
                <w:p w14:paraId="46862481">
                  <w:pPr>
                    <w:pStyle w:val="37"/>
                    <w:bidi w:val="0"/>
                    <w:rPr>
                      <w:color w:val="auto"/>
                    </w:rPr>
                  </w:pPr>
                  <w:r>
                    <w:rPr>
                      <w:color w:val="auto"/>
                    </w:rPr>
                    <w:t>台</w:t>
                  </w:r>
                </w:p>
              </w:tc>
              <w:tc>
                <w:tcPr>
                  <w:tcW w:w="1110" w:type="pct"/>
                  <w:tcBorders>
                    <w:tl2br w:val="nil"/>
                    <w:tr2bl w:val="nil"/>
                  </w:tcBorders>
                  <w:vAlign w:val="center"/>
                </w:tcPr>
                <w:p w14:paraId="7EE00DBC">
                  <w:pPr>
                    <w:pStyle w:val="37"/>
                    <w:bidi w:val="0"/>
                    <w:rPr>
                      <w:color w:val="auto"/>
                    </w:rPr>
                  </w:pPr>
                  <w:r>
                    <w:rPr>
                      <w:color w:val="auto"/>
                    </w:rPr>
                    <w:t>4</w:t>
                  </w:r>
                </w:p>
              </w:tc>
              <w:tc>
                <w:tcPr>
                  <w:tcW w:w="729" w:type="pct"/>
                  <w:tcBorders>
                    <w:tl2br w:val="nil"/>
                    <w:tr2bl w:val="nil"/>
                  </w:tcBorders>
                  <w:vAlign w:val="center"/>
                </w:tcPr>
                <w:p w14:paraId="43E5ADE3">
                  <w:pPr>
                    <w:pStyle w:val="37"/>
                    <w:bidi w:val="0"/>
                    <w:rPr>
                      <w:color w:val="auto"/>
                    </w:rPr>
                  </w:pPr>
                </w:p>
              </w:tc>
            </w:tr>
            <w:tr w14:paraId="505EAE3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3B2659C8">
                  <w:pPr>
                    <w:pStyle w:val="37"/>
                    <w:bidi w:val="0"/>
                    <w:rPr>
                      <w:color w:val="auto"/>
                    </w:rPr>
                  </w:pPr>
                </w:p>
              </w:tc>
              <w:tc>
                <w:tcPr>
                  <w:tcW w:w="451" w:type="pct"/>
                  <w:vMerge w:val="continue"/>
                  <w:tcBorders>
                    <w:tl2br w:val="nil"/>
                    <w:tr2bl w:val="nil"/>
                  </w:tcBorders>
                  <w:textDirection w:val="tbRlV"/>
                  <w:vAlign w:val="center"/>
                </w:tcPr>
                <w:p w14:paraId="319E67B3">
                  <w:pPr>
                    <w:pStyle w:val="37"/>
                    <w:bidi w:val="0"/>
                    <w:rPr>
                      <w:color w:val="auto"/>
                    </w:rPr>
                  </w:pPr>
                </w:p>
              </w:tc>
              <w:tc>
                <w:tcPr>
                  <w:tcW w:w="621" w:type="pct"/>
                  <w:vMerge w:val="continue"/>
                  <w:tcBorders>
                    <w:tl2br w:val="nil"/>
                    <w:tr2bl w:val="nil"/>
                  </w:tcBorders>
                  <w:vAlign w:val="center"/>
                </w:tcPr>
                <w:p w14:paraId="1EBB6510">
                  <w:pPr>
                    <w:pStyle w:val="37"/>
                    <w:bidi w:val="0"/>
                    <w:rPr>
                      <w:color w:val="auto"/>
                    </w:rPr>
                  </w:pPr>
                </w:p>
              </w:tc>
              <w:tc>
                <w:tcPr>
                  <w:tcW w:w="869" w:type="pct"/>
                  <w:tcBorders>
                    <w:tl2br w:val="nil"/>
                    <w:tr2bl w:val="nil"/>
                  </w:tcBorders>
                  <w:vAlign w:val="center"/>
                </w:tcPr>
                <w:p w14:paraId="1F416462">
                  <w:pPr>
                    <w:pStyle w:val="37"/>
                    <w:bidi w:val="0"/>
                    <w:rPr>
                      <w:color w:val="auto"/>
                    </w:rPr>
                  </w:pPr>
                  <w:r>
                    <w:rPr>
                      <w:color w:val="auto"/>
                    </w:rPr>
                    <w:t>型号</w:t>
                  </w:r>
                </w:p>
              </w:tc>
              <w:tc>
                <w:tcPr>
                  <w:tcW w:w="999" w:type="pct"/>
                  <w:tcBorders>
                    <w:tl2br w:val="nil"/>
                    <w:tr2bl w:val="nil"/>
                  </w:tcBorders>
                  <w:vAlign w:val="center"/>
                </w:tcPr>
                <w:p w14:paraId="71E4FB68">
                  <w:pPr>
                    <w:pStyle w:val="37"/>
                    <w:bidi w:val="0"/>
                    <w:rPr>
                      <w:color w:val="auto"/>
                    </w:rPr>
                  </w:pPr>
                </w:p>
              </w:tc>
              <w:tc>
                <w:tcPr>
                  <w:tcW w:w="1110" w:type="pct"/>
                  <w:tcBorders>
                    <w:tl2br w:val="nil"/>
                    <w:tr2bl w:val="nil"/>
                  </w:tcBorders>
                  <w:vAlign w:val="center"/>
                </w:tcPr>
                <w:p w14:paraId="4842A79F">
                  <w:pPr>
                    <w:pStyle w:val="37"/>
                    <w:bidi w:val="0"/>
                    <w:rPr>
                      <w:color w:val="auto"/>
                    </w:rPr>
                  </w:pPr>
                  <w:r>
                    <w:rPr>
                      <w:color w:val="auto"/>
                    </w:rPr>
                    <w:t>华变</w:t>
                  </w:r>
                </w:p>
              </w:tc>
              <w:tc>
                <w:tcPr>
                  <w:tcW w:w="729" w:type="pct"/>
                  <w:tcBorders>
                    <w:tl2br w:val="nil"/>
                    <w:tr2bl w:val="nil"/>
                  </w:tcBorders>
                  <w:vAlign w:val="center"/>
                </w:tcPr>
                <w:p w14:paraId="375BB913">
                  <w:pPr>
                    <w:pStyle w:val="37"/>
                    <w:bidi w:val="0"/>
                    <w:rPr>
                      <w:color w:val="auto"/>
                    </w:rPr>
                  </w:pPr>
                </w:p>
              </w:tc>
            </w:tr>
            <w:tr w14:paraId="4FDF68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613E70B8">
                  <w:pPr>
                    <w:pStyle w:val="37"/>
                    <w:bidi w:val="0"/>
                    <w:rPr>
                      <w:color w:val="auto"/>
                    </w:rPr>
                  </w:pPr>
                </w:p>
              </w:tc>
              <w:tc>
                <w:tcPr>
                  <w:tcW w:w="451" w:type="pct"/>
                  <w:vMerge w:val="continue"/>
                  <w:tcBorders>
                    <w:tl2br w:val="nil"/>
                    <w:tr2bl w:val="nil"/>
                  </w:tcBorders>
                  <w:textDirection w:val="tbRlV"/>
                  <w:vAlign w:val="center"/>
                </w:tcPr>
                <w:p w14:paraId="69DA1EF5">
                  <w:pPr>
                    <w:pStyle w:val="37"/>
                    <w:bidi w:val="0"/>
                    <w:rPr>
                      <w:color w:val="auto"/>
                    </w:rPr>
                  </w:pPr>
                </w:p>
              </w:tc>
              <w:tc>
                <w:tcPr>
                  <w:tcW w:w="621" w:type="pct"/>
                  <w:vMerge w:val="restart"/>
                  <w:tcBorders>
                    <w:tl2br w:val="nil"/>
                    <w:tr2bl w:val="nil"/>
                  </w:tcBorders>
                  <w:vAlign w:val="center"/>
                </w:tcPr>
                <w:p w14:paraId="72AF59B3">
                  <w:pPr>
                    <w:pStyle w:val="37"/>
                    <w:bidi w:val="0"/>
                    <w:rPr>
                      <w:color w:val="auto"/>
                    </w:rPr>
                  </w:pPr>
                  <w:r>
                    <w:rPr>
                      <w:color w:val="auto"/>
                    </w:rPr>
                    <w:t>集电线路</w:t>
                  </w:r>
                </w:p>
              </w:tc>
              <w:tc>
                <w:tcPr>
                  <w:tcW w:w="869" w:type="pct"/>
                  <w:tcBorders>
                    <w:tl2br w:val="nil"/>
                    <w:tr2bl w:val="nil"/>
                  </w:tcBorders>
                  <w:vAlign w:val="center"/>
                </w:tcPr>
                <w:p w14:paraId="05276A00">
                  <w:pPr>
                    <w:pStyle w:val="37"/>
                    <w:bidi w:val="0"/>
                    <w:rPr>
                      <w:color w:val="auto"/>
                    </w:rPr>
                  </w:pPr>
                  <w:r>
                    <w:rPr>
                      <w:color w:val="auto"/>
                    </w:rPr>
                    <w:t>电压等级</w:t>
                  </w:r>
                </w:p>
              </w:tc>
              <w:tc>
                <w:tcPr>
                  <w:tcW w:w="999" w:type="pct"/>
                  <w:tcBorders>
                    <w:tl2br w:val="nil"/>
                    <w:tr2bl w:val="nil"/>
                  </w:tcBorders>
                  <w:vAlign w:val="center"/>
                </w:tcPr>
                <w:p w14:paraId="58C31478">
                  <w:pPr>
                    <w:pStyle w:val="37"/>
                    <w:bidi w:val="0"/>
                    <w:rPr>
                      <w:color w:val="auto"/>
                    </w:rPr>
                  </w:pPr>
                  <w:r>
                    <w:rPr>
                      <w:color w:val="auto"/>
                    </w:rPr>
                    <w:t>kV</w:t>
                  </w:r>
                </w:p>
              </w:tc>
              <w:tc>
                <w:tcPr>
                  <w:tcW w:w="1110" w:type="pct"/>
                  <w:tcBorders>
                    <w:tl2br w:val="nil"/>
                    <w:tr2bl w:val="nil"/>
                  </w:tcBorders>
                  <w:vAlign w:val="center"/>
                </w:tcPr>
                <w:p w14:paraId="695B8AEE">
                  <w:pPr>
                    <w:pStyle w:val="37"/>
                    <w:bidi w:val="0"/>
                    <w:rPr>
                      <w:color w:val="auto"/>
                    </w:rPr>
                  </w:pPr>
                  <w:r>
                    <w:rPr>
                      <w:color w:val="auto"/>
                    </w:rPr>
                    <w:t>35</w:t>
                  </w:r>
                </w:p>
              </w:tc>
              <w:tc>
                <w:tcPr>
                  <w:tcW w:w="729" w:type="pct"/>
                  <w:tcBorders>
                    <w:tl2br w:val="nil"/>
                    <w:tr2bl w:val="nil"/>
                  </w:tcBorders>
                  <w:vAlign w:val="center"/>
                </w:tcPr>
                <w:p w14:paraId="00E922BF">
                  <w:pPr>
                    <w:pStyle w:val="37"/>
                    <w:bidi w:val="0"/>
                    <w:rPr>
                      <w:color w:val="auto"/>
                    </w:rPr>
                  </w:pPr>
                </w:p>
              </w:tc>
            </w:tr>
            <w:tr w14:paraId="49ABA2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265" w:hRule="atLeast"/>
              </w:trPr>
              <w:tc>
                <w:tcPr>
                  <w:tcW w:w="219" w:type="pct"/>
                  <w:vMerge w:val="continue"/>
                  <w:tcBorders>
                    <w:tl2br w:val="nil"/>
                    <w:tr2bl w:val="nil"/>
                  </w:tcBorders>
                  <w:textDirection w:val="tbRlV"/>
                  <w:vAlign w:val="center"/>
                </w:tcPr>
                <w:p w14:paraId="139B72A6">
                  <w:pPr>
                    <w:pStyle w:val="37"/>
                    <w:bidi w:val="0"/>
                    <w:rPr>
                      <w:color w:val="auto"/>
                    </w:rPr>
                  </w:pPr>
                </w:p>
              </w:tc>
              <w:tc>
                <w:tcPr>
                  <w:tcW w:w="451" w:type="pct"/>
                  <w:vMerge w:val="continue"/>
                  <w:tcBorders>
                    <w:tl2br w:val="nil"/>
                    <w:tr2bl w:val="nil"/>
                  </w:tcBorders>
                  <w:textDirection w:val="tbRlV"/>
                  <w:vAlign w:val="center"/>
                </w:tcPr>
                <w:p w14:paraId="7F71F600">
                  <w:pPr>
                    <w:pStyle w:val="37"/>
                    <w:bidi w:val="0"/>
                    <w:rPr>
                      <w:color w:val="auto"/>
                    </w:rPr>
                  </w:pPr>
                </w:p>
              </w:tc>
              <w:tc>
                <w:tcPr>
                  <w:tcW w:w="621" w:type="pct"/>
                  <w:vMerge w:val="continue"/>
                  <w:tcBorders>
                    <w:tl2br w:val="nil"/>
                    <w:tr2bl w:val="nil"/>
                  </w:tcBorders>
                  <w:vAlign w:val="center"/>
                </w:tcPr>
                <w:p w14:paraId="547EF5CB">
                  <w:pPr>
                    <w:pStyle w:val="37"/>
                    <w:bidi w:val="0"/>
                    <w:rPr>
                      <w:color w:val="auto"/>
                    </w:rPr>
                  </w:pPr>
                </w:p>
              </w:tc>
              <w:tc>
                <w:tcPr>
                  <w:tcW w:w="869" w:type="pct"/>
                  <w:tcBorders>
                    <w:tl2br w:val="nil"/>
                    <w:tr2bl w:val="nil"/>
                  </w:tcBorders>
                  <w:vAlign w:val="center"/>
                </w:tcPr>
                <w:p w14:paraId="78D5191E">
                  <w:pPr>
                    <w:pStyle w:val="37"/>
                    <w:bidi w:val="0"/>
                    <w:rPr>
                      <w:color w:val="auto"/>
                    </w:rPr>
                  </w:pPr>
                  <w:r>
                    <w:rPr>
                      <w:color w:val="auto"/>
                    </w:rPr>
                    <w:t>回路数</w:t>
                  </w:r>
                </w:p>
              </w:tc>
              <w:tc>
                <w:tcPr>
                  <w:tcW w:w="999" w:type="pct"/>
                  <w:tcBorders>
                    <w:tl2br w:val="nil"/>
                    <w:tr2bl w:val="nil"/>
                  </w:tcBorders>
                  <w:vAlign w:val="center"/>
                </w:tcPr>
                <w:p w14:paraId="66E41CA1">
                  <w:pPr>
                    <w:pStyle w:val="37"/>
                    <w:bidi w:val="0"/>
                    <w:rPr>
                      <w:color w:val="auto"/>
                    </w:rPr>
                  </w:pPr>
                  <w:r>
                    <w:rPr>
                      <w:color w:val="auto"/>
                    </w:rPr>
                    <w:t>回</w:t>
                  </w:r>
                </w:p>
              </w:tc>
              <w:tc>
                <w:tcPr>
                  <w:tcW w:w="1110" w:type="pct"/>
                  <w:tcBorders>
                    <w:tl2br w:val="nil"/>
                    <w:tr2bl w:val="nil"/>
                  </w:tcBorders>
                  <w:vAlign w:val="center"/>
                </w:tcPr>
                <w:p w14:paraId="6B2B311B">
                  <w:pPr>
                    <w:pStyle w:val="37"/>
                    <w:bidi w:val="0"/>
                    <w:rPr>
                      <w:color w:val="auto"/>
                    </w:rPr>
                  </w:pPr>
                  <w:r>
                    <w:rPr>
                      <w:color w:val="auto"/>
                    </w:rPr>
                    <w:t>1</w:t>
                  </w:r>
                </w:p>
              </w:tc>
              <w:tc>
                <w:tcPr>
                  <w:tcW w:w="729" w:type="pct"/>
                  <w:tcBorders>
                    <w:tl2br w:val="nil"/>
                    <w:tr2bl w:val="nil"/>
                  </w:tcBorders>
                  <w:vAlign w:val="center"/>
                </w:tcPr>
                <w:p w14:paraId="659A5DFE">
                  <w:pPr>
                    <w:pStyle w:val="37"/>
                    <w:bidi w:val="0"/>
                    <w:rPr>
                      <w:color w:val="auto"/>
                    </w:rPr>
                  </w:pPr>
                </w:p>
              </w:tc>
            </w:tr>
            <w:tr w14:paraId="2D7381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522" w:hRule="atLeast"/>
              </w:trPr>
              <w:tc>
                <w:tcPr>
                  <w:tcW w:w="219" w:type="pct"/>
                  <w:vMerge w:val="continue"/>
                  <w:tcBorders>
                    <w:tl2br w:val="nil"/>
                    <w:tr2bl w:val="nil"/>
                  </w:tcBorders>
                  <w:textDirection w:val="tbRlV"/>
                  <w:vAlign w:val="center"/>
                </w:tcPr>
                <w:p w14:paraId="6D3DB2FA">
                  <w:pPr>
                    <w:pStyle w:val="37"/>
                    <w:bidi w:val="0"/>
                    <w:rPr>
                      <w:color w:val="auto"/>
                    </w:rPr>
                  </w:pPr>
                </w:p>
              </w:tc>
              <w:tc>
                <w:tcPr>
                  <w:tcW w:w="451" w:type="pct"/>
                  <w:vMerge w:val="continue"/>
                  <w:tcBorders>
                    <w:tl2br w:val="nil"/>
                    <w:tr2bl w:val="nil"/>
                  </w:tcBorders>
                  <w:textDirection w:val="tbRlV"/>
                  <w:vAlign w:val="center"/>
                </w:tcPr>
                <w:p w14:paraId="37011F16">
                  <w:pPr>
                    <w:pStyle w:val="37"/>
                    <w:bidi w:val="0"/>
                    <w:rPr>
                      <w:color w:val="auto"/>
                    </w:rPr>
                  </w:pPr>
                </w:p>
              </w:tc>
              <w:tc>
                <w:tcPr>
                  <w:tcW w:w="621" w:type="pct"/>
                  <w:vMerge w:val="continue"/>
                  <w:tcBorders>
                    <w:tl2br w:val="nil"/>
                    <w:tr2bl w:val="nil"/>
                  </w:tcBorders>
                  <w:vAlign w:val="center"/>
                </w:tcPr>
                <w:p w14:paraId="571FE174">
                  <w:pPr>
                    <w:pStyle w:val="37"/>
                    <w:bidi w:val="0"/>
                    <w:rPr>
                      <w:color w:val="auto"/>
                    </w:rPr>
                  </w:pPr>
                </w:p>
              </w:tc>
              <w:tc>
                <w:tcPr>
                  <w:tcW w:w="869" w:type="pct"/>
                  <w:tcBorders>
                    <w:tl2br w:val="nil"/>
                    <w:tr2bl w:val="nil"/>
                  </w:tcBorders>
                  <w:vAlign w:val="center"/>
                </w:tcPr>
                <w:p w14:paraId="6CE63AE1">
                  <w:pPr>
                    <w:pStyle w:val="37"/>
                    <w:bidi w:val="0"/>
                    <w:rPr>
                      <w:color w:val="auto"/>
                    </w:rPr>
                  </w:pPr>
                  <w:r>
                    <w:rPr>
                      <w:color w:val="auto"/>
                    </w:rPr>
                    <w:t>长度</w:t>
                  </w:r>
                </w:p>
              </w:tc>
              <w:tc>
                <w:tcPr>
                  <w:tcW w:w="999" w:type="pct"/>
                  <w:tcBorders>
                    <w:tl2br w:val="nil"/>
                    <w:tr2bl w:val="nil"/>
                  </w:tcBorders>
                  <w:vAlign w:val="center"/>
                </w:tcPr>
                <w:p w14:paraId="2AC90441">
                  <w:pPr>
                    <w:pStyle w:val="37"/>
                    <w:bidi w:val="0"/>
                    <w:rPr>
                      <w:color w:val="auto"/>
                    </w:rPr>
                  </w:pPr>
                  <w:r>
                    <w:rPr>
                      <w:color w:val="auto"/>
                    </w:rPr>
                    <w:t>km</w:t>
                  </w:r>
                </w:p>
              </w:tc>
              <w:tc>
                <w:tcPr>
                  <w:tcW w:w="1110" w:type="pct"/>
                  <w:tcBorders>
                    <w:tl2br w:val="nil"/>
                    <w:tr2bl w:val="nil"/>
                  </w:tcBorders>
                  <w:vAlign w:val="center"/>
                </w:tcPr>
                <w:p w14:paraId="35EB021F">
                  <w:pPr>
                    <w:pStyle w:val="37"/>
                    <w:bidi w:val="0"/>
                    <w:rPr>
                      <w:color w:val="auto"/>
                    </w:rPr>
                  </w:pPr>
                  <w:r>
                    <w:rPr>
                      <w:rFonts w:hint="eastAsia"/>
                      <w:color w:val="auto"/>
                      <w:lang w:val="en-US" w:eastAsia="zh-CN"/>
                    </w:rPr>
                    <w:t>地埋单</w:t>
                  </w:r>
                  <w:r>
                    <w:rPr>
                      <w:color w:val="auto"/>
                    </w:rPr>
                    <w:t>回：</w:t>
                  </w:r>
                  <w:r>
                    <w:rPr>
                      <w:rFonts w:hint="eastAsia"/>
                      <w:color w:val="auto"/>
                      <w:lang w:val="en-US" w:eastAsia="zh-CN"/>
                    </w:rPr>
                    <w:t>13.1</w:t>
                  </w:r>
                  <w:r>
                    <w:rPr>
                      <w:color w:val="auto"/>
                    </w:rPr>
                    <w:t>km</w:t>
                  </w:r>
                </w:p>
                <w:p w14:paraId="49A8A9FD">
                  <w:pPr>
                    <w:pStyle w:val="37"/>
                    <w:bidi w:val="0"/>
                    <w:rPr>
                      <w:rFonts w:hint="default"/>
                      <w:color w:val="auto"/>
                      <w:lang w:val="en-US" w:eastAsia="zh-CN"/>
                    </w:rPr>
                  </w:pPr>
                  <w:r>
                    <w:rPr>
                      <w:rFonts w:hint="eastAsia"/>
                      <w:color w:val="auto"/>
                      <w:lang w:val="en-US" w:eastAsia="zh-CN"/>
                    </w:rPr>
                    <w:t>架空双回：13.66</w:t>
                  </w:r>
                  <w:r>
                    <w:rPr>
                      <w:color w:val="auto"/>
                    </w:rPr>
                    <w:t>km</w:t>
                  </w:r>
                </w:p>
              </w:tc>
              <w:tc>
                <w:tcPr>
                  <w:tcW w:w="729" w:type="pct"/>
                  <w:tcBorders>
                    <w:tl2br w:val="nil"/>
                    <w:tr2bl w:val="nil"/>
                  </w:tcBorders>
                  <w:vAlign w:val="center"/>
                </w:tcPr>
                <w:p w14:paraId="148DF35A">
                  <w:pPr>
                    <w:pStyle w:val="37"/>
                    <w:bidi w:val="0"/>
                    <w:rPr>
                      <w:rFonts w:hint="eastAsia"/>
                      <w:color w:val="auto"/>
                      <w:lang w:val="en-US" w:eastAsia="zh-CN"/>
                    </w:rPr>
                  </w:pPr>
                </w:p>
              </w:tc>
            </w:tr>
            <w:tr w14:paraId="6C4B3B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779" w:hRule="atLeast"/>
              </w:trPr>
              <w:tc>
                <w:tcPr>
                  <w:tcW w:w="219" w:type="pct"/>
                  <w:vMerge w:val="continue"/>
                  <w:tcBorders>
                    <w:tl2br w:val="nil"/>
                    <w:tr2bl w:val="nil"/>
                  </w:tcBorders>
                  <w:textDirection w:val="tbRlV"/>
                  <w:vAlign w:val="center"/>
                </w:tcPr>
                <w:p w14:paraId="41773C55">
                  <w:pPr>
                    <w:pStyle w:val="37"/>
                    <w:bidi w:val="0"/>
                    <w:rPr>
                      <w:color w:val="auto"/>
                    </w:rPr>
                  </w:pPr>
                </w:p>
              </w:tc>
              <w:tc>
                <w:tcPr>
                  <w:tcW w:w="451" w:type="pct"/>
                  <w:vMerge w:val="restart"/>
                  <w:tcBorders>
                    <w:tl2br w:val="nil"/>
                    <w:tr2bl w:val="nil"/>
                  </w:tcBorders>
                  <w:vAlign w:val="center"/>
                </w:tcPr>
                <w:p w14:paraId="1F59BAD7">
                  <w:pPr>
                    <w:pStyle w:val="37"/>
                    <w:bidi w:val="0"/>
                    <w:rPr>
                      <w:color w:val="auto"/>
                    </w:rPr>
                  </w:pPr>
                  <w:r>
                    <w:rPr>
                      <w:color w:val="auto"/>
                    </w:rPr>
                    <w:t>升压变电站</w:t>
                  </w:r>
                </w:p>
              </w:tc>
              <w:tc>
                <w:tcPr>
                  <w:tcW w:w="621" w:type="pct"/>
                  <w:vMerge w:val="restart"/>
                  <w:tcBorders>
                    <w:tl2br w:val="nil"/>
                    <w:tr2bl w:val="nil"/>
                  </w:tcBorders>
                  <w:vAlign w:val="center"/>
                </w:tcPr>
                <w:p w14:paraId="026160DF">
                  <w:pPr>
                    <w:pStyle w:val="37"/>
                    <w:bidi w:val="0"/>
                    <w:rPr>
                      <w:color w:val="auto"/>
                    </w:rPr>
                  </w:pPr>
                  <w:r>
                    <w:rPr>
                      <w:color w:val="auto"/>
                    </w:rPr>
                    <w:t>主变压器</w:t>
                  </w:r>
                </w:p>
              </w:tc>
              <w:tc>
                <w:tcPr>
                  <w:tcW w:w="869" w:type="pct"/>
                  <w:tcBorders>
                    <w:tl2br w:val="nil"/>
                    <w:tr2bl w:val="nil"/>
                  </w:tcBorders>
                  <w:vAlign w:val="center"/>
                </w:tcPr>
                <w:p w14:paraId="48A57939">
                  <w:pPr>
                    <w:pStyle w:val="37"/>
                    <w:bidi w:val="0"/>
                    <w:rPr>
                      <w:color w:val="auto"/>
                    </w:rPr>
                  </w:pPr>
                  <w:r>
                    <w:rPr>
                      <w:color w:val="auto"/>
                    </w:rPr>
                    <w:t>型号</w:t>
                  </w:r>
                </w:p>
              </w:tc>
              <w:tc>
                <w:tcPr>
                  <w:tcW w:w="999" w:type="pct"/>
                  <w:tcBorders>
                    <w:tl2br w:val="nil"/>
                    <w:tr2bl w:val="nil"/>
                  </w:tcBorders>
                  <w:vAlign w:val="center"/>
                </w:tcPr>
                <w:p w14:paraId="74549F9C">
                  <w:pPr>
                    <w:pStyle w:val="37"/>
                    <w:bidi w:val="0"/>
                    <w:rPr>
                      <w:color w:val="auto"/>
                    </w:rPr>
                  </w:pPr>
                  <w:r>
                    <w:rPr>
                      <w:color w:val="auto"/>
                    </w:rPr>
                    <w:t>SFZ22-</w:t>
                  </w:r>
                </w:p>
                <w:p w14:paraId="360501E2">
                  <w:pPr>
                    <w:pStyle w:val="37"/>
                    <w:bidi w:val="0"/>
                    <w:rPr>
                      <w:color w:val="auto"/>
                    </w:rPr>
                  </w:pPr>
                  <w:r>
                    <w:rPr>
                      <w:color w:val="auto"/>
                    </w:rPr>
                    <w:t>70000/230GY</w:t>
                  </w:r>
                </w:p>
                <w:p w14:paraId="76638D25">
                  <w:pPr>
                    <w:pStyle w:val="37"/>
                    <w:bidi w:val="0"/>
                    <w:rPr>
                      <w:color w:val="auto"/>
                    </w:rPr>
                  </w:pPr>
                  <w:r>
                    <w:rPr>
                      <w:color w:val="auto"/>
                    </w:rPr>
                    <w:t>230±8×1.25%/35</w:t>
                  </w:r>
                </w:p>
              </w:tc>
              <w:tc>
                <w:tcPr>
                  <w:tcW w:w="1110" w:type="pct"/>
                  <w:tcBorders>
                    <w:tl2br w:val="nil"/>
                    <w:tr2bl w:val="nil"/>
                  </w:tcBorders>
                  <w:vAlign w:val="center"/>
                </w:tcPr>
                <w:p w14:paraId="4086F29A">
                  <w:pPr>
                    <w:pStyle w:val="37"/>
                    <w:bidi w:val="0"/>
                    <w:rPr>
                      <w:rFonts w:hint="eastAsia" w:eastAsia="宋体"/>
                      <w:color w:val="auto"/>
                      <w:lang w:val="en-US" w:eastAsia="zh-CN"/>
                    </w:rPr>
                  </w:pPr>
                  <w:r>
                    <w:rPr>
                      <w:rFonts w:hint="eastAsia"/>
                      <w:color w:val="auto"/>
                      <w:lang w:val="en-US" w:eastAsia="zh-CN"/>
                    </w:rPr>
                    <w:t>/</w:t>
                  </w:r>
                </w:p>
              </w:tc>
              <w:tc>
                <w:tcPr>
                  <w:tcW w:w="729" w:type="pct"/>
                  <w:vMerge w:val="restart"/>
                  <w:tcBorders>
                    <w:tl2br w:val="nil"/>
                    <w:tr2bl w:val="nil"/>
                  </w:tcBorders>
                  <w:vAlign w:val="center"/>
                </w:tcPr>
                <w:p w14:paraId="4B426872">
                  <w:pPr>
                    <w:pStyle w:val="37"/>
                    <w:bidi w:val="0"/>
                    <w:rPr>
                      <w:color w:val="auto"/>
                    </w:rPr>
                  </w:pPr>
                  <w:r>
                    <w:rPr>
                      <w:color w:val="auto"/>
                    </w:rPr>
                    <w:t>本期扩建</w:t>
                  </w:r>
                </w:p>
              </w:tc>
            </w:tr>
            <w:tr w14:paraId="4CB896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4396616F">
                  <w:pPr>
                    <w:pStyle w:val="37"/>
                    <w:bidi w:val="0"/>
                    <w:rPr>
                      <w:color w:val="auto"/>
                    </w:rPr>
                  </w:pPr>
                </w:p>
              </w:tc>
              <w:tc>
                <w:tcPr>
                  <w:tcW w:w="451" w:type="pct"/>
                  <w:vMerge w:val="continue"/>
                  <w:tcBorders>
                    <w:tl2br w:val="nil"/>
                    <w:tr2bl w:val="nil"/>
                  </w:tcBorders>
                  <w:textDirection w:val="tbRlV"/>
                  <w:vAlign w:val="center"/>
                </w:tcPr>
                <w:p w14:paraId="13D33C32">
                  <w:pPr>
                    <w:pStyle w:val="37"/>
                    <w:bidi w:val="0"/>
                    <w:rPr>
                      <w:color w:val="auto"/>
                    </w:rPr>
                  </w:pPr>
                </w:p>
              </w:tc>
              <w:tc>
                <w:tcPr>
                  <w:tcW w:w="621" w:type="pct"/>
                  <w:vMerge w:val="continue"/>
                  <w:tcBorders>
                    <w:tl2br w:val="nil"/>
                    <w:tr2bl w:val="nil"/>
                  </w:tcBorders>
                  <w:vAlign w:val="center"/>
                </w:tcPr>
                <w:p w14:paraId="0816799A">
                  <w:pPr>
                    <w:pStyle w:val="37"/>
                    <w:bidi w:val="0"/>
                    <w:rPr>
                      <w:color w:val="auto"/>
                    </w:rPr>
                  </w:pPr>
                </w:p>
              </w:tc>
              <w:tc>
                <w:tcPr>
                  <w:tcW w:w="869" w:type="pct"/>
                  <w:tcBorders>
                    <w:tl2br w:val="nil"/>
                    <w:tr2bl w:val="nil"/>
                  </w:tcBorders>
                  <w:vAlign w:val="center"/>
                </w:tcPr>
                <w:p w14:paraId="77FE7987">
                  <w:pPr>
                    <w:pStyle w:val="37"/>
                    <w:bidi w:val="0"/>
                    <w:rPr>
                      <w:color w:val="auto"/>
                    </w:rPr>
                  </w:pPr>
                  <w:r>
                    <w:rPr>
                      <w:color w:val="auto"/>
                    </w:rPr>
                    <w:t>台数</w:t>
                  </w:r>
                </w:p>
              </w:tc>
              <w:tc>
                <w:tcPr>
                  <w:tcW w:w="999" w:type="pct"/>
                  <w:tcBorders>
                    <w:tl2br w:val="nil"/>
                    <w:tr2bl w:val="nil"/>
                  </w:tcBorders>
                  <w:vAlign w:val="center"/>
                </w:tcPr>
                <w:p w14:paraId="32D51D53">
                  <w:pPr>
                    <w:pStyle w:val="37"/>
                    <w:bidi w:val="0"/>
                    <w:rPr>
                      <w:color w:val="auto"/>
                    </w:rPr>
                  </w:pPr>
                  <w:r>
                    <w:rPr>
                      <w:color w:val="auto"/>
                    </w:rPr>
                    <w:t>台</w:t>
                  </w:r>
                </w:p>
              </w:tc>
              <w:tc>
                <w:tcPr>
                  <w:tcW w:w="1110" w:type="pct"/>
                  <w:tcBorders>
                    <w:tl2br w:val="nil"/>
                    <w:tr2bl w:val="nil"/>
                  </w:tcBorders>
                  <w:vAlign w:val="center"/>
                </w:tcPr>
                <w:p w14:paraId="5F17C89A">
                  <w:pPr>
                    <w:pStyle w:val="37"/>
                    <w:bidi w:val="0"/>
                    <w:rPr>
                      <w:color w:val="auto"/>
                    </w:rPr>
                  </w:pPr>
                  <w:r>
                    <w:rPr>
                      <w:color w:val="auto"/>
                    </w:rPr>
                    <w:t>1</w:t>
                  </w:r>
                </w:p>
              </w:tc>
              <w:tc>
                <w:tcPr>
                  <w:tcW w:w="729" w:type="pct"/>
                  <w:vMerge w:val="continue"/>
                  <w:tcBorders>
                    <w:tl2br w:val="nil"/>
                    <w:tr2bl w:val="nil"/>
                  </w:tcBorders>
                  <w:vAlign w:val="center"/>
                </w:tcPr>
                <w:p w14:paraId="72F20A69">
                  <w:pPr>
                    <w:pStyle w:val="37"/>
                    <w:bidi w:val="0"/>
                    <w:rPr>
                      <w:color w:val="auto"/>
                    </w:rPr>
                  </w:pPr>
                </w:p>
              </w:tc>
            </w:tr>
            <w:tr w14:paraId="10180C4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24CAC5DA">
                  <w:pPr>
                    <w:pStyle w:val="37"/>
                    <w:bidi w:val="0"/>
                    <w:rPr>
                      <w:color w:val="auto"/>
                    </w:rPr>
                  </w:pPr>
                </w:p>
              </w:tc>
              <w:tc>
                <w:tcPr>
                  <w:tcW w:w="451" w:type="pct"/>
                  <w:vMerge w:val="continue"/>
                  <w:tcBorders>
                    <w:tl2br w:val="nil"/>
                    <w:tr2bl w:val="nil"/>
                  </w:tcBorders>
                  <w:textDirection w:val="tbRlV"/>
                  <w:vAlign w:val="center"/>
                </w:tcPr>
                <w:p w14:paraId="7E1F6EB3">
                  <w:pPr>
                    <w:pStyle w:val="37"/>
                    <w:bidi w:val="0"/>
                    <w:rPr>
                      <w:color w:val="auto"/>
                    </w:rPr>
                  </w:pPr>
                </w:p>
              </w:tc>
              <w:tc>
                <w:tcPr>
                  <w:tcW w:w="621" w:type="pct"/>
                  <w:vMerge w:val="continue"/>
                  <w:tcBorders>
                    <w:tl2br w:val="nil"/>
                    <w:tr2bl w:val="nil"/>
                  </w:tcBorders>
                  <w:vAlign w:val="center"/>
                </w:tcPr>
                <w:p w14:paraId="1FE70C44">
                  <w:pPr>
                    <w:pStyle w:val="37"/>
                    <w:bidi w:val="0"/>
                    <w:rPr>
                      <w:color w:val="auto"/>
                    </w:rPr>
                  </w:pPr>
                </w:p>
              </w:tc>
              <w:tc>
                <w:tcPr>
                  <w:tcW w:w="869" w:type="pct"/>
                  <w:tcBorders>
                    <w:tl2br w:val="nil"/>
                    <w:tr2bl w:val="nil"/>
                  </w:tcBorders>
                  <w:vAlign w:val="center"/>
                </w:tcPr>
                <w:p w14:paraId="2433CA43">
                  <w:pPr>
                    <w:pStyle w:val="37"/>
                    <w:bidi w:val="0"/>
                    <w:rPr>
                      <w:color w:val="auto"/>
                    </w:rPr>
                  </w:pPr>
                  <w:r>
                    <w:rPr>
                      <w:color w:val="auto"/>
                    </w:rPr>
                    <w:t>容量</w:t>
                  </w:r>
                </w:p>
              </w:tc>
              <w:tc>
                <w:tcPr>
                  <w:tcW w:w="999" w:type="pct"/>
                  <w:tcBorders>
                    <w:tl2br w:val="nil"/>
                    <w:tr2bl w:val="nil"/>
                  </w:tcBorders>
                  <w:vAlign w:val="center"/>
                </w:tcPr>
                <w:p w14:paraId="311BC9CA">
                  <w:pPr>
                    <w:pStyle w:val="37"/>
                    <w:bidi w:val="0"/>
                    <w:rPr>
                      <w:color w:val="auto"/>
                    </w:rPr>
                  </w:pPr>
                  <w:r>
                    <w:rPr>
                      <w:color w:val="auto"/>
                    </w:rPr>
                    <w:t>MVA</w:t>
                  </w:r>
                </w:p>
              </w:tc>
              <w:tc>
                <w:tcPr>
                  <w:tcW w:w="1110" w:type="pct"/>
                  <w:tcBorders>
                    <w:tl2br w:val="nil"/>
                    <w:tr2bl w:val="nil"/>
                  </w:tcBorders>
                  <w:vAlign w:val="center"/>
                </w:tcPr>
                <w:p w14:paraId="1055C7AC">
                  <w:pPr>
                    <w:pStyle w:val="37"/>
                    <w:bidi w:val="0"/>
                    <w:rPr>
                      <w:rFonts w:hint="default"/>
                      <w:color w:val="auto"/>
                      <w:lang w:val="en-US" w:eastAsia="zh-CN"/>
                    </w:rPr>
                  </w:pPr>
                  <w:r>
                    <w:rPr>
                      <w:rFonts w:hint="eastAsia"/>
                      <w:color w:val="auto"/>
                      <w:lang w:val="en-US" w:eastAsia="zh-CN"/>
                    </w:rPr>
                    <w:t>30</w:t>
                  </w:r>
                </w:p>
              </w:tc>
              <w:tc>
                <w:tcPr>
                  <w:tcW w:w="729" w:type="pct"/>
                  <w:vMerge w:val="continue"/>
                  <w:tcBorders>
                    <w:tl2br w:val="nil"/>
                    <w:tr2bl w:val="nil"/>
                  </w:tcBorders>
                  <w:vAlign w:val="center"/>
                </w:tcPr>
                <w:p w14:paraId="6A19106E">
                  <w:pPr>
                    <w:pStyle w:val="37"/>
                    <w:bidi w:val="0"/>
                    <w:rPr>
                      <w:color w:val="auto"/>
                    </w:rPr>
                  </w:pPr>
                </w:p>
              </w:tc>
            </w:tr>
            <w:tr w14:paraId="224132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3B6F9566">
                  <w:pPr>
                    <w:pStyle w:val="37"/>
                    <w:bidi w:val="0"/>
                    <w:rPr>
                      <w:color w:val="auto"/>
                    </w:rPr>
                  </w:pPr>
                </w:p>
              </w:tc>
              <w:tc>
                <w:tcPr>
                  <w:tcW w:w="451" w:type="pct"/>
                  <w:vMerge w:val="continue"/>
                  <w:tcBorders>
                    <w:tl2br w:val="nil"/>
                    <w:tr2bl w:val="nil"/>
                  </w:tcBorders>
                  <w:textDirection w:val="tbRlV"/>
                  <w:vAlign w:val="center"/>
                </w:tcPr>
                <w:p w14:paraId="7F600981">
                  <w:pPr>
                    <w:pStyle w:val="37"/>
                    <w:bidi w:val="0"/>
                    <w:rPr>
                      <w:color w:val="auto"/>
                    </w:rPr>
                  </w:pPr>
                </w:p>
              </w:tc>
              <w:tc>
                <w:tcPr>
                  <w:tcW w:w="621" w:type="pct"/>
                  <w:vMerge w:val="continue"/>
                  <w:tcBorders>
                    <w:tl2br w:val="nil"/>
                    <w:tr2bl w:val="nil"/>
                  </w:tcBorders>
                  <w:vAlign w:val="center"/>
                </w:tcPr>
                <w:p w14:paraId="2A138B82">
                  <w:pPr>
                    <w:pStyle w:val="37"/>
                    <w:bidi w:val="0"/>
                    <w:rPr>
                      <w:color w:val="auto"/>
                    </w:rPr>
                  </w:pPr>
                </w:p>
              </w:tc>
              <w:tc>
                <w:tcPr>
                  <w:tcW w:w="869" w:type="pct"/>
                  <w:tcBorders>
                    <w:tl2br w:val="nil"/>
                    <w:tr2bl w:val="nil"/>
                  </w:tcBorders>
                  <w:vAlign w:val="center"/>
                </w:tcPr>
                <w:p w14:paraId="5CEC5DCF">
                  <w:pPr>
                    <w:pStyle w:val="37"/>
                    <w:bidi w:val="0"/>
                    <w:rPr>
                      <w:color w:val="auto"/>
                    </w:rPr>
                  </w:pPr>
                  <w:r>
                    <w:rPr>
                      <w:color w:val="auto"/>
                    </w:rPr>
                    <w:t>额定电压</w:t>
                  </w:r>
                </w:p>
              </w:tc>
              <w:tc>
                <w:tcPr>
                  <w:tcW w:w="999" w:type="pct"/>
                  <w:tcBorders>
                    <w:tl2br w:val="nil"/>
                    <w:tr2bl w:val="nil"/>
                  </w:tcBorders>
                  <w:vAlign w:val="center"/>
                </w:tcPr>
                <w:p w14:paraId="718921B2">
                  <w:pPr>
                    <w:pStyle w:val="37"/>
                    <w:bidi w:val="0"/>
                    <w:rPr>
                      <w:color w:val="auto"/>
                    </w:rPr>
                  </w:pPr>
                  <w:r>
                    <w:rPr>
                      <w:color w:val="auto"/>
                    </w:rPr>
                    <w:t>kV</w:t>
                  </w:r>
                </w:p>
              </w:tc>
              <w:tc>
                <w:tcPr>
                  <w:tcW w:w="1110" w:type="pct"/>
                  <w:tcBorders>
                    <w:tl2br w:val="nil"/>
                    <w:tr2bl w:val="nil"/>
                  </w:tcBorders>
                  <w:vAlign w:val="center"/>
                </w:tcPr>
                <w:p w14:paraId="252ABCEA">
                  <w:pPr>
                    <w:pStyle w:val="37"/>
                    <w:bidi w:val="0"/>
                    <w:rPr>
                      <w:color w:val="auto"/>
                    </w:rPr>
                  </w:pPr>
                  <w:r>
                    <w:rPr>
                      <w:color w:val="auto"/>
                    </w:rPr>
                    <w:t>220</w:t>
                  </w:r>
                </w:p>
              </w:tc>
              <w:tc>
                <w:tcPr>
                  <w:tcW w:w="729" w:type="pct"/>
                  <w:vMerge w:val="continue"/>
                  <w:tcBorders>
                    <w:tl2br w:val="nil"/>
                    <w:tr2bl w:val="nil"/>
                  </w:tcBorders>
                  <w:vAlign w:val="center"/>
                </w:tcPr>
                <w:p w14:paraId="10EF5610">
                  <w:pPr>
                    <w:pStyle w:val="37"/>
                    <w:bidi w:val="0"/>
                    <w:rPr>
                      <w:color w:val="auto"/>
                    </w:rPr>
                  </w:pPr>
                </w:p>
              </w:tc>
            </w:tr>
            <w:tr w14:paraId="25DB01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restart"/>
                  <w:tcBorders>
                    <w:tl2br w:val="nil"/>
                    <w:tr2bl w:val="nil"/>
                  </w:tcBorders>
                  <w:vAlign w:val="center"/>
                </w:tcPr>
                <w:p w14:paraId="25A0C55F">
                  <w:pPr>
                    <w:pStyle w:val="37"/>
                    <w:bidi w:val="0"/>
                    <w:spacing w:line="240" w:lineRule="auto"/>
                    <w:rPr>
                      <w:rFonts w:hint="eastAsia"/>
                      <w:color w:val="auto"/>
                      <w:lang w:val="en-US" w:eastAsia="zh-CN"/>
                    </w:rPr>
                  </w:pPr>
                  <w:r>
                    <w:rPr>
                      <w:rFonts w:hint="eastAsia"/>
                      <w:color w:val="auto"/>
                      <w:lang w:val="en-US" w:eastAsia="zh-CN"/>
                    </w:rPr>
                    <w:t>土建</w:t>
                  </w:r>
                </w:p>
              </w:tc>
              <w:tc>
                <w:tcPr>
                  <w:tcW w:w="1072" w:type="pct"/>
                  <w:gridSpan w:val="2"/>
                  <w:vMerge w:val="restart"/>
                  <w:tcBorders>
                    <w:tl2br w:val="nil"/>
                    <w:tr2bl w:val="nil"/>
                  </w:tcBorders>
                  <w:vAlign w:val="center"/>
                </w:tcPr>
                <w:p w14:paraId="4643D7F4">
                  <w:pPr>
                    <w:pStyle w:val="37"/>
                    <w:bidi w:val="0"/>
                    <w:rPr>
                      <w:color w:val="auto"/>
                    </w:rPr>
                  </w:pPr>
                  <w:r>
                    <w:rPr>
                      <w:rFonts w:hint="eastAsia"/>
                      <w:color w:val="auto"/>
                      <w:lang w:val="en-US" w:eastAsia="zh-CN"/>
                    </w:rPr>
                    <w:t>风电机组基础</w:t>
                  </w:r>
                </w:p>
              </w:tc>
              <w:tc>
                <w:tcPr>
                  <w:tcW w:w="869" w:type="pct"/>
                  <w:tcBorders>
                    <w:tl2br w:val="nil"/>
                    <w:tr2bl w:val="nil"/>
                  </w:tcBorders>
                  <w:vAlign w:val="center"/>
                </w:tcPr>
                <w:p w14:paraId="20D2F32D">
                  <w:pPr>
                    <w:pStyle w:val="37"/>
                    <w:bidi w:val="0"/>
                    <w:rPr>
                      <w:color w:val="auto"/>
                    </w:rPr>
                  </w:pPr>
                  <w:r>
                    <w:rPr>
                      <w:rFonts w:hint="eastAsia"/>
                      <w:color w:val="auto"/>
                      <w:lang w:val="en-US" w:eastAsia="zh-CN"/>
                    </w:rPr>
                    <w:t>数量</w:t>
                  </w:r>
                </w:p>
              </w:tc>
              <w:tc>
                <w:tcPr>
                  <w:tcW w:w="999" w:type="pct"/>
                  <w:tcBorders>
                    <w:tl2br w:val="nil"/>
                    <w:tr2bl w:val="nil"/>
                  </w:tcBorders>
                  <w:vAlign w:val="center"/>
                </w:tcPr>
                <w:p w14:paraId="6EA9F4CC">
                  <w:pPr>
                    <w:pStyle w:val="37"/>
                    <w:bidi w:val="0"/>
                    <w:rPr>
                      <w:rFonts w:hint="eastAsia"/>
                      <w:color w:val="auto"/>
                      <w:lang w:val="en-US" w:eastAsia="zh-CN"/>
                    </w:rPr>
                  </w:pPr>
                  <w:r>
                    <w:rPr>
                      <w:rFonts w:hint="eastAsia"/>
                      <w:color w:val="auto"/>
                      <w:lang w:val="en-US" w:eastAsia="zh-CN"/>
                    </w:rPr>
                    <w:t>座</w:t>
                  </w:r>
                </w:p>
              </w:tc>
              <w:tc>
                <w:tcPr>
                  <w:tcW w:w="1110" w:type="pct"/>
                  <w:tcBorders>
                    <w:tl2br w:val="nil"/>
                    <w:tr2bl w:val="nil"/>
                  </w:tcBorders>
                  <w:vAlign w:val="center"/>
                </w:tcPr>
                <w:p w14:paraId="5D995F26">
                  <w:pPr>
                    <w:pStyle w:val="37"/>
                    <w:bidi w:val="0"/>
                    <w:rPr>
                      <w:rFonts w:hint="eastAsia"/>
                      <w:color w:val="auto"/>
                      <w:lang w:val="en-US" w:eastAsia="zh-CN"/>
                    </w:rPr>
                  </w:pPr>
                  <w:r>
                    <w:rPr>
                      <w:rFonts w:hint="eastAsia"/>
                      <w:color w:val="auto"/>
                      <w:lang w:val="en-US" w:eastAsia="zh-CN"/>
                    </w:rPr>
                    <w:t>4</w:t>
                  </w:r>
                </w:p>
              </w:tc>
              <w:tc>
                <w:tcPr>
                  <w:tcW w:w="729" w:type="pct"/>
                  <w:tcBorders>
                    <w:tl2br w:val="nil"/>
                    <w:tr2bl w:val="nil"/>
                  </w:tcBorders>
                  <w:vAlign w:val="center"/>
                </w:tcPr>
                <w:p w14:paraId="7ECC3C1A">
                  <w:pPr>
                    <w:pStyle w:val="37"/>
                    <w:bidi w:val="0"/>
                    <w:rPr>
                      <w:color w:val="auto"/>
                    </w:rPr>
                  </w:pPr>
                </w:p>
              </w:tc>
            </w:tr>
            <w:tr w14:paraId="39CEA3F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219" w:type="pct"/>
                  <w:vMerge w:val="continue"/>
                  <w:tcBorders>
                    <w:tl2br w:val="nil"/>
                    <w:tr2bl w:val="nil"/>
                  </w:tcBorders>
                  <w:textDirection w:val="tbRlV"/>
                  <w:vAlign w:val="center"/>
                </w:tcPr>
                <w:p w14:paraId="6A7A0D34">
                  <w:pPr>
                    <w:pStyle w:val="37"/>
                    <w:bidi w:val="0"/>
                    <w:rPr>
                      <w:rFonts w:hint="eastAsia"/>
                      <w:color w:val="auto"/>
                      <w:lang w:val="en-US" w:eastAsia="zh-CN"/>
                    </w:rPr>
                  </w:pPr>
                </w:p>
              </w:tc>
              <w:tc>
                <w:tcPr>
                  <w:tcW w:w="1072" w:type="pct"/>
                  <w:gridSpan w:val="2"/>
                  <w:vMerge w:val="continue"/>
                  <w:tcBorders>
                    <w:tl2br w:val="nil"/>
                    <w:tr2bl w:val="nil"/>
                  </w:tcBorders>
                  <w:textDirection w:val="tbRlV"/>
                  <w:vAlign w:val="center"/>
                </w:tcPr>
                <w:p w14:paraId="476CDD84">
                  <w:pPr>
                    <w:pStyle w:val="37"/>
                    <w:bidi w:val="0"/>
                    <w:rPr>
                      <w:color w:val="auto"/>
                    </w:rPr>
                  </w:pPr>
                </w:p>
              </w:tc>
              <w:tc>
                <w:tcPr>
                  <w:tcW w:w="869" w:type="pct"/>
                  <w:tcBorders>
                    <w:tl2br w:val="nil"/>
                    <w:tr2bl w:val="nil"/>
                  </w:tcBorders>
                  <w:vAlign w:val="center"/>
                </w:tcPr>
                <w:p w14:paraId="39AAB544">
                  <w:pPr>
                    <w:pStyle w:val="37"/>
                    <w:bidi w:val="0"/>
                    <w:rPr>
                      <w:color w:val="auto"/>
                    </w:rPr>
                  </w:pPr>
                  <w:r>
                    <w:rPr>
                      <w:rFonts w:hint="eastAsia"/>
                      <w:color w:val="auto"/>
                      <w:lang w:val="en-US" w:eastAsia="zh-CN"/>
                    </w:rPr>
                    <w:t>型式</w:t>
                  </w:r>
                </w:p>
              </w:tc>
              <w:tc>
                <w:tcPr>
                  <w:tcW w:w="2109" w:type="pct"/>
                  <w:gridSpan w:val="2"/>
                  <w:tcBorders>
                    <w:tl2br w:val="nil"/>
                    <w:tr2bl w:val="nil"/>
                  </w:tcBorders>
                  <w:vAlign w:val="center"/>
                </w:tcPr>
                <w:p w14:paraId="72F42AC4">
                  <w:pPr>
                    <w:pStyle w:val="37"/>
                    <w:bidi w:val="0"/>
                    <w:rPr>
                      <w:color w:val="auto"/>
                    </w:rPr>
                  </w:pPr>
                  <w:r>
                    <w:rPr>
                      <w:rFonts w:hint="eastAsia"/>
                      <w:color w:val="auto"/>
                      <w:lang w:val="en-US" w:eastAsia="zh-CN"/>
                    </w:rPr>
                    <w:t>圆形扩展式基础</w:t>
                  </w:r>
                </w:p>
              </w:tc>
              <w:tc>
                <w:tcPr>
                  <w:tcW w:w="729" w:type="pct"/>
                  <w:tcBorders>
                    <w:tl2br w:val="nil"/>
                    <w:tr2bl w:val="nil"/>
                  </w:tcBorders>
                  <w:vAlign w:val="center"/>
                </w:tcPr>
                <w:p w14:paraId="640A5699">
                  <w:pPr>
                    <w:pStyle w:val="37"/>
                    <w:bidi w:val="0"/>
                    <w:rPr>
                      <w:color w:val="auto"/>
                    </w:rPr>
                  </w:pPr>
                </w:p>
              </w:tc>
            </w:tr>
            <w:tr w14:paraId="27F579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219" w:type="pct"/>
                  <w:vMerge w:val="continue"/>
                  <w:tcBorders>
                    <w:tl2br w:val="nil"/>
                    <w:tr2bl w:val="nil"/>
                  </w:tcBorders>
                  <w:textDirection w:val="tbRlV"/>
                  <w:vAlign w:val="center"/>
                </w:tcPr>
                <w:p w14:paraId="0194AEDF">
                  <w:pPr>
                    <w:pStyle w:val="37"/>
                    <w:bidi w:val="0"/>
                    <w:rPr>
                      <w:rFonts w:hint="eastAsia"/>
                      <w:color w:val="auto"/>
                      <w:lang w:val="en-US" w:eastAsia="zh-CN"/>
                    </w:rPr>
                  </w:pPr>
                </w:p>
              </w:tc>
              <w:tc>
                <w:tcPr>
                  <w:tcW w:w="1072" w:type="pct"/>
                  <w:gridSpan w:val="2"/>
                  <w:vMerge w:val="continue"/>
                  <w:tcBorders>
                    <w:tl2br w:val="nil"/>
                    <w:tr2bl w:val="nil"/>
                  </w:tcBorders>
                  <w:textDirection w:val="tbRlV"/>
                  <w:vAlign w:val="center"/>
                </w:tcPr>
                <w:p w14:paraId="1A635F0D">
                  <w:pPr>
                    <w:pStyle w:val="37"/>
                    <w:bidi w:val="0"/>
                    <w:rPr>
                      <w:color w:val="auto"/>
                    </w:rPr>
                  </w:pPr>
                </w:p>
              </w:tc>
              <w:tc>
                <w:tcPr>
                  <w:tcW w:w="869" w:type="pct"/>
                  <w:tcBorders>
                    <w:tl2br w:val="nil"/>
                    <w:tr2bl w:val="nil"/>
                  </w:tcBorders>
                  <w:vAlign w:val="center"/>
                </w:tcPr>
                <w:p w14:paraId="5F31ECBF">
                  <w:pPr>
                    <w:pStyle w:val="37"/>
                    <w:bidi w:val="0"/>
                    <w:rPr>
                      <w:color w:val="auto"/>
                    </w:rPr>
                  </w:pPr>
                  <w:r>
                    <w:rPr>
                      <w:rFonts w:hint="eastAsia"/>
                      <w:color w:val="auto"/>
                      <w:lang w:val="en-US" w:eastAsia="zh-CN"/>
                    </w:rPr>
                    <w:t>地基特性</w:t>
                  </w:r>
                </w:p>
              </w:tc>
              <w:tc>
                <w:tcPr>
                  <w:tcW w:w="999" w:type="pct"/>
                  <w:tcBorders>
                    <w:tl2br w:val="nil"/>
                    <w:tr2bl w:val="nil"/>
                  </w:tcBorders>
                  <w:vAlign w:val="center"/>
                </w:tcPr>
                <w:p w14:paraId="1FDB3889">
                  <w:pPr>
                    <w:pStyle w:val="37"/>
                    <w:bidi w:val="0"/>
                    <w:rPr>
                      <w:color w:val="auto"/>
                    </w:rPr>
                  </w:pPr>
                </w:p>
              </w:tc>
              <w:tc>
                <w:tcPr>
                  <w:tcW w:w="1110" w:type="pct"/>
                  <w:tcBorders>
                    <w:tl2br w:val="nil"/>
                    <w:tr2bl w:val="nil"/>
                  </w:tcBorders>
                  <w:vAlign w:val="center"/>
                </w:tcPr>
                <w:p w14:paraId="2CA1F9FF">
                  <w:pPr>
                    <w:pStyle w:val="37"/>
                    <w:bidi w:val="0"/>
                    <w:rPr>
                      <w:rFonts w:hint="eastAsia"/>
                      <w:color w:val="auto"/>
                      <w:lang w:val="en-US" w:eastAsia="zh-CN"/>
                    </w:rPr>
                  </w:pPr>
                  <w:r>
                    <w:rPr>
                      <w:rFonts w:hint="eastAsia"/>
                      <w:color w:val="auto"/>
                      <w:lang w:val="en-US" w:eastAsia="zh-CN"/>
                    </w:rPr>
                    <w:t>中硬土</w:t>
                  </w:r>
                </w:p>
              </w:tc>
              <w:tc>
                <w:tcPr>
                  <w:tcW w:w="729" w:type="pct"/>
                  <w:tcBorders>
                    <w:tl2br w:val="nil"/>
                    <w:tr2bl w:val="nil"/>
                  </w:tcBorders>
                  <w:vAlign w:val="center"/>
                </w:tcPr>
                <w:p w14:paraId="40DC4814">
                  <w:pPr>
                    <w:pStyle w:val="37"/>
                    <w:bidi w:val="0"/>
                    <w:rPr>
                      <w:color w:val="auto"/>
                    </w:rPr>
                  </w:pPr>
                </w:p>
              </w:tc>
            </w:tr>
            <w:tr w14:paraId="69DEC5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PrEx>
              <w:trPr>
                <w:trHeight w:val="265" w:hRule="atLeast"/>
              </w:trPr>
              <w:tc>
                <w:tcPr>
                  <w:tcW w:w="219" w:type="pct"/>
                  <w:vMerge w:val="continue"/>
                  <w:tcBorders>
                    <w:tl2br w:val="nil"/>
                    <w:tr2bl w:val="nil"/>
                  </w:tcBorders>
                  <w:textDirection w:val="tbRlV"/>
                  <w:vAlign w:val="center"/>
                </w:tcPr>
                <w:p w14:paraId="46E00C91">
                  <w:pPr>
                    <w:pStyle w:val="37"/>
                    <w:bidi w:val="0"/>
                    <w:rPr>
                      <w:rFonts w:hint="eastAsia"/>
                      <w:color w:val="auto"/>
                      <w:lang w:val="en-US" w:eastAsia="zh-CN"/>
                    </w:rPr>
                  </w:pPr>
                </w:p>
              </w:tc>
              <w:tc>
                <w:tcPr>
                  <w:tcW w:w="1072" w:type="pct"/>
                  <w:gridSpan w:val="2"/>
                  <w:vMerge w:val="restart"/>
                  <w:tcBorders>
                    <w:tl2br w:val="nil"/>
                    <w:tr2bl w:val="nil"/>
                  </w:tcBorders>
                  <w:vAlign w:val="center"/>
                </w:tcPr>
                <w:p w14:paraId="0219CE34">
                  <w:pPr>
                    <w:pStyle w:val="37"/>
                    <w:bidi w:val="0"/>
                    <w:rPr>
                      <w:color w:val="auto"/>
                    </w:rPr>
                  </w:pPr>
                  <w:r>
                    <w:rPr>
                      <w:rFonts w:hint="eastAsia"/>
                      <w:color w:val="auto"/>
                      <w:lang w:val="en-US" w:eastAsia="zh-CN"/>
                    </w:rPr>
                    <w:t>箱变基础</w:t>
                  </w:r>
                </w:p>
              </w:tc>
              <w:tc>
                <w:tcPr>
                  <w:tcW w:w="869" w:type="pct"/>
                  <w:tcBorders>
                    <w:tl2br w:val="nil"/>
                    <w:tr2bl w:val="nil"/>
                  </w:tcBorders>
                  <w:vAlign w:val="center"/>
                </w:tcPr>
                <w:p w14:paraId="270F1923">
                  <w:pPr>
                    <w:pStyle w:val="37"/>
                    <w:bidi w:val="0"/>
                    <w:rPr>
                      <w:color w:val="auto"/>
                    </w:rPr>
                  </w:pPr>
                  <w:r>
                    <w:rPr>
                      <w:rFonts w:hint="eastAsia"/>
                      <w:color w:val="auto"/>
                      <w:lang w:val="en-US" w:eastAsia="zh-CN"/>
                    </w:rPr>
                    <w:t>数量</w:t>
                  </w:r>
                </w:p>
              </w:tc>
              <w:tc>
                <w:tcPr>
                  <w:tcW w:w="999" w:type="pct"/>
                  <w:tcBorders>
                    <w:tl2br w:val="nil"/>
                    <w:tr2bl w:val="nil"/>
                  </w:tcBorders>
                  <w:vAlign w:val="center"/>
                </w:tcPr>
                <w:p w14:paraId="7686A81E">
                  <w:pPr>
                    <w:pStyle w:val="37"/>
                    <w:bidi w:val="0"/>
                    <w:rPr>
                      <w:rFonts w:hint="eastAsia"/>
                      <w:color w:val="auto"/>
                      <w:lang w:val="en-US" w:eastAsia="zh-CN"/>
                    </w:rPr>
                  </w:pPr>
                  <w:r>
                    <w:rPr>
                      <w:rFonts w:hint="eastAsia"/>
                      <w:color w:val="auto"/>
                      <w:lang w:val="en-US" w:eastAsia="zh-CN"/>
                    </w:rPr>
                    <w:t>座</w:t>
                  </w:r>
                </w:p>
              </w:tc>
              <w:tc>
                <w:tcPr>
                  <w:tcW w:w="1110" w:type="pct"/>
                  <w:tcBorders>
                    <w:tl2br w:val="nil"/>
                    <w:tr2bl w:val="nil"/>
                  </w:tcBorders>
                  <w:vAlign w:val="center"/>
                </w:tcPr>
                <w:p w14:paraId="00B70FFC">
                  <w:pPr>
                    <w:pStyle w:val="37"/>
                    <w:bidi w:val="0"/>
                    <w:rPr>
                      <w:rFonts w:hint="eastAsia"/>
                      <w:color w:val="auto"/>
                      <w:lang w:val="en-US" w:eastAsia="zh-CN"/>
                    </w:rPr>
                  </w:pPr>
                  <w:r>
                    <w:rPr>
                      <w:rFonts w:hint="eastAsia"/>
                      <w:color w:val="auto"/>
                      <w:lang w:val="en-US" w:eastAsia="zh-CN"/>
                    </w:rPr>
                    <w:t>4</w:t>
                  </w:r>
                </w:p>
              </w:tc>
              <w:tc>
                <w:tcPr>
                  <w:tcW w:w="729" w:type="pct"/>
                  <w:tcBorders>
                    <w:tl2br w:val="nil"/>
                    <w:tr2bl w:val="nil"/>
                  </w:tcBorders>
                  <w:vAlign w:val="center"/>
                </w:tcPr>
                <w:p w14:paraId="12D323F0">
                  <w:pPr>
                    <w:pStyle w:val="37"/>
                    <w:bidi w:val="0"/>
                    <w:rPr>
                      <w:color w:val="auto"/>
                    </w:rPr>
                  </w:pPr>
                </w:p>
              </w:tc>
            </w:tr>
            <w:tr w14:paraId="28E743E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19" w:type="pct"/>
                  <w:vMerge w:val="continue"/>
                  <w:tcBorders>
                    <w:tl2br w:val="nil"/>
                    <w:tr2bl w:val="nil"/>
                  </w:tcBorders>
                  <w:textDirection w:val="tbRlV"/>
                  <w:vAlign w:val="center"/>
                </w:tcPr>
                <w:p w14:paraId="06949D04">
                  <w:pPr>
                    <w:pStyle w:val="37"/>
                    <w:bidi w:val="0"/>
                    <w:rPr>
                      <w:rFonts w:hint="eastAsia"/>
                      <w:color w:val="auto"/>
                      <w:lang w:val="en-US" w:eastAsia="zh-CN"/>
                    </w:rPr>
                  </w:pPr>
                </w:p>
              </w:tc>
              <w:tc>
                <w:tcPr>
                  <w:tcW w:w="1072" w:type="pct"/>
                  <w:gridSpan w:val="2"/>
                  <w:vMerge w:val="continue"/>
                  <w:tcBorders>
                    <w:tl2br w:val="nil"/>
                    <w:tr2bl w:val="nil"/>
                  </w:tcBorders>
                  <w:textDirection w:val="tbRlV"/>
                  <w:vAlign w:val="center"/>
                </w:tcPr>
                <w:p w14:paraId="054EE38B">
                  <w:pPr>
                    <w:pStyle w:val="37"/>
                    <w:bidi w:val="0"/>
                    <w:rPr>
                      <w:color w:val="auto"/>
                    </w:rPr>
                  </w:pPr>
                </w:p>
              </w:tc>
              <w:tc>
                <w:tcPr>
                  <w:tcW w:w="869" w:type="pct"/>
                  <w:tcBorders>
                    <w:tl2br w:val="nil"/>
                    <w:tr2bl w:val="nil"/>
                  </w:tcBorders>
                  <w:vAlign w:val="center"/>
                </w:tcPr>
                <w:p w14:paraId="2BB744B6">
                  <w:pPr>
                    <w:pStyle w:val="37"/>
                    <w:bidi w:val="0"/>
                    <w:rPr>
                      <w:color w:val="auto"/>
                    </w:rPr>
                  </w:pPr>
                  <w:r>
                    <w:rPr>
                      <w:rFonts w:hint="eastAsia"/>
                      <w:color w:val="auto"/>
                      <w:lang w:val="en-US" w:eastAsia="zh-CN"/>
                    </w:rPr>
                    <w:t>型式</w:t>
                  </w:r>
                </w:p>
              </w:tc>
              <w:tc>
                <w:tcPr>
                  <w:tcW w:w="2109" w:type="pct"/>
                  <w:gridSpan w:val="2"/>
                  <w:tcBorders>
                    <w:tl2br w:val="nil"/>
                    <w:tr2bl w:val="nil"/>
                  </w:tcBorders>
                  <w:vAlign w:val="center"/>
                </w:tcPr>
                <w:p w14:paraId="7358B840">
                  <w:pPr>
                    <w:pStyle w:val="37"/>
                    <w:bidi w:val="0"/>
                    <w:rPr>
                      <w:rFonts w:hint="eastAsia"/>
                      <w:color w:val="auto"/>
                      <w:lang w:val="en-US" w:eastAsia="zh-CN"/>
                    </w:rPr>
                  </w:pPr>
                  <w:r>
                    <w:rPr>
                      <w:rFonts w:hint="eastAsia"/>
                      <w:color w:val="auto"/>
                      <w:lang w:val="en-US" w:eastAsia="zh-CN"/>
                    </w:rPr>
                    <w:t>箱型素混凝土结构</w:t>
                  </w:r>
                </w:p>
              </w:tc>
              <w:tc>
                <w:tcPr>
                  <w:tcW w:w="729" w:type="pct"/>
                  <w:tcBorders>
                    <w:tl2br w:val="nil"/>
                    <w:tr2bl w:val="nil"/>
                  </w:tcBorders>
                  <w:vAlign w:val="center"/>
                </w:tcPr>
                <w:p w14:paraId="1010FCF2">
                  <w:pPr>
                    <w:pStyle w:val="37"/>
                    <w:bidi w:val="0"/>
                    <w:rPr>
                      <w:color w:val="auto"/>
                    </w:rPr>
                  </w:pPr>
                </w:p>
              </w:tc>
            </w:tr>
          </w:tbl>
          <w:p w14:paraId="34D10BA0">
            <w:pPr>
              <w:adjustRightInd w:val="0"/>
              <w:snapToGrid w:val="0"/>
              <w:spacing w:line="360" w:lineRule="auto"/>
              <w:ind w:left="0" w:leftChars="0" w:firstLine="0" w:firstLineChars="0"/>
              <w:jc w:val="left"/>
              <w:rPr>
                <w:rFonts w:hint="default" w:ascii="Times New Roman" w:hAnsi="Times New Roman" w:eastAsia="宋体" w:cs="Times New Roman"/>
                <w:b/>
                <w:bCs/>
                <w:caps w:val="0"/>
                <w:color w:val="auto"/>
                <w:spacing w:val="-2"/>
                <w:sz w:val="24"/>
                <w:highlight w:val="none"/>
                <w:lang w:val="en-US" w:eastAsia="zh-CN"/>
              </w:rPr>
            </w:pPr>
            <w:r>
              <w:rPr>
                <w:rFonts w:hint="eastAsia" w:cs="Times New Roman"/>
                <w:b/>
                <w:bCs/>
                <w:caps w:val="0"/>
                <w:color w:val="auto"/>
                <w:spacing w:val="-2"/>
                <w:sz w:val="24"/>
                <w:highlight w:val="none"/>
                <w:lang w:val="en-US" w:eastAsia="zh-CN"/>
              </w:rPr>
              <w:t>3.</w:t>
            </w:r>
            <w:r>
              <w:rPr>
                <w:rFonts w:hint="eastAsia" w:ascii="Times New Roman" w:hAnsi="Times New Roman" w:eastAsia="宋体" w:cs="Times New Roman"/>
                <w:b/>
                <w:bCs/>
                <w:caps w:val="0"/>
                <w:color w:val="auto"/>
                <w:spacing w:val="-2"/>
                <w:sz w:val="24"/>
                <w:highlight w:val="none"/>
                <w:lang w:val="en-US" w:eastAsia="zh-CN"/>
              </w:rPr>
              <w:t>主体工程</w:t>
            </w:r>
          </w:p>
          <w:p w14:paraId="354EB784">
            <w:pPr>
              <w:adjustRightInd w:val="0"/>
              <w:snapToGrid w:val="0"/>
              <w:spacing w:line="360" w:lineRule="auto"/>
              <w:jc w:val="left"/>
              <w:rPr>
                <w:rFonts w:hint="default" w:ascii="Times New Roman" w:hAnsi="Times New Roman" w:eastAsia="宋体" w:cs="Times New Roman"/>
                <w:b/>
                <w:bCs/>
                <w:caps w:val="0"/>
                <w:color w:val="auto"/>
                <w:spacing w:val="-2"/>
                <w:sz w:val="24"/>
                <w:highlight w:val="none"/>
                <w:lang w:val="en-US" w:eastAsia="zh-CN"/>
              </w:rPr>
            </w:pPr>
            <w:r>
              <w:rPr>
                <w:rFonts w:hint="eastAsia" w:cs="Times New Roman"/>
                <w:b/>
                <w:bCs/>
                <w:caps w:val="0"/>
                <w:color w:val="auto"/>
                <w:spacing w:val="-2"/>
                <w:sz w:val="24"/>
                <w:highlight w:val="none"/>
                <w:lang w:val="en-US" w:eastAsia="zh-CN"/>
              </w:rPr>
              <w:t>3.1</w:t>
            </w:r>
            <w:r>
              <w:rPr>
                <w:rFonts w:hint="eastAsia" w:ascii="Times New Roman" w:hAnsi="Times New Roman" w:eastAsia="宋体" w:cs="Times New Roman"/>
                <w:b/>
                <w:bCs/>
                <w:caps w:val="0"/>
                <w:color w:val="auto"/>
                <w:spacing w:val="-2"/>
                <w:sz w:val="24"/>
                <w:highlight w:val="none"/>
                <w:lang w:val="en-US" w:eastAsia="zh-CN"/>
              </w:rPr>
              <w:t>风机机组</w:t>
            </w:r>
          </w:p>
          <w:p w14:paraId="6B6EF924">
            <w:pPr>
              <w:adjustRightInd w:val="0"/>
              <w:snapToGrid w:val="0"/>
              <w:spacing w:line="360" w:lineRule="auto"/>
              <w:ind w:firstLine="472" w:firstLineChars="200"/>
              <w:jc w:val="left"/>
              <w:rPr>
                <w:rFonts w:hint="default" w:ascii="Times New Roman" w:hAnsi="Times New Roman" w:eastAsia="宋体" w:cs="Times New Roman"/>
                <w:caps w:val="0"/>
                <w:color w:val="auto"/>
                <w:spacing w:val="-2"/>
                <w:sz w:val="24"/>
                <w:highlight w:val="none"/>
                <w:lang w:val="en-US" w:eastAsia="zh-CN"/>
              </w:rPr>
            </w:pPr>
            <w:r>
              <w:rPr>
                <w:rFonts w:hint="eastAsia" w:ascii="Times New Roman" w:hAnsi="Times New Roman" w:eastAsia="宋体" w:cs="Times New Roman"/>
                <w:caps w:val="0"/>
                <w:color w:val="auto"/>
                <w:spacing w:val="-2"/>
                <w:sz w:val="24"/>
                <w:highlight w:val="none"/>
                <w:lang w:eastAsia="zh-CN"/>
              </w:rPr>
              <w:t>（</w:t>
            </w:r>
            <w:r>
              <w:rPr>
                <w:rFonts w:hint="eastAsia" w:ascii="Times New Roman" w:hAnsi="Times New Roman" w:eastAsia="宋体" w:cs="Times New Roman"/>
                <w:caps w:val="0"/>
                <w:color w:val="auto"/>
                <w:spacing w:val="-2"/>
                <w:sz w:val="24"/>
                <w:highlight w:val="none"/>
                <w:lang w:val="en-US" w:eastAsia="zh-CN"/>
              </w:rPr>
              <w:t>1）机组布置</w:t>
            </w:r>
          </w:p>
          <w:p w14:paraId="02F19A97">
            <w:pPr>
              <w:adjustRightInd w:val="0"/>
              <w:snapToGrid w:val="0"/>
              <w:spacing w:line="360" w:lineRule="auto"/>
              <w:ind w:firstLine="472" w:firstLineChars="200"/>
              <w:jc w:val="left"/>
              <w:rPr>
                <w:rFonts w:ascii="Times New Roman" w:hAnsi="Times New Roman" w:eastAsia="宋体" w:cs="Times New Roman"/>
                <w:caps w:val="0"/>
                <w:color w:val="auto"/>
                <w:spacing w:val="-2"/>
                <w:sz w:val="24"/>
                <w:highlight w:val="none"/>
              </w:rPr>
            </w:pPr>
            <w:r>
              <w:rPr>
                <w:rFonts w:hint="eastAsia" w:ascii="Times New Roman" w:hAnsi="Times New Roman" w:eastAsia="宋体" w:cs="Times New Roman"/>
                <w:caps w:val="0"/>
                <w:color w:val="auto"/>
                <w:spacing w:val="-2"/>
                <w:sz w:val="24"/>
                <w:highlight w:val="none"/>
                <w:lang w:val="en-US" w:eastAsia="zh-CN"/>
              </w:rPr>
              <w:t>①场址主风能方向明显，主要集中且更为集中于</w:t>
            </w:r>
            <w:r>
              <w:rPr>
                <w:color w:val="auto"/>
              </w:rPr>
              <w:t>S</w:t>
            </w:r>
            <w:r>
              <w:rPr>
                <w:rFonts w:hint="eastAsia"/>
                <w:color w:val="auto"/>
                <w:lang w:eastAsia="zh-CN"/>
              </w:rPr>
              <w:t>~</w:t>
            </w:r>
            <w:r>
              <w:rPr>
                <w:color w:val="auto"/>
              </w:rPr>
              <w:t>SW</w:t>
            </w:r>
            <w:r>
              <w:rPr>
                <w:rFonts w:hint="eastAsia" w:ascii="Times New Roman" w:hAnsi="Times New Roman" w:eastAsia="宋体" w:cs="Times New Roman"/>
                <w:caps w:val="0"/>
                <w:color w:val="auto"/>
                <w:spacing w:val="-2"/>
                <w:sz w:val="24"/>
                <w:highlight w:val="none"/>
                <w:lang w:val="en-US" w:eastAsia="zh-CN"/>
              </w:rPr>
              <w:t>区间；因此，风机按垂直于主风向进行布置；</w:t>
            </w:r>
          </w:p>
          <w:p w14:paraId="5503ED17">
            <w:pPr>
              <w:adjustRightInd w:val="0"/>
              <w:snapToGrid w:val="0"/>
              <w:spacing w:line="360" w:lineRule="auto"/>
              <w:ind w:firstLine="472" w:firstLineChars="200"/>
              <w:jc w:val="left"/>
              <w:rPr>
                <w:rFonts w:ascii="Times New Roman" w:hAnsi="Times New Roman" w:eastAsia="宋体" w:cs="Times New Roman"/>
                <w:caps w:val="0"/>
                <w:color w:val="auto"/>
                <w:spacing w:val="-2"/>
                <w:sz w:val="24"/>
                <w:highlight w:val="none"/>
              </w:rPr>
            </w:pPr>
            <w:r>
              <w:rPr>
                <w:rFonts w:hint="eastAsia" w:ascii="Times New Roman" w:hAnsi="Times New Roman" w:eastAsia="宋体" w:cs="Times New Roman"/>
                <w:caps w:val="0"/>
                <w:color w:val="auto"/>
                <w:spacing w:val="-2"/>
                <w:sz w:val="24"/>
                <w:highlight w:val="none"/>
                <w:lang w:val="en-US" w:eastAsia="zh-CN"/>
              </w:rPr>
              <w:t>②充分利用风能资源，风机布置于风功率密度较高处；</w:t>
            </w:r>
          </w:p>
          <w:p w14:paraId="6A5D8459">
            <w:pPr>
              <w:adjustRightInd w:val="0"/>
              <w:snapToGrid w:val="0"/>
              <w:spacing w:line="360" w:lineRule="auto"/>
              <w:ind w:firstLine="472" w:firstLineChars="200"/>
              <w:jc w:val="left"/>
              <w:rPr>
                <w:rFonts w:ascii="Times New Roman" w:hAnsi="Times New Roman" w:eastAsia="宋体" w:cs="Times New Roman"/>
                <w:caps w:val="0"/>
                <w:color w:val="auto"/>
                <w:spacing w:val="-2"/>
                <w:sz w:val="24"/>
                <w:highlight w:val="none"/>
              </w:rPr>
            </w:pPr>
            <w:r>
              <w:rPr>
                <w:rFonts w:hint="eastAsia" w:ascii="Times New Roman" w:hAnsi="Times New Roman" w:eastAsia="宋体" w:cs="Times New Roman"/>
                <w:caps w:val="0"/>
                <w:color w:val="auto"/>
                <w:spacing w:val="-2"/>
                <w:sz w:val="24"/>
                <w:highlight w:val="none"/>
                <w:lang w:val="en-US" w:eastAsia="zh-CN"/>
              </w:rPr>
              <w:t>③风机布置考虑场内交通和施工安装条件，尽量减少工程量；</w:t>
            </w:r>
          </w:p>
          <w:p w14:paraId="41EAB7FF">
            <w:pPr>
              <w:adjustRightInd w:val="0"/>
              <w:snapToGrid w:val="0"/>
              <w:spacing w:line="360" w:lineRule="auto"/>
              <w:ind w:firstLine="472" w:firstLineChars="200"/>
              <w:jc w:val="left"/>
              <w:rPr>
                <w:rFonts w:ascii="Times New Roman" w:hAnsi="Times New Roman" w:eastAsia="宋体" w:cs="Times New Roman"/>
                <w:caps w:val="0"/>
                <w:color w:val="auto"/>
                <w:spacing w:val="-2"/>
                <w:sz w:val="24"/>
                <w:highlight w:val="none"/>
              </w:rPr>
            </w:pPr>
            <w:r>
              <w:rPr>
                <w:rFonts w:hint="eastAsia" w:ascii="Times New Roman" w:hAnsi="Times New Roman" w:eastAsia="宋体" w:cs="Times New Roman"/>
                <w:caps w:val="0"/>
                <w:color w:val="auto"/>
                <w:spacing w:val="-2"/>
                <w:sz w:val="24"/>
                <w:highlight w:val="none"/>
                <w:lang w:val="en-US" w:eastAsia="zh-CN"/>
              </w:rPr>
              <w:t>④场址的主风能方向稳定，机组尾流影响主要集中在该主风能方向上，同时地形也有一定起伏，风机布置时列距按不低于</w:t>
            </w:r>
            <w:r>
              <w:rPr>
                <w:rFonts w:hint="default" w:ascii="Times New Roman" w:hAnsi="Times New Roman" w:eastAsia="宋体" w:cs="Times New Roman"/>
                <w:caps w:val="0"/>
                <w:color w:val="auto"/>
                <w:spacing w:val="-2"/>
                <w:sz w:val="24"/>
                <w:highlight w:val="none"/>
                <w:lang w:val="en-US" w:eastAsia="zh-CN"/>
              </w:rPr>
              <w:t>2</w:t>
            </w:r>
            <w:r>
              <w:rPr>
                <w:rFonts w:hint="eastAsia" w:ascii="Times New Roman" w:hAnsi="Times New Roman" w:eastAsia="宋体" w:cs="Times New Roman"/>
                <w:caps w:val="0"/>
                <w:color w:val="auto"/>
                <w:spacing w:val="-2"/>
                <w:sz w:val="24"/>
                <w:highlight w:val="none"/>
                <w:lang w:val="en-US" w:eastAsia="zh-CN"/>
              </w:rPr>
              <w:t>倍左右风轮直径考虑，行距按</w:t>
            </w:r>
            <w:r>
              <w:rPr>
                <w:rFonts w:hint="default" w:ascii="Times New Roman" w:hAnsi="Times New Roman" w:eastAsia="宋体" w:cs="Times New Roman"/>
                <w:caps w:val="0"/>
                <w:color w:val="auto"/>
                <w:spacing w:val="-2"/>
                <w:sz w:val="24"/>
                <w:highlight w:val="none"/>
                <w:lang w:val="en-US" w:eastAsia="zh-CN"/>
              </w:rPr>
              <w:t>5</w:t>
            </w:r>
            <w:r>
              <w:rPr>
                <w:rFonts w:hint="eastAsia" w:ascii="Times New Roman" w:hAnsi="Times New Roman" w:eastAsia="宋体" w:cs="Times New Roman"/>
                <w:caps w:val="0"/>
                <w:color w:val="auto"/>
                <w:spacing w:val="-2"/>
                <w:sz w:val="24"/>
                <w:highlight w:val="none"/>
                <w:lang w:val="en-US" w:eastAsia="zh-CN"/>
              </w:rPr>
              <w:t>倍左右风轮直径考虑；</w:t>
            </w:r>
          </w:p>
          <w:p w14:paraId="3CEB570E">
            <w:pPr>
              <w:adjustRightInd w:val="0"/>
              <w:snapToGrid w:val="0"/>
              <w:spacing w:line="360" w:lineRule="auto"/>
              <w:ind w:firstLine="472" w:firstLineChars="200"/>
              <w:jc w:val="left"/>
              <w:rPr>
                <w:rFonts w:ascii="Times New Roman" w:hAnsi="Times New Roman" w:eastAsia="宋体" w:cs="Times New Roman"/>
                <w:caps w:val="0"/>
                <w:color w:val="auto"/>
                <w:spacing w:val="-2"/>
                <w:sz w:val="24"/>
                <w:highlight w:val="none"/>
              </w:rPr>
            </w:pPr>
            <w:r>
              <w:rPr>
                <w:rFonts w:hint="eastAsia" w:ascii="Times New Roman" w:hAnsi="Times New Roman" w:eastAsia="宋体" w:cs="Times New Roman"/>
                <w:caps w:val="0"/>
                <w:color w:val="auto"/>
                <w:spacing w:val="-2"/>
                <w:sz w:val="24"/>
                <w:highlight w:val="none"/>
                <w:lang w:val="en-US" w:eastAsia="zh-CN"/>
              </w:rPr>
              <w:t>⑤风机布置时避让基本农田、生态</w:t>
            </w:r>
            <w:r>
              <w:rPr>
                <w:rFonts w:hint="eastAsia" w:cs="Times New Roman"/>
                <w:caps w:val="0"/>
                <w:color w:val="auto"/>
                <w:spacing w:val="-2"/>
                <w:sz w:val="24"/>
                <w:highlight w:val="none"/>
                <w:lang w:val="en-US" w:eastAsia="zh-CN"/>
              </w:rPr>
              <w:t>保护</w:t>
            </w:r>
            <w:r>
              <w:rPr>
                <w:rFonts w:hint="eastAsia" w:ascii="Times New Roman" w:hAnsi="Times New Roman" w:eastAsia="宋体" w:cs="Times New Roman"/>
                <w:caps w:val="0"/>
                <w:color w:val="auto"/>
                <w:spacing w:val="-2"/>
                <w:sz w:val="24"/>
                <w:highlight w:val="none"/>
                <w:lang w:val="en-US" w:eastAsia="zh-CN"/>
              </w:rPr>
              <w:t>红线、水源保护地、压覆矿</w:t>
            </w:r>
            <w:r>
              <w:rPr>
                <w:rFonts w:hint="eastAsia" w:cs="Times New Roman"/>
                <w:caps w:val="0"/>
                <w:color w:val="auto"/>
                <w:spacing w:val="-2"/>
                <w:sz w:val="24"/>
                <w:highlight w:val="none"/>
                <w:lang w:val="en-US" w:eastAsia="zh-CN"/>
              </w:rPr>
              <w:t>、</w:t>
            </w:r>
            <w:r>
              <w:rPr>
                <w:rFonts w:hint="eastAsia" w:ascii="Times New Roman" w:hAnsi="Times New Roman" w:eastAsia="宋体" w:cs="Times New Roman"/>
                <w:caps w:val="0"/>
                <w:color w:val="auto"/>
                <w:spacing w:val="-2"/>
                <w:sz w:val="24"/>
                <w:highlight w:val="none"/>
                <w:lang w:val="en-US" w:eastAsia="zh-CN"/>
              </w:rPr>
              <w:t>国家公益林、天然林等敏感因素；</w:t>
            </w:r>
          </w:p>
          <w:p w14:paraId="1B4A96DE">
            <w:pPr>
              <w:pageBreakBefore w:val="0"/>
              <w:kinsoku/>
              <w:wordWrap/>
              <w:overflowPunct/>
              <w:bidi w:val="0"/>
              <w:rPr>
                <w:rFonts w:hint="eastAsia" w:ascii="Times New Roman" w:hAnsi="Times New Roman" w:eastAsia="宋体" w:cs="Times New Roman"/>
                <w:caps w:val="0"/>
                <w:color w:val="auto"/>
                <w:spacing w:val="-2"/>
                <w:sz w:val="24"/>
                <w:highlight w:val="none"/>
                <w:lang w:val="en-US" w:eastAsia="zh-CN"/>
              </w:rPr>
            </w:pPr>
            <w:r>
              <w:rPr>
                <w:rFonts w:hint="eastAsia" w:ascii="Times New Roman" w:hAnsi="Times New Roman" w:eastAsia="宋体" w:cs="Times New Roman"/>
                <w:caps w:val="0"/>
                <w:color w:val="auto"/>
                <w:spacing w:val="-2"/>
                <w:sz w:val="24"/>
                <w:highlight w:val="none"/>
                <w:lang w:val="en-US" w:eastAsia="zh-CN"/>
              </w:rPr>
              <w:t>⑥各个机位点均距居民点满足直线距离</w:t>
            </w:r>
            <w:r>
              <w:rPr>
                <w:rFonts w:hint="eastAsia" w:cs="Times New Roman"/>
                <w:caps w:val="0"/>
                <w:color w:val="auto"/>
                <w:spacing w:val="-2"/>
                <w:sz w:val="24"/>
                <w:highlight w:val="none"/>
                <w:lang w:val="en-US" w:eastAsia="zh-CN"/>
              </w:rPr>
              <w:t>5</w:t>
            </w:r>
            <w:r>
              <w:rPr>
                <w:rFonts w:hint="default" w:ascii="Times New Roman" w:hAnsi="Times New Roman" w:eastAsia="宋体" w:cs="Times New Roman"/>
                <w:caps w:val="0"/>
                <w:color w:val="auto"/>
                <w:spacing w:val="-2"/>
                <w:sz w:val="24"/>
                <w:highlight w:val="none"/>
                <w:lang w:val="en-US" w:eastAsia="zh-CN"/>
              </w:rPr>
              <w:t>00m</w:t>
            </w:r>
            <w:r>
              <w:rPr>
                <w:rFonts w:hint="eastAsia" w:ascii="Times New Roman" w:hAnsi="Times New Roman" w:eastAsia="宋体" w:cs="Times New Roman"/>
                <w:caps w:val="0"/>
                <w:color w:val="auto"/>
                <w:spacing w:val="-2"/>
                <w:sz w:val="24"/>
                <w:highlight w:val="none"/>
                <w:lang w:val="en-US" w:eastAsia="zh-CN"/>
              </w:rPr>
              <w:t>以上，</w:t>
            </w:r>
            <w:r>
              <w:rPr>
                <w:rFonts w:hint="eastAsia" w:cs="Times New Roman"/>
                <w:caps w:val="0"/>
                <w:color w:val="auto"/>
                <w:spacing w:val="-2"/>
                <w:sz w:val="24"/>
                <w:highlight w:val="none"/>
                <w:lang w:val="en-US" w:eastAsia="zh-CN"/>
              </w:rPr>
              <w:t>位于预测的声环境达标区域外，</w:t>
            </w:r>
            <w:r>
              <w:rPr>
                <w:rFonts w:hint="eastAsia" w:ascii="Times New Roman" w:hAnsi="Times New Roman" w:eastAsia="宋体" w:cs="Times New Roman"/>
                <w:caps w:val="0"/>
                <w:color w:val="auto"/>
                <w:spacing w:val="-2"/>
                <w:sz w:val="24"/>
                <w:highlight w:val="none"/>
                <w:lang w:val="en-US" w:eastAsia="zh-CN"/>
              </w:rPr>
              <w:t>充分考虑了风机运行对居民生活带来的影响。</w:t>
            </w:r>
          </w:p>
          <w:p w14:paraId="53390705">
            <w:pPr>
              <w:pageBreakBefore w:val="0"/>
              <w:kinsoku/>
              <w:wordWrap/>
              <w:overflowPunct/>
              <w:bidi w:val="0"/>
              <w:rPr>
                <w:rFonts w:hint="eastAsia" w:cs="Times New Roman"/>
                <w:caps w:val="0"/>
                <w:color w:val="auto"/>
                <w:spacing w:val="-2"/>
                <w:sz w:val="24"/>
                <w:highlight w:val="none"/>
                <w:lang w:val="en-US" w:eastAsia="zh-CN"/>
              </w:rPr>
            </w:pPr>
            <w:r>
              <w:rPr>
                <w:rFonts w:hint="eastAsia" w:cs="Times New Roman"/>
                <w:caps w:val="0"/>
                <w:color w:val="auto"/>
                <w:spacing w:val="-2"/>
                <w:sz w:val="24"/>
                <w:highlight w:val="none"/>
                <w:lang w:val="en-US" w:eastAsia="zh-CN"/>
              </w:rPr>
              <w:t>（2）风机特性</w:t>
            </w:r>
          </w:p>
          <w:p w14:paraId="56983825">
            <w:pPr>
              <w:pageBreakBefore w:val="0"/>
              <w:kinsoku/>
              <w:wordWrap/>
              <w:overflowPunct/>
              <w:bidi w:val="0"/>
              <w:rPr>
                <w:rFonts w:hint="eastAsia" w:cs="Times New Roman"/>
                <w:caps w:val="0"/>
                <w:color w:val="auto"/>
                <w:spacing w:val="-2"/>
                <w:sz w:val="24"/>
                <w:highlight w:val="none"/>
                <w:lang w:val="en-US" w:eastAsia="zh-CN"/>
              </w:rPr>
            </w:pPr>
            <w:r>
              <w:rPr>
                <w:rFonts w:hint="eastAsia" w:cs="Times New Roman"/>
                <w:caps w:val="0"/>
                <w:color w:val="auto"/>
                <w:spacing w:val="-2"/>
                <w:sz w:val="24"/>
                <w:highlight w:val="none"/>
                <w:lang w:val="en-US" w:eastAsia="zh-CN"/>
              </w:rPr>
              <w:t>项目总装机容量30MW，共安装4台风电机组，每台机组额定功率为750kW。选用体型为C40钢筋混凝土圆形扩展式预应力锚栓基础，采用预应力锚栓组合件连接塔筒和基础。基础浇筑完成后，基坑采用土石分层回填并夯实到台柱顶部，回填土夯实后容重不低于18kN/m</w:t>
            </w:r>
            <w:r>
              <w:rPr>
                <w:rFonts w:hint="eastAsia" w:cs="Times New Roman"/>
                <w:caps w:val="0"/>
                <w:color w:val="auto"/>
                <w:spacing w:val="-2"/>
                <w:sz w:val="24"/>
                <w:highlight w:val="none"/>
                <w:vertAlign w:val="superscript"/>
                <w:lang w:val="en-US" w:eastAsia="zh-CN"/>
              </w:rPr>
              <w:t>3</w:t>
            </w:r>
            <w:r>
              <w:rPr>
                <w:rFonts w:hint="eastAsia" w:cs="Times New Roman"/>
                <w:caps w:val="0"/>
                <w:color w:val="auto"/>
                <w:spacing w:val="-2"/>
                <w:sz w:val="24"/>
                <w:highlight w:val="none"/>
                <w:lang w:val="en-US" w:eastAsia="zh-CN"/>
              </w:rPr>
              <w:t>。本项目拟建风机机组情况如下：</w:t>
            </w:r>
          </w:p>
          <w:p w14:paraId="34E4FFF7">
            <w:pPr>
              <w:pStyle w:val="27"/>
              <w:bidi w:val="0"/>
              <w:rPr>
                <w:rFonts w:hint="eastAsia"/>
                <w:color w:val="auto"/>
                <w:lang w:val="en-US" w:eastAsia="zh-CN"/>
              </w:rPr>
            </w:pPr>
            <w:r>
              <w:rPr>
                <w:rFonts w:hint="eastAsia"/>
                <w:color w:val="auto"/>
                <w:lang w:val="en-US" w:eastAsia="zh-CN"/>
              </w:rPr>
              <w:t>表2-4  风机机组建设情况一览表</w:t>
            </w:r>
          </w:p>
          <w:tbl>
            <w:tblPr>
              <w:tblStyle w:val="20"/>
              <w:tblW w:w="4995"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33"/>
              <w:gridCol w:w="735"/>
              <w:gridCol w:w="815"/>
              <w:gridCol w:w="863"/>
              <w:gridCol w:w="1493"/>
              <w:gridCol w:w="1109"/>
              <w:gridCol w:w="2184"/>
            </w:tblGrid>
            <w:tr w14:paraId="5C7F67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8" w:type="pct"/>
                  <w:vMerge w:val="restart"/>
                  <w:tcBorders>
                    <w:tl2br w:val="nil"/>
                    <w:tr2bl w:val="nil"/>
                  </w:tcBorders>
                  <w:shd w:val="clear" w:color="auto" w:fill="auto"/>
                  <w:vAlign w:val="center"/>
                </w:tcPr>
                <w:p w14:paraId="7CABFC37">
                  <w:pPr>
                    <w:pStyle w:val="37"/>
                    <w:bidi w:val="0"/>
                    <w:rPr>
                      <w:rFonts w:hint="eastAsia"/>
                      <w:color w:val="auto"/>
                    </w:rPr>
                  </w:pPr>
                  <w:r>
                    <w:rPr>
                      <w:rFonts w:hint="eastAsia"/>
                      <w:color w:val="auto"/>
                      <w:lang w:val="en-US" w:eastAsia="zh-CN"/>
                    </w:rPr>
                    <w:t>编号</w:t>
                  </w:r>
                </w:p>
              </w:tc>
              <w:tc>
                <w:tcPr>
                  <w:tcW w:w="457" w:type="pct"/>
                  <w:tcBorders>
                    <w:tl2br w:val="nil"/>
                    <w:tr2bl w:val="nil"/>
                  </w:tcBorders>
                  <w:shd w:val="clear" w:color="auto" w:fill="auto"/>
                  <w:vAlign w:val="center"/>
                </w:tcPr>
                <w:p w14:paraId="434504E3">
                  <w:pPr>
                    <w:pStyle w:val="37"/>
                    <w:bidi w:val="0"/>
                    <w:rPr>
                      <w:rFonts w:hint="eastAsia"/>
                      <w:color w:val="auto"/>
                    </w:rPr>
                  </w:pPr>
                  <w:r>
                    <w:rPr>
                      <w:rFonts w:hint="eastAsia"/>
                      <w:color w:val="auto"/>
                      <w:lang w:val="en-US" w:eastAsia="zh-CN"/>
                    </w:rPr>
                    <w:t>机型</w:t>
                  </w:r>
                </w:p>
              </w:tc>
              <w:tc>
                <w:tcPr>
                  <w:tcW w:w="507" w:type="pct"/>
                  <w:vMerge w:val="restart"/>
                  <w:tcBorders>
                    <w:tl2br w:val="nil"/>
                    <w:tr2bl w:val="nil"/>
                  </w:tcBorders>
                  <w:shd w:val="clear" w:color="auto" w:fill="auto"/>
                  <w:vAlign w:val="center"/>
                </w:tcPr>
                <w:p w14:paraId="4644A1E3">
                  <w:pPr>
                    <w:pStyle w:val="37"/>
                    <w:bidi w:val="0"/>
                    <w:rPr>
                      <w:rFonts w:hint="eastAsia"/>
                      <w:color w:val="auto"/>
                    </w:rPr>
                  </w:pPr>
                  <w:r>
                    <w:rPr>
                      <w:rFonts w:hint="eastAsia"/>
                      <w:color w:val="auto"/>
                      <w:lang w:val="en-US" w:eastAsia="zh-CN"/>
                    </w:rPr>
                    <w:t>风轮直径</w:t>
                  </w:r>
                  <w:r>
                    <w:rPr>
                      <w:rFonts w:hint="default"/>
                      <w:color w:val="auto"/>
                      <w:lang w:val="en-US" w:eastAsia="zh-CN"/>
                    </w:rPr>
                    <w:t>m</w:t>
                  </w:r>
                </w:p>
              </w:tc>
              <w:tc>
                <w:tcPr>
                  <w:tcW w:w="537" w:type="pct"/>
                  <w:vMerge w:val="restart"/>
                  <w:tcBorders>
                    <w:tl2br w:val="nil"/>
                    <w:tr2bl w:val="nil"/>
                  </w:tcBorders>
                  <w:shd w:val="clear" w:color="auto" w:fill="auto"/>
                  <w:vAlign w:val="center"/>
                </w:tcPr>
                <w:p w14:paraId="1EB2942C">
                  <w:pPr>
                    <w:pStyle w:val="37"/>
                    <w:bidi w:val="0"/>
                    <w:rPr>
                      <w:rFonts w:hint="eastAsia"/>
                      <w:color w:val="auto"/>
                    </w:rPr>
                  </w:pPr>
                  <w:r>
                    <w:rPr>
                      <w:rFonts w:hint="eastAsia"/>
                      <w:color w:val="auto"/>
                      <w:lang w:val="en-US" w:eastAsia="zh-CN"/>
                    </w:rPr>
                    <w:t>轮毂高度</w:t>
                  </w:r>
                  <w:r>
                    <w:rPr>
                      <w:rFonts w:hint="default"/>
                      <w:color w:val="auto"/>
                      <w:lang w:val="en-US" w:eastAsia="zh-CN"/>
                    </w:rPr>
                    <w:t>m</w:t>
                  </w:r>
                </w:p>
              </w:tc>
              <w:tc>
                <w:tcPr>
                  <w:tcW w:w="1619" w:type="pct"/>
                  <w:gridSpan w:val="2"/>
                  <w:tcBorders>
                    <w:tl2br w:val="nil"/>
                    <w:tr2bl w:val="nil"/>
                  </w:tcBorders>
                  <w:shd w:val="clear" w:color="auto" w:fill="auto"/>
                  <w:vAlign w:val="center"/>
                </w:tcPr>
                <w:p w14:paraId="05B09AB3">
                  <w:pPr>
                    <w:pStyle w:val="37"/>
                    <w:bidi w:val="0"/>
                    <w:rPr>
                      <w:rFonts w:hint="eastAsia"/>
                      <w:color w:val="auto"/>
                    </w:rPr>
                  </w:pPr>
                  <w:r>
                    <w:rPr>
                      <w:rFonts w:hint="eastAsia"/>
                      <w:color w:val="auto"/>
                      <w:lang w:val="en-US" w:eastAsia="zh-CN"/>
                    </w:rPr>
                    <w:t>占地面积h</w:t>
                  </w:r>
                  <w:r>
                    <w:rPr>
                      <w:rFonts w:hint="default"/>
                      <w:color w:val="auto"/>
                      <w:lang w:val="en-US" w:eastAsia="zh-CN"/>
                    </w:rPr>
                    <w:t>m</w:t>
                  </w:r>
                  <w:r>
                    <w:rPr>
                      <w:color w:val="auto"/>
                      <w:vertAlign w:val="superscript"/>
                      <w:lang w:val="en-US" w:eastAsia="zh-CN"/>
                    </w:rPr>
                    <w:t>2</w:t>
                  </w:r>
                </w:p>
              </w:tc>
              <w:tc>
                <w:tcPr>
                  <w:tcW w:w="1359" w:type="pct"/>
                  <w:vMerge w:val="restart"/>
                  <w:tcBorders>
                    <w:tl2br w:val="nil"/>
                    <w:tr2bl w:val="nil"/>
                  </w:tcBorders>
                  <w:shd w:val="clear" w:color="auto" w:fill="auto"/>
                  <w:vAlign w:val="center"/>
                </w:tcPr>
                <w:p w14:paraId="108CE8BD">
                  <w:pPr>
                    <w:pStyle w:val="37"/>
                    <w:bidi w:val="0"/>
                    <w:rPr>
                      <w:rFonts w:hint="eastAsia"/>
                      <w:color w:val="auto"/>
                    </w:rPr>
                  </w:pPr>
                  <w:r>
                    <w:rPr>
                      <w:rFonts w:hint="eastAsia"/>
                      <w:color w:val="auto"/>
                      <w:lang w:val="en-US" w:eastAsia="zh-CN"/>
                    </w:rPr>
                    <w:t>占地类型</w:t>
                  </w:r>
                </w:p>
              </w:tc>
            </w:tr>
            <w:tr w14:paraId="51233C2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3" w:hRule="atLeast"/>
                <w:jc w:val="center"/>
              </w:trPr>
              <w:tc>
                <w:tcPr>
                  <w:tcW w:w="518" w:type="pct"/>
                  <w:vMerge w:val="continue"/>
                  <w:tcBorders>
                    <w:tl2br w:val="nil"/>
                    <w:tr2bl w:val="nil"/>
                  </w:tcBorders>
                  <w:shd w:val="clear" w:color="auto" w:fill="auto"/>
                  <w:vAlign w:val="center"/>
                </w:tcPr>
                <w:p w14:paraId="1A2878CF">
                  <w:pPr>
                    <w:pStyle w:val="37"/>
                    <w:bidi w:val="0"/>
                    <w:rPr>
                      <w:rFonts w:hint="eastAsia"/>
                      <w:color w:val="auto"/>
                    </w:rPr>
                  </w:pPr>
                </w:p>
              </w:tc>
              <w:tc>
                <w:tcPr>
                  <w:tcW w:w="457" w:type="pct"/>
                  <w:tcBorders>
                    <w:tl2br w:val="nil"/>
                    <w:tr2bl w:val="nil"/>
                  </w:tcBorders>
                  <w:shd w:val="clear" w:color="auto" w:fill="auto"/>
                  <w:vAlign w:val="center"/>
                </w:tcPr>
                <w:p w14:paraId="010ED0F4">
                  <w:pPr>
                    <w:pStyle w:val="37"/>
                    <w:bidi w:val="0"/>
                    <w:rPr>
                      <w:rFonts w:hint="default"/>
                      <w:color w:val="auto"/>
                    </w:rPr>
                  </w:pPr>
                  <w:r>
                    <w:rPr>
                      <w:rFonts w:hint="default"/>
                      <w:color w:val="auto"/>
                      <w:lang w:val="en-US" w:eastAsia="zh-CN"/>
                    </w:rPr>
                    <w:t>MW</w:t>
                  </w:r>
                </w:p>
              </w:tc>
              <w:tc>
                <w:tcPr>
                  <w:tcW w:w="507" w:type="pct"/>
                  <w:vMerge w:val="continue"/>
                  <w:tcBorders>
                    <w:tl2br w:val="nil"/>
                    <w:tr2bl w:val="nil"/>
                  </w:tcBorders>
                  <w:shd w:val="clear" w:color="auto" w:fill="auto"/>
                  <w:vAlign w:val="center"/>
                </w:tcPr>
                <w:p w14:paraId="44C3401E">
                  <w:pPr>
                    <w:pStyle w:val="37"/>
                    <w:bidi w:val="0"/>
                    <w:rPr>
                      <w:rFonts w:hint="default"/>
                      <w:color w:val="auto"/>
                    </w:rPr>
                  </w:pPr>
                </w:p>
              </w:tc>
              <w:tc>
                <w:tcPr>
                  <w:tcW w:w="537" w:type="pct"/>
                  <w:vMerge w:val="continue"/>
                  <w:tcBorders>
                    <w:tl2br w:val="nil"/>
                    <w:tr2bl w:val="nil"/>
                  </w:tcBorders>
                  <w:shd w:val="clear" w:color="auto" w:fill="auto"/>
                  <w:vAlign w:val="center"/>
                </w:tcPr>
                <w:p w14:paraId="0C7E941C">
                  <w:pPr>
                    <w:pStyle w:val="37"/>
                    <w:bidi w:val="0"/>
                    <w:rPr>
                      <w:rFonts w:hint="default"/>
                      <w:color w:val="auto"/>
                    </w:rPr>
                  </w:pPr>
                </w:p>
              </w:tc>
              <w:tc>
                <w:tcPr>
                  <w:tcW w:w="929" w:type="pct"/>
                  <w:tcBorders>
                    <w:tl2br w:val="nil"/>
                    <w:tr2bl w:val="nil"/>
                  </w:tcBorders>
                  <w:shd w:val="clear" w:color="auto" w:fill="auto"/>
                  <w:vAlign w:val="center"/>
                </w:tcPr>
                <w:p w14:paraId="42E97F18">
                  <w:pPr>
                    <w:pStyle w:val="37"/>
                    <w:bidi w:val="0"/>
                    <w:rPr>
                      <w:rFonts w:hint="eastAsia"/>
                      <w:color w:val="auto"/>
                      <w:lang w:val="en-US" w:eastAsia="zh-CN"/>
                    </w:rPr>
                  </w:pPr>
                  <w:r>
                    <w:rPr>
                      <w:rFonts w:hint="eastAsia"/>
                      <w:color w:val="auto"/>
                      <w:lang w:val="en-US" w:eastAsia="zh-CN"/>
                    </w:rPr>
                    <w:t>风机</w:t>
                  </w:r>
                </w:p>
                <w:p w14:paraId="6DC5AB58">
                  <w:pPr>
                    <w:pStyle w:val="37"/>
                    <w:bidi w:val="0"/>
                    <w:rPr>
                      <w:rFonts w:hint="eastAsia"/>
                      <w:color w:val="auto"/>
                    </w:rPr>
                  </w:pPr>
                  <w:r>
                    <w:rPr>
                      <w:rFonts w:hint="eastAsia"/>
                      <w:color w:val="auto"/>
                      <w:lang w:val="en-US" w:eastAsia="zh-CN"/>
                    </w:rPr>
                    <w:t>基础</w:t>
                  </w:r>
                </w:p>
              </w:tc>
              <w:tc>
                <w:tcPr>
                  <w:tcW w:w="690" w:type="pct"/>
                  <w:tcBorders>
                    <w:tl2br w:val="nil"/>
                    <w:tr2bl w:val="nil"/>
                  </w:tcBorders>
                  <w:shd w:val="clear" w:color="auto" w:fill="auto"/>
                  <w:vAlign w:val="center"/>
                </w:tcPr>
                <w:p w14:paraId="2D9D8EB8">
                  <w:pPr>
                    <w:pStyle w:val="37"/>
                    <w:bidi w:val="0"/>
                    <w:rPr>
                      <w:rFonts w:hint="default"/>
                      <w:color w:val="auto"/>
                      <w:lang w:val="en-US" w:eastAsia="zh-CN"/>
                    </w:rPr>
                  </w:pPr>
                  <w:r>
                    <w:rPr>
                      <w:rFonts w:hint="eastAsia"/>
                      <w:color w:val="auto"/>
                      <w:lang w:val="en-US" w:eastAsia="zh-CN"/>
                    </w:rPr>
                    <w:t>风机吊装平台</w:t>
                  </w:r>
                </w:p>
              </w:tc>
              <w:tc>
                <w:tcPr>
                  <w:tcW w:w="1359" w:type="pct"/>
                  <w:vMerge w:val="continue"/>
                  <w:tcBorders>
                    <w:tl2br w:val="nil"/>
                    <w:tr2bl w:val="nil"/>
                  </w:tcBorders>
                  <w:shd w:val="clear" w:color="auto" w:fill="auto"/>
                  <w:vAlign w:val="center"/>
                </w:tcPr>
                <w:p w14:paraId="1778DC4D">
                  <w:pPr>
                    <w:pStyle w:val="37"/>
                    <w:bidi w:val="0"/>
                    <w:rPr>
                      <w:rFonts w:hint="eastAsia"/>
                      <w:color w:val="auto"/>
                    </w:rPr>
                  </w:pPr>
                </w:p>
              </w:tc>
            </w:tr>
            <w:tr w14:paraId="61E77F4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84" w:hRule="atLeast"/>
                <w:jc w:val="center"/>
              </w:trPr>
              <w:tc>
                <w:tcPr>
                  <w:tcW w:w="518" w:type="pct"/>
                  <w:tcBorders>
                    <w:tl2br w:val="nil"/>
                    <w:tr2bl w:val="nil"/>
                  </w:tcBorders>
                  <w:shd w:val="clear" w:color="auto" w:fill="auto"/>
                  <w:vAlign w:val="center"/>
                </w:tcPr>
                <w:p w14:paraId="1428721D">
                  <w:pPr>
                    <w:pStyle w:val="37"/>
                    <w:bidi w:val="0"/>
                    <w:rPr>
                      <w:rFonts w:hint="default"/>
                      <w:color w:val="auto"/>
                      <w:lang w:val="en-US"/>
                    </w:rPr>
                  </w:pPr>
                  <w:r>
                    <w:rPr>
                      <w:rFonts w:hint="eastAsia"/>
                      <w:color w:val="auto"/>
                      <w:lang w:val="en-US" w:eastAsia="zh-CN"/>
                    </w:rPr>
                    <w:t>ZXB01</w:t>
                  </w:r>
                </w:p>
              </w:tc>
              <w:tc>
                <w:tcPr>
                  <w:tcW w:w="457" w:type="pct"/>
                  <w:tcBorders>
                    <w:tl2br w:val="nil"/>
                    <w:tr2bl w:val="nil"/>
                  </w:tcBorders>
                  <w:shd w:val="clear" w:color="auto" w:fill="auto"/>
                  <w:vAlign w:val="center"/>
                </w:tcPr>
                <w:p w14:paraId="37ADF417">
                  <w:pPr>
                    <w:pStyle w:val="37"/>
                    <w:bidi w:val="0"/>
                    <w:rPr>
                      <w:rFonts w:hint="default"/>
                      <w:color w:val="auto"/>
                      <w:lang w:val="en-US"/>
                    </w:rPr>
                  </w:pPr>
                  <w:r>
                    <w:rPr>
                      <w:rFonts w:hint="eastAsia"/>
                      <w:color w:val="auto"/>
                      <w:lang w:val="en-US" w:eastAsia="zh-CN"/>
                    </w:rPr>
                    <w:t>7.5</w:t>
                  </w:r>
                </w:p>
              </w:tc>
              <w:tc>
                <w:tcPr>
                  <w:tcW w:w="507" w:type="pct"/>
                  <w:tcBorders>
                    <w:tl2br w:val="nil"/>
                    <w:tr2bl w:val="nil"/>
                  </w:tcBorders>
                  <w:shd w:val="clear" w:color="auto" w:fill="auto"/>
                  <w:vAlign w:val="bottom"/>
                </w:tcPr>
                <w:p w14:paraId="3A902112">
                  <w:pPr>
                    <w:pStyle w:val="37"/>
                    <w:bidi w:val="0"/>
                    <w:rPr>
                      <w:rFonts w:hint="default"/>
                      <w:color w:val="auto"/>
                      <w:lang w:val="en-US"/>
                    </w:rPr>
                  </w:pPr>
                  <w:r>
                    <w:rPr>
                      <w:rFonts w:hint="eastAsia"/>
                      <w:color w:val="auto"/>
                      <w:lang w:val="en-US" w:eastAsia="zh-CN"/>
                    </w:rPr>
                    <w:t>220</w:t>
                  </w:r>
                </w:p>
              </w:tc>
              <w:tc>
                <w:tcPr>
                  <w:tcW w:w="537" w:type="pct"/>
                  <w:tcBorders>
                    <w:tl2br w:val="nil"/>
                    <w:tr2bl w:val="nil"/>
                  </w:tcBorders>
                  <w:shd w:val="clear" w:color="auto" w:fill="auto"/>
                  <w:vAlign w:val="center"/>
                </w:tcPr>
                <w:p w14:paraId="4E76C948">
                  <w:pPr>
                    <w:pStyle w:val="37"/>
                    <w:bidi w:val="0"/>
                    <w:rPr>
                      <w:rFonts w:hint="default"/>
                      <w:color w:val="auto"/>
                      <w:lang w:val="en-US"/>
                    </w:rPr>
                  </w:pPr>
                  <w:r>
                    <w:rPr>
                      <w:rFonts w:hint="eastAsia"/>
                      <w:color w:val="auto"/>
                      <w:lang w:val="en-US" w:eastAsia="zh-CN"/>
                    </w:rPr>
                    <w:t>125</w:t>
                  </w:r>
                </w:p>
              </w:tc>
              <w:tc>
                <w:tcPr>
                  <w:tcW w:w="929" w:type="pct"/>
                  <w:tcBorders>
                    <w:tl2br w:val="nil"/>
                    <w:tr2bl w:val="nil"/>
                  </w:tcBorders>
                  <w:shd w:val="clear" w:color="auto" w:fill="auto"/>
                  <w:vAlign w:val="center"/>
                </w:tcPr>
                <w:p w14:paraId="399C5088">
                  <w:pPr>
                    <w:pStyle w:val="37"/>
                    <w:bidi w:val="0"/>
                    <w:rPr>
                      <w:rFonts w:hint="default"/>
                      <w:color w:val="auto"/>
                      <w:highlight w:val="none"/>
                      <w:lang w:val="en-US"/>
                    </w:rPr>
                  </w:pPr>
                  <w:r>
                    <w:rPr>
                      <w:rFonts w:hint="eastAsia"/>
                      <w:color w:val="auto"/>
                      <w:highlight w:val="none"/>
                      <w:lang w:val="en-US" w:eastAsia="zh-CN"/>
                    </w:rPr>
                    <w:t>0.0399</w:t>
                  </w:r>
                </w:p>
              </w:tc>
              <w:tc>
                <w:tcPr>
                  <w:tcW w:w="690" w:type="pct"/>
                  <w:tcBorders>
                    <w:tl2br w:val="nil"/>
                    <w:tr2bl w:val="nil"/>
                  </w:tcBorders>
                  <w:shd w:val="clear" w:color="auto" w:fill="auto"/>
                  <w:vAlign w:val="center"/>
                </w:tcPr>
                <w:p w14:paraId="0EF3518C">
                  <w:pPr>
                    <w:pStyle w:val="37"/>
                    <w:bidi w:val="0"/>
                    <w:rPr>
                      <w:rFonts w:hint="default"/>
                      <w:color w:val="auto"/>
                      <w:highlight w:val="none"/>
                      <w:lang w:val="en-US"/>
                    </w:rPr>
                  </w:pPr>
                  <w:r>
                    <w:rPr>
                      <w:rFonts w:hint="eastAsia"/>
                      <w:color w:val="auto"/>
                      <w:lang w:val="en-US" w:eastAsia="zh-CN"/>
                    </w:rPr>
                    <w:t>0.2025</w:t>
                  </w:r>
                </w:p>
              </w:tc>
              <w:tc>
                <w:tcPr>
                  <w:tcW w:w="1359" w:type="pct"/>
                  <w:tcBorders>
                    <w:tl2br w:val="nil"/>
                    <w:tr2bl w:val="nil"/>
                  </w:tcBorders>
                  <w:shd w:val="clear" w:color="auto" w:fill="auto"/>
                  <w:vAlign w:val="center"/>
                </w:tcPr>
                <w:p w14:paraId="4EC4118C">
                  <w:pPr>
                    <w:pStyle w:val="37"/>
                    <w:bidi w:val="0"/>
                    <w:rPr>
                      <w:rFonts w:hint="default" w:eastAsia="宋体"/>
                      <w:color w:val="auto"/>
                      <w:highlight w:val="none"/>
                      <w:lang w:val="en-US" w:eastAsia="zh-CN"/>
                    </w:rPr>
                  </w:pPr>
                  <w:r>
                    <w:rPr>
                      <w:rFonts w:hint="eastAsia"/>
                      <w:color w:val="auto"/>
                      <w:highlight w:val="none"/>
                      <w:lang w:val="en-US" w:eastAsia="zh-CN"/>
                    </w:rPr>
                    <w:t>草地</w:t>
                  </w:r>
                </w:p>
              </w:tc>
            </w:tr>
            <w:tr w14:paraId="0CD25A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18" w:type="pct"/>
                  <w:tcBorders>
                    <w:tl2br w:val="nil"/>
                    <w:tr2bl w:val="nil"/>
                  </w:tcBorders>
                  <w:shd w:val="clear" w:color="auto" w:fill="auto"/>
                  <w:vAlign w:val="center"/>
                </w:tcPr>
                <w:p w14:paraId="19F0014D">
                  <w:pPr>
                    <w:pStyle w:val="37"/>
                    <w:bidi w:val="0"/>
                    <w:rPr>
                      <w:rFonts w:hint="default"/>
                      <w:color w:val="auto"/>
                    </w:rPr>
                  </w:pPr>
                  <w:r>
                    <w:rPr>
                      <w:rFonts w:hint="eastAsia"/>
                      <w:color w:val="auto"/>
                      <w:lang w:val="en-US" w:eastAsia="zh-CN"/>
                    </w:rPr>
                    <w:t>ZXB02</w:t>
                  </w:r>
                </w:p>
              </w:tc>
              <w:tc>
                <w:tcPr>
                  <w:tcW w:w="457" w:type="pct"/>
                  <w:tcBorders>
                    <w:tl2br w:val="nil"/>
                    <w:tr2bl w:val="nil"/>
                  </w:tcBorders>
                  <w:shd w:val="clear" w:color="auto" w:fill="auto"/>
                  <w:vAlign w:val="center"/>
                </w:tcPr>
                <w:p w14:paraId="159E96C3">
                  <w:pPr>
                    <w:pStyle w:val="37"/>
                    <w:bidi w:val="0"/>
                    <w:rPr>
                      <w:rFonts w:hint="default"/>
                      <w:color w:val="auto"/>
                    </w:rPr>
                  </w:pPr>
                  <w:r>
                    <w:rPr>
                      <w:rFonts w:hint="eastAsia"/>
                      <w:color w:val="auto"/>
                      <w:lang w:val="en-US" w:eastAsia="zh-CN"/>
                    </w:rPr>
                    <w:t>7.5</w:t>
                  </w:r>
                </w:p>
              </w:tc>
              <w:tc>
                <w:tcPr>
                  <w:tcW w:w="507" w:type="pct"/>
                  <w:tcBorders>
                    <w:tl2br w:val="nil"/>
                    <w:tr2bl w:val="nil"/>
                  </w:tcBorders>
                  <w:shd w:val="clear" w:color="auto" w:fill="auto"/>
                  <w:vAlign w:val="bottom"/>
                </w:tcPr>
                <w:p w14:paraId="7339FBC7">
                  <w:pPr>
                    <w:pStyle w:val="37"/>
                    <w:bidi w:val="0"/>
                    <w:rPr>
                      <w:rFonts w:hint="default"/>
                      <w:color w:val="auto"/>
                    </w:rPr>
                  </w:pPr>
                  <w:r>
                    <w:rPr>
                      <w:rFonts w:hint="eastAsia"/>
                      <w:color w:val="auto"/>
                      <w:lang w:val="en-US" w:eastAsia="zh-CN"/>
                    </w:rPr>
                    <w:t>220</w:t>
                  </w:r>
                </w:p>
              </w:tc>
              <w:tc>
                <w:tcPr>
                  <w:tcW w:w="537" w:type="pct"/>
                  <w:tcBorders>
                    <w:tl2br w:val="nil"/>
                    <w:tr2bl w:val="nil"/>
                  </w:tcBorders>
                  <w:shd w:val="clear" w:color="auto" w:fill="auto"/>
                  <w:vAlign w:val="center"/>
                </w:tcPr>
                <w:p w14:paraId="1EB51239">
                  <w:pPr>
                    <w:pStyle w:val="37"/>
                    <w:bidi w:val="0"/>
                    <w:rPr>
                      <w:rFonts w:hint="default"/>
                      <w:color w:val="auto"/>
                      <w:lang w:val="en-US"/>
                    </w:rPr>
                  </w:pPr>
                  <w:r>
                    <w:rPr>
                      <w:rFonts w:hint="eastAsia"/>
                      <w:color w:val="auto"/>
                      <w:lang w:val="en-US" w:eastAsia="zh-CN"/>
                    </w:rPr>
                    <w:t>125</w:t>
                  </w:r>
                </w:p>
              </w:tc>
              <w:tc>
                <w:tcPr>
                  <w:tcW w:w="929" w:type="pct"/>
                  <w:tcBorders>
                    <w:tl2br w:val="nil"/>
                    <w:tr2bl w:val="nil"/>
                  </w:tcBorders>
                  <w:shd w:val="clear" w:color="auto" w:fill="auto"/>
                  <w:vAlign w:val="center"/>
                </w:tcPr>
                <w:p w14:paraId="7DA709E0">
                  <w:pPr>
                    <w:pStyle w:val="37"/>
                    <w:bidi w:val="0"/>
                    <w:rPr>
                      <w:rFonts w:hint="default"/>
                      <w:color w:val="auto"/>
                      <w:highlight w:val="none"/>
                    </w:rPr>
                  </w:pPr>
                  <w:r>
                    <w:rPr>
                      <w:rFonts w:hint="eastAsia"/>
                      <w:color w:val="auto"/>
                      <w:highlight w:val="none"/>
                      <w:lang w:val="en-US" w:eastAsia="zh-CN"/>
                    </w:rPr>
                    <w:t>0.0399</w:t>
                  </w:r>
                </w:p>
              </w:tc>
              <w:tc>
                <w:tcPr>
                  <w:tcW w:w="690" w:type="pct"/>
                  <w:tcBorders>
                    <w:tl2br w:val="nil"/>
                    <w:tr2bl w:val="nil"/>
                  </w:tcBorders>
                  <w:shd w:val="clear" w:color="auto" w:fill="auto"/>
                  <w:vAlign w:val="center"/>
                </w:tcPr>
                <w:p w14:paraId="23ED91E6">
                  <w:pPr>
                    <w:pStyle w:val="37"/>
                    <w:bidi w:val="0"/>
                    <w:rPr>
                      <w:rFonts w:hint="default"/>
                      <w:color w:val="auto"/>
                      <w:highlight w:val="none"/>
                      <w:lang w:val="en-US" w:eastAsia="zh-CN"/>
                    </w:rPr>
                  </w:pPr>
                  <w:r>
                    <w:rPr>
                      <w:rFonts w:hint="eastAsia"/>
                      <w:color w:val="auto"/>
                      <w:lang w:val="en-US" w:eastAsia="zh-CN"/>
                    </w:rPr>
                    <w:t>0.2051</w:t>
                  </w:r>
                </w:p>
              </w:tc>
              <w:tc>
                <w:tcPr>
                  <w:tcW w:w="1359" w:type="pct"/>
                  <w:tcBorders>
                    <w:tl2br w:val="nil"/>
                    <w:tr2bl w:val="nil"/>
                  </w:tcBorders>
                  <w:shd w:val="clear" w:color="auto" w:fill="auto"/>
                  <w:vAlign w:val="center"/>
                </w:tcPr>
                <w:p w14:paraId="7587B6B1">
                  <w:pPr>
                    <w:pStyle w:val="37"/>
                    <w:bidi w:val="0"/>
                    <w:rPr>
                      <w:rFonts w:hint="default"/>
                      <w:color w:val="auto"/>
                      <w:highlight w:val="none"/>
                      <w:lang w:val="en-US"/>
                    </w:rPr>
                  </w:pPr>
                  <w:r>
                    <w:rPr>
                      <w:rFonts w:hint="eastAsia"/>
                      <w:color w:val="auto"/>
                      <w:highlight w:val="none"/>
                      <w:lang w:val="en-US" w:eastAsia="zh-CN"/>
                    </w:rPr>
                    <w:t>旱地、草地、林地</w:t>
                  </w:r>
                </w:p>
              </w:tc>
            </w:tr>
            <w:tr w14:paraId="56B236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18" w:type="pct"/>
                  <w:tcBorders>
                    <w:tl2br w:val="nil"/>
                    <w:tr2bl w:val="nil"/>
                  </w:tcBorders>
                  <w:shd w:val="clear" w:color="auto" w:fill="auto"/>
                  <w:vAlign w:val="center"/>
                </w:tcPr>
                <w:p w14:paraId="4CFE1226">
                  <w:pPr>
                    <w:pStyle w:val="37"/>
                    <w:bidi w:val="0"/>
                    <w:rPr>
                      <w:rFonts w:hint="default"/>
                      <w:color w:val="auto"/>
                    </w:rPr>
                  </w:pPr>
                  <w:r>
                    <w:rPr>
                      <w:rFonts w:hint="eastAsia"/>
                      <w:color w:val="auto"/>
                      <w:lang w:val="en-US" w:eastAsia="zh-CN"/>
                    </w:rPr>
                    <w:t>ZXB04</w:t>
                  </w:r>
                </w:p>
              </w:tc>
              <w:tc>
                <w:tcPr>
                  <w:tcW w:w="457" w:type="pct"/>
                  <w:tcBorders>
                    <w:tl2br w:val="nil"/>
                    <w:tr2bl w:val="nil"/>
                  </w:tcBorders>
                  <w:shd w:val="clear" w:color="auto" w:fill="auto"/>
                  <w:vAlign w:val="center"/>
                </w:tcPr>
                <w:p w14:paraId="72DFC0CF">
                  <w:pPr>
                    <w:pStyle w:val="37"/>
                    <w:bidi w:val="0"/>
                    <w:rPr>
                      <w:rFonts w:hint="default"/>
                      <w:color w:val="auto"/>
                    </w:rPr>
                  </w:pPr>
                  <w:r>
                    <w:rPr>
                      <w:rFonts w:hint="eastAsia"/>
                      <w:color w:val="auto"/>
                      <w:lang w:val="en-US" w:eastAsia="zh-CN"/>
                    </w:rPr>
                    <w:t>7.5</w:t>
                  </w:r>
                </w:p>
              </w:tc>
              <w:tc>
                <w:tcPr>
                  <w:tcW w:w="507" w:type="pct"/>
                  <w:tcBorders>
                    <w:tl2br w:val="nil"/>
                    <w:tr2bl w:val="nil"/>
                  </w:tcBorders>
                  <w:shd w:val="clear" w:color="auto" w:fill="auto"/>
                  <w:vAlign w:val="bottom"/>
                </w:tcPr>
                <w:p w14:paraId="3A3DA8EB">
                  <w:pPr>
                    <w:pStyle w:val="37"/>
                    <w:bidi w:val="0"/>
                    <w:rPr>
                      <w:rFonts w:hint="default"/>
                      <w:color w:val="auto"/>
                    </w:rPr>
                  </w:pPr>
                  <w:r>
                    <w:rPr>
                      <w:rFonts w:hint="eastAsia"/>
                      <w:color w:val="auto"/>
                      <w:lang w:val="en-US" w:eastAsia="zh-CN"/>
                    </w:rPr>
                    <w:t>220</w:t>
                  </w:r>
                </w:p>
              </w:tc>
              <w:tc>
                <w:tcPr>
                  <w:tcW w:w="537" w:type="pct"/>
                  <w:tcBorders>
                    <w:tl2br w:val="nil"/>
                    <w:tr2bl w:val="nil"/>
                  </w:tcBorders>
                  <w:shd w:val="clear" w:color="auto" w:fill="auto"/>
                  <w:vAlign w:val="center"/>
                </w:tcPr>
                <w:p w14:paraId="281E9350">
                  <w:pPr>
                    <w:pStyle w:val="37"/>
                    <w:bidi w:val="0"/>
                    <w:rPr>
                      <w:rFonts w:hint="default"/>
                      <w:color w:val="auto"/>
                      <w:lang w:val="en-US"/>
                    </w:rPr>
                  </w:pPr>
                  <w:r>
                    <w:rPr>
                      <w:rFonts w:hint="eastAsia"/>
                      <w:color w:val="auto"/>
                      <w:lang w:val="en-US" w:eastAsia="zh-CN"/>
                    </w:rPr>
                    <w:t>125</w:t>
                  </w:r>
                </w:p>
              </w:tc>
              <w:tc>
                <w:tcPr>
                  <w:tcW w:w="929" w:type="pct"/>
                  <w:tcBorders>
                    <w:tl2br w:val="nil"/>
                    <w:tr2bl w:val="nil"/>
                  </w:tcBorders>
                  <w:shd w:val="clear" w:color="auto" w:fill="auto"/>
                  <w:vAlign w:val="center"/>
                </w:tcPr>
                <w:p w14:paraId="5C6E81AC">
                  <w:pPr>
                    <w:pStyle w:val="37"/>
                    <w:bidi w:val="0"/>
                    <w:rPr>
                      <w:rFonts w:hint="default"/>
                      <w:color w:val="auto"/>
                      <w:highlight w:val="none"/>
                    </w:rPr>
                  </w:pPr>
                  <w:r>
                    <w:rPr>
                      <w:rFonts w:hint="eastAsia"/>
                      <w:color w:val="auto"/>
                      <w:highlight w:val="none"/>
                      <w:lang w:val="en-US" w:eastAsia="zh-CN"/>
                    </w:rPr>
                    <w:t>0.0399</w:t>
                  </w:r>
                </w:p>
              </w:tc>
              <w:tc>
                <w:tcPr>
                  <w:tcW w:w="690" w:type="pct"/>
                  <w:tcBorders>
                    <w:tl2br w:val="nil"/>
                    <w:tr2bl w:val="nil"/>
                  </w:tcBorders>
                  <w:shd w:val="clear" w:color="auto" w:fill="auto"/>
                  <w:vAlign w:val="center"/>
                </w:tcPr>
                <w:p w14:paraId="7FD65633">
                  <w:pPr>
                    <w:pStyle w:val="37"/>
                    <w:bidi w:val="0"/>
                    <w:rPr>
                      <w:rFonts w:hint="default"/>
                      <w:color w:val="auto"/>
                      <w:highlight w:val="none"/>
                      <w:lang w:val="en-US" w:eastAsia="zh-CN"/>
                    </w:rPr>
                  </w:pPr>
                  <w:r>
                    <w:rPr>
                      <w:rFonts w:hint="eastAsia"/>
                      <w:color w:val="auto"/>
                      <w:lang w:val="en-US" w:eastAsia="zh-CN"/>
                    </w:rPr>
                    <w:t>0.3860</w:t>
                  </w:r>
                </w:p>
              </w:tc>
              <w:tc>
                <w:tcPr>
                  <w:tcW w:w="1359" w:type="pct"/>
                  <w:tcBorders>
                    <w:tl2br w:val="nil"/>
                    <w:tr2bl w:val="nil"/>
                  </w:tcBorders>
                  <w:shd w:val="clear" w:color="auto" w:fill="auto"/>
                  <w:vAlign w:val="center"/>
                </w:tcPr>
                <w:p w14:paraId="0B0A40AE">
                  <w:pPr>
                    <w:pStyle w:val="37"/>
                    <w:bidi w:val="0"/>
                    <w:rPr>
                      <w:rFonts w:hint="default"/>
                      <w:color w:val="auto"/>
                      <w:highlight w:val="none"/>
                      <w:lang w:val="en-US"/>
                    </w:rPr>
                  </w:pPr>
                  <w:r>
                    <w:rPr>
                      <w:rFonts w:hint="eastAsia"/>
                      <w:color w:val="auto"/>
                      <w:highlight w:val="none"/>
                      <w:lang w:val="en-US" w:eastAsia="zh-CN"/>
                    </w:rPr>
                    <w:t>旱地、草地、林地</w:t>
                  </w:r>
                </w:p>
              </w:tc>
            </w:tr>
            <w:tr w14:paraId="1C5D87C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518" w:type="pct"/>
                  <w:tcBorders>
                    <w:tl2br w:val="nil"/>
                    <w:tr2bl w:val="nil"/>
                  </w:tcBorders>
                  <w:shd w:val="clear" w:color="auto" w:fill="auto"/>
                  <w:vAlign w:val="center"/>
                </w:tcPr>
                <w:p w14:paraId="020D9C65">
                  <w:pPr>
                    <w:pStyle w:val="37"/>
                    <w:bidi w:val="0"/>
                    <w:rPr>
                      <w:rFonts w:hint="default"/>
                      <w:color w:val="auto"/>
                      <w:lang w:val="en-US"/>
                    </w:rPr>
                  </w:pPr>
                  <w:r>
                    <w:rPr>
                      <w:rFonts w:hint="eastAsia"/>
                      <w:color w:val="auto"/>
                      <w:lang w:val="en-US" w:eastAsia="zh-CN"/>
                    </w:rPr>
                    <w:t>ZXB16</w:t>
                  </w:r>
                </w:p>
              </w:tc>
              <w:tc>
                <w:tcPr>
                  <w:tcW w:w="457" w:type="pct"/>
                  <w:tcBorders>
                    <w:tl2br w:val="nil"/>
                    <w:tr2bl w:val="nil"/>
                  </w:tcBorders>
                  <w:shd w:val="clear" w:color="auto" w:fill="auto"/>
                  <w:vAlign w:val="center"/>
                </w:tcPr>
                <w:p w14:paraId="0DA7D7B6">
                  <w:pPr>
                    <w:pStyle w:val="37"/>
                    <w:bidi w:val="0"/>
                    <w:rPr>
                      <w:rFonts w:hint="default"/>
                      <w:color w:val="auto"/>
                    </w:rPr>
                  </w:pPr>
                  <w:r>
                    <w:rPr>
                      <w:rFonts w:hint="eastAsia"/>
                      <w:color w:val="auto"/>
                      <w:lang w:val="en-US" w:eastAsia="zh-CN"/>
                    </w:rPr>
                    <w:t>7.5</w:t>
                  </w:r>
                </w:p>
              </w:tc>
              <w:tc>
                <w:tcPr>
                  <w:tcW w:w="507" w:type="pct"/>
                  <w:tcBorders>
                    <w:tl2br w:val="nil"/>
                    <w:tr2bl w:val="nil"/>
                  </w:tcBorders>
                  <w:shd w:val="clear" w:color="auto" w:fill="auto"/>
                  <w:vAlign w:val="bottom"/>
                </w:tcPr>
                <w:p w14:paraId="2E39C2D8">
                  <w:pPr>
                    <w:pStyle w:val="37"/>
                    <w:bidi w:val="0"/>
                    <w:rPr>
                      <w:rFonts w:hint="default"/>
                      <w:color w:val="auto"/>
                    </w:rPr>
                  </w:pPr>
                  <w:r>
                    <w:rPr>
                      <w:rFonts w:hint="eastAsia"/>
                      <w:color w:val="auto"/>
                      <w:lang w:val="en-US" w:eastAsia="zh-CN"/>
                    </w:rPr>
                    <w:t>220</w:t>
                  </w:r>
                </w:p>
              </w:tc>
              <w:tc>
                <w:tcPr>
                  <w:tcW w:w="537" w:type="pct"/>
                  <w:tcBorders>
                    <w:tl2br w:val="nil"/>
                    <w:tr2bl w:val="nil"/>
                  </w:tcBorders>
                  <w:shd w:val="clear" w:color="auto" w:fill="auto"/>
                  <w:vAlign w:val="center"/>
                </w:tcPr>
                <w:p w14:paraId="154E9322">
                  <w:pPr>
                    <w:pStyle w:val="37"/>
                    <w:bidi w:val="0"/>
                    <w:rPr>
                      <w:rFonts w:hint="default"/>
                      <w:color w:val="auto"/>
                      <w:lang w:val="en-US"/>
                    </w:rPr>
                  </w:pPr>
                  <w:r>
                    <w:rPr>
                      <w:rFonts w:hint="eastAsia"/>
                      <w:color w:val="auto"/>
                      <w:lang w:val="en-US" w:eastAsia="zh-CN"/>
                    </w:rPr>
                    <w:t>125</w:t>
                  </w:r>
                </w:p>
              </w:tc>
              <w:tc>
                <w:tcPr>
                  <w:tcW w:w="929" w:type="pct"/>
                  <w:tcBorders>
                    <w:tl2br w:val="nil"/>
                    <w:tr2bl w:val="nil"/>
                  </w:tcBorders>
                  <w:shd w:val="clear" w:color="auto" w:fill="auto"/>
                  <w:vAlign w:val="center"/>
                </w:tcPr>
                <w:p w14:paraId="3D3242DF">
                  <w:pPr>
                    <w:pStyle w:val="37"/>
                    <w:bidi w:val="0"/>
                    <w:rPr>
                      <w:rFonts w:hint="default"/>
                      <w:color w:val="auto"/>
                      <w:highlight w:val="none"/>
                    </w:rPr>
                  </w:pPr>
                  <w:r>
                    <w:rPr>
                      <w:rFonts w:hint="eastAsia"/>
                      <w:color w:val="auto"/>
                      <w:highlight w:val="none"/>
                      <w:lang w:val="en-US" w:eastAsia="zh-CN"/>
                    </w:rPr>
                    <w:t>0.0399</w:t>
                  </w:r>
                </w:p>
              </w:tc>
              <w:tc>
                <w:tcPr>
                  <w:tcW w:w="690" w:type="pct"/>
                  <w:tcBorders>
                    <w:tl2br w:val="nil"/>
                    <w:tr2bl w:val="nil"/>
                  </w:tcBorders>
                  <w:shd w:val="clear" w:color="auto" w:fill="auto"/>
                  <w:vAlign w:val="center"/>
                </w:tcPr>
                <w:p w14:paraId="358B3C69">
                  <w:pPr>
                    <w:pStyle w:val="37"/>
                    <w:bidi w:val="0"/>
                    <w:rPr>
                      <w:rFonts w:hint="default"/>
                      <w:color w:val="auto"/>
                      <w:highlight w:val="none"/>
                      <w:lang w:val="en-US" w:eastAsia="zh-CN"/>
                    </w:rPr>
                  </w:pPr>
                  <w:r>
                    <w:rPr>
                      <w:rFonts w:hint="eastAsia"/>
                      <w:color w:val="auto"/>
                      <w:lang w:val="en-US" w:eastAsia="zh-CN"/>
                    </w:rPr>
                    <w:t>0.4358</w:t>
                  </w:r>
                </w:p>
              </w:tc>
              <w:tc>
                <w:tcPr>
                  <w:tcW w:w="1359" w:type="pct"/>
                  <w:tcBorders>
                    <w:tl2br w:val="nil"/>
                    <w:tr2bl w:val="nil"/>
                  </w:tcBorders>
                  <w:shd w:val="clear" w:color="auto" w:fill="auto"/>
                  <w:vAlign w:val="center"/>
                </w:tcPr>
                <w:p w14:paraId="7FD6ED7B">
                  <w:pPr>
                    <w:pStyle w:val="37"/>
                    <w:bidi w:val="0"/>
                    <w:rPr>
                      <w:rFonts w:hint="default"/>
                      <w:color w:val="auto"/>
                      <w:highlight w:val="none"/>
                      <w:lang w:val="en-US"/>
                    </w:rPr>
                  </w:pPr>
                  <w:r>
                    <w:rPr>
                      <w:rFonts w:hint="eastAsia"/>
                      <w:color w:val="auto"/>
                      <w:highlight w:val="none"/>
                      <w:lang w:val="en-US" w:eastAsia="zh-CN"/>
                    </w:rPr>
                    <w:t>旱地、林地</w:t>
                  </w:r>
                </w:p>
              </w:tc>
            </w:tr>
          </w:tbl>
          <w:p w14:paraId="79E2DAC0">
            <w:pPr>
              <w:bidi w:val="0"/>
              <w:rPr>
                <w:rFonts w:hint="eastAsia"/>
                <w:color w:val="auto"/>
                <w:lang w:val="en-US" w:eastAsia="zh-CN"/>
              </w:rPr>
            </w:pPr>
          </w:p>
          <w:p w14:paraId="7326311E">
            <w:pPr>
              <w:adjustRightInd w:val="0"/>
              <w:snapToGrid w:val="0"/>
              <w:spacing w:line="360" w:lineRule="auto"/>
              <w:jc w:val="left"/>
              <w:rPr>
                <w:rFonts w:hint="eastAsia" w:cs="Times New Roman"/>
                <w:b/>
                <w:bCs/>
                <w:caps w:val="0"/>
                <w:color w:val="auto"/>
                <w:spacing w:val="-2"/>
                <w:sz w:val="24"/>
                <w:highlight w:val="none"/>
                <w:lang w:val="en-US" w:eastAsia="zh-CN"/>
              </w:rPr>
            </w:pPr>
            <w:r>
              <w:rPr>
                <w:rFonts w:hint="eastAsia" w:cs="Times New Roman"/>
                <w:b/>
                <w:bCs/>
                <w:caps w:val="0"/>
                <w:color w:val="auto"/>
                <w:spacing w:val="-2"/>
                <w:sz w:val="24"/>
                <w:highlight w:val="none"/>
                <w:lang w:val="en-US" w:eastAsia="zh-CN"/>
              </w:rPr>
              <w:t>3.2箱式变压器</w:t>
            </w:r>
          </w:p>
          <w:p w14:paraId="2F3DFCE0">
            <w:pPr>
              <w:adjustRightInd w:val="0"/>
              <w:snapToGrid w:val="0"/>
              <w:spacing w:line="360" w:lineRule="auto"/>
              <w:jc w:val="left"/>
              <w:rPr>
                <w:rFonts w:hint="default" w:cs="Times New Roman"/>
                <w:b w:val="0"/>
                <w:bCs w:val="0"/>
                <w:caps w:val="0"/>
                <w:color w:val="auto"/>
                <w:spacing w:val="-2"/>
                <w:sz w:val="24"/>
                <w:highlight w:val="none"/>
                <w:lang w:val="en-US" w:eastAsia="zh-CN"/>
              </w:rPr>
            </w:pPr>
            <w:r>
              <w:rPr>
                <w:rFonts w:hint="eastAsia" w:cs="Times New Roman"/>
                <w:b w:val="0"/>
                <w:bCs w:val="0"/>
                <w:caps w:val="0"/>
                <w:color w:val="auto"/>
                <w:spacing w:val="-2"/>
                <w:sz w:val="24"/>
                <w:highlight w:val="none"/>
                <w:lang w:val="en-US" w:eastAsia="zh-CN"/>
              </w:rPr>
              <w:t>本工程7.5MW风机用箱式变压器内的升压变压器采用三相双绕组油浸式无励磁调压升压变压器，箱式变压器位于风机基础外边缘，不新增永久占地。</w:t>
            </w:r>
          </w:p>
          <w:p w14:paraId="0E178D59">
            <w:pPr>
              <w:adjustRightInd w:val="0"/>
              <w:snapToGrid w:val="0"/>
              <w:spacing w:line="360" w:lineRule="auto"/>
              <w:jc w:val="left"/>
              <w:rPr>
                <w:rFonts w:hint="default" w:ascii="Times New Roman" w:hAnsi="Times New Roman" w:eastAsia="宋体" w:cs="Times New Roman"/>
                <w:b/>
                <w:bCs/>
                <w:caps w:val="0"/>
                <w:color w:val="auto"/>
                <w:spacing w:val="-2"/>
                <w:sz w:val="24"/>
                <w:highlight w:val="none"/>
                <w:lang w:val="en-US" w:eastAsia="zh-CN"/>
              </w:rPr>
            </w:pPr>
            <w:r>
              <w:rPr>
                <w:rFonts w:hint="eastAsia" w:cs="Times New Roman"/>
                <w:b/>
                <w:bCs/>
                <w:caps w:val="0"/>
                <w:color w:val="auto"/>
                <w:spacing w:val="-2"/>
                <w:sz w:val="24"/>
                <w:highlight w:val="none"/>
                <w:lang w:val="en-US" w:eastAsia="zh-CN"/>
              </w:rPr>
              <w:t>3.3</w:t>
            </w:r>
            <w:r>
              <w:rPr>
                <w:rFonts w:hint="eastAsia" w:ascii="Times New Roman" w:hAnsi="Times New Roman" w:eastAsia="宋体" w:cs="Times New Roman"/>
                <w:b/>
                <w:bCs/>
                <w:caps w:val="0"/>
                <w:color w:val="auto"/>
                <w:spacing w:val="-2"/>
                <w:sz w:val="24"/>
                <w:highlight w:val="none"/>
                <w:lang w:val="en-US" w:eastAsia="zh-CN"/>
              </w:rPr>
              <w:t>集电线路</w:t>
            </w:r>
          </w:p>
          <w:p w14:paraId="03635260">
            <w:pPr>
              <w:bidi w:val="0"/>
              <w:rPr>
                <w:rFonts w:hint="eastAsia" w:eastAsia="宋体"/>
                <w:color w:val="auto"/>
                <w:lang w:val="en-US" w:eastAsia="zh-CN"/>
              </w:rPr>
            </w:pPr>
            <w:r>
              <w:rPr>
                <w:rFonts w:hint="eastAsia"/>
                <w:color w:val="auto"/>
                <w:lang w:val="en-US" w:eastAsia="zh-CN"/>
              </w:rPr>
              <w:t>风机发电机组</w:t>
            </w:r>
            <w:r>
              <w:rPr>
                <w:rFonts w:hint="eastAsia"/>
                <w:color w:val="auto"/>
              </w:rPr>
              <w:t>与机组升压变压器间采用一机一变的单元接线，本工程箱变安装于风机基础上。发电机组经箱式变升压至35kV后通过35kV集电线路集电并入一期已建成升压站220kV升压站，本期新建2#主变间隔。集电线路分段采用不同截面的电缆，电缆分别采用：ZC-YJLV22-26/35-3×95、3×240、3×400</w:t>
            </w:r>
            <w:r>
              <w:rPr>
                <w:rFonts w:hint="eastAsia"/>
                <w:color w:val="auto"/>
                <w:lang w:eastAsia="zh-CN"/>
              </w:rPr>
              <w:t>。风场区内串接1台风机采用ZC-YJLV22-3×95电缆，串接2台风机采用ZC-YJLV22-3×240电缆，串接3台风机采用ZCYJLV22-3×400，串接4台风机采用2根ZC-YJLV22-3×240电缆。</w:t>
            </w:r>
          </w:p>
          <w:p w14:paraId="6CFBB3C5">
            <w:pPr>
              <w:bidi w:val="0"/>
              <w:rPr>
                <w:rFonts w:hint="default"/>
                <w:color w:val="auto"/>
                <w:highlight w:val="yellow"/>
                <w:lang w:val="en-US"/>
              </w:rPr>
            </w:pPr>
            <w:r>
              <w:rPr>
                <w:rFonts w:hint="eastAsia"/>
                <w:color w:val="auto"/>
                <w:highlight w:val="none"/>
                <w:lang w:val="en-US" w:eastAsia="zh-CN"/>
              </w:rPr>
              <w:t>线路采用架空双回和地埋单回两种形式敷设，其中新建单回地埋电缆长度为13.1km，改建双回架空线路长度为13.66km，总计建设集电线路长度为26.76km。</w:t>
            </w:r>
            <w:r>
              <w:rPr>
                <w:rFonts w:hint="eastAsia"/>
                <w:color w:val="auto"/>
                <w:sz w:val="24"/>
                <w:szCs w:val="24"/>
                <w:highlight w:val="none"/>
                <w:lang w:val="en-US" w:eastAsia="zh-CN"/>
              </w:rPr>
              <w:t>地埋线路沿道路敷设，架空线路拟在西泽风电场（一期）现有架空线路的基础上，沿用现有铁塔，对现有电缆改造，采用车载牵张场，无额外牵张场用地，不新增其他永久或临时占地。</w:t>
            </w:r>
            <w:r>
              <w:rPr>
                <w:rFonts w:hint="eastAsia"/>
                <w:color w:val="auto"/>
                <w:sz w:val="24"/>
                <w:szCs w:val="24"/>
                <w:lang w:val="en-US" w:eastAsia="zh-CN"/>
              </w:rPr>
              <w:t>项目改造架空线路段不新增牵张场，利用牵张车进行线路的牵引和张力。改造架空线路段穿越的区域多乡间道路，具备停放牵张车进行牵张的条件。架空线路更换电缆的进场道路依托</w:t>
            </w:r>
            <w:r>
              <w:rPr>
                <w:rFonts w:hint="eastAsia"/>
                <w:color w:val="auto"/>
                <w:sz w:val="24"/>
                <w:szCs w:val="24"/>
                <w:highlight w:val="none"/>
                <w:lang w:val="en-US" w:eastAsia="zh-CN"/>
              </w:rPr>
              <w:t>西泽风电场（一期）道路，不新增进场道路。</w:t>
            </w:r>
          </w:p>
          <w:p w14:paraId="70D1AE82">
            <w:pPr>
              <w:adjustRightInd w:val="0"/>
              <w:snapToGrid w:val="0"/>
              <w:spacing w:line="360" w:lineRule="auto"/>
              <w:jc w:val="left"/>
              <w:rPr>
                <w:rFonts w:hint="default" w:ascii="Times New Roman" w:hAnsi="Times New Roman" w:eastAsia="宋体" w:cs="Times New Roman"/>
                <w:caps w:val="0"/>
                <w:color w:val="auto"/>
                <w:spacing w:val="-2"/>
                <w:sz w:val="24"/>
                <w:highlight w:val="none"/>
                <w:lang w:val="en-US" w:eastAsia="zh-CN"/>
              </w:rPr>
            </w:pPr>
            <w:r>
              <w:rPr>
                <w:rFonts w:hint="eastAsia" w:cs="Times New Roman"/>
                <w:b/>
                <w:bCs/>
                <w:caps w:val="0"/>
                <w:color w:val="auto"/>
                <w:spacing w:val="-2"/>
                <w:sz w:val="24"/>
                <w:highlight w:val="none"/>
                <w:lang w:val="en-US" w:eastAsia="zh-CN"/>
              </w:rPr>
              <w:t>2.4升压站扩建工程</w:t>
            </w:r>
          </w:p>
          <w:p w14:paraId="688875D4">
            <w:pPr>
              <w:bidi w:val="0"/>
              <w:rPr>
                <w:rFonts w:hint="eastAsia"/>
                <w:color w:val="auto"/>
                <w:lang w:eastAsia="zh-CN"/>
              </w:rPr>
            </w:pPr>
            <w:r>
              <w:rPr>
                <w:rFonts w:hint="eastAsia"/>
                <w:color w:val="auto"/>
                <w:lang w:eastAsia="zh-CN"/>
              </w:rPr>
              <w:t>升压站扩建工作包括新增主变压器、GIS、SVG舱、35kV设备及二次设备等</w:t>
            </w:r>
            <w:r>
              <w:rPr>
                <w:rFonts w:hint="eastAsia"/>
                <w:color w:val="auto"/>
                <w:lang w:val="en-US" w:eastAsia="zh-CN"/>
              </w:rPr>
              <w:t>电气设备</w:t>
            </w:r>
            <w:r>
              <w:rPr>
                <w:rFonts w:hint="eastAsia"/>
                <w:color w:val="auto"/>
                <w:lang w:eastAsia="zh-CN"/>
              </w:rPr>
              <w:t>，无新增建筑物。</w:t>
            </w:r>
          </w:p>
          <w:p w14:paraId="63740605">
            <w:pPr>
              <w:bidi w:val="0"/>
              <w:rPr>
                <w:rFonts w:hint="eastAsia"/>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）主变压器</w:t>
            </w:r>
          </w:p>
          <w:p w14:paraId="152F94B8">
            <w:pPr>
              <w:bidi w:val="0"/>
              <w:rPr>
                <w:rFonts w:hint="eastAsia"/>
                <w:color w:val="auto"/>
                <w:lang w:eastAsia="zh-CN"/>
              </w:rPr>
            </w:pPr>
            <w:r>
              <w:rPr>
                <w:rFonts w:hint="eastAsia"/>
                <w:color w:val="auto"/>
                <w:lang w:eastAsia="zh-CN"/>
              </w:rPr>
              <w:t>本期工程扩建1台SFZ22-30000/230GY，230±8×1.25%/35kV，三相双绕组油浸风冷有载调压变压器，接线组别YN，d11，阻抗电压Ud=14%。</w:t>
            </w:r>
          </w:p>
          <w:p w14:paraId="5570F061">
            <w:pPr>
              <w:bidi w:val="0"/>
              <w:rPr>
                <w:rFonts w:hint="eastAsia"/>
                <w:color w:val="auto"/>
                <w:lang w:eastAsia="zh-CN"/>
              </w:rPr>
            </w:pPr>
            <w:r>
              <w:rPr>
                <w:rFonts w:hint="eastAsia"/>
                <w:color w:val="auto"/>
                <w:lang w:eastAsia="zh-CN"/>
              </w:rPr>
              <w:t>②220kV配电装置</w:t>
            </w:r>
          </w:p>
          <w:p w14:paraId="7B439B53">
            <w:pPr>
              <w:bidi w:val="0"/>
              <w:rPr>
                <w:rFonts w:hint="eastAsia"/>
                <w:color w:val="auto"/>
                <w:lang w:eastAsia="zh-CN"/>
              </w:rPr>
            </w:pPr>
            <w:r>
              <w:rPr>
                <w:rFonts w:hint="eastAsia"/>
                <w:color w:val="auto"/>
                <w:lang w:eastAsia="zh-CN"/>
              </w:rPr>
              <w:t>220kV配电装置可选用普通户外设备或GIS全封闭组合电器，两种型式的设备各有利弊，考虑原220kV西泽风电场升压站220kV侧采用户外GIS全封闭组合电器，本期仍采用GIS全封闭组合电器为本工程的220kV配电装置。</w:t>
            </w:r>
          </w:p>
          <w:p w14:paraId="5AD837A4">
            <w:pPr>
              <w:bidi w:val="0"/>
              <w:rPr>
                <w:rFonts w:hint="eastAsia"/>
                <w:color w:val="auto"/>
                <w:lang w:eastAsia="zh-CN"/>
              </w:rPr>
            </w:pPr>
            <w:r>
              <w:rPr>
                <w:rFonts w:hint="eastAsia"/>
                <w:color w:val="auto"/>
                <w:lang w:eastAsia="zh-CN"/>
              </w:rPr>
              <w:t>③35kV配电装置</w:t>
            </w:r>
          </w:p>
          <w:p w14:paraId="03192744">
            <w:pPr>
              <w:bidi w:val="0"/>
              <w:rPr>
                <w:rFonts w:hint="eastAsia"/>
                <w:color w:val="auto"/>
                <w:lang w:eastAsia="zh-CN"/>
              </w:rPr>
            </w:pPr>
            <w:r>
              <w:rPr>
                <w:rFonts w:hint="eastAsia"/>
                <w:color w:val="auto"/>
                <w:lang w:eastAsia="zh-CN"/>
              </w:rPr>
              <w:t>本期建设35kVIII段母线，拟建成1个主变进线间隔、1个风电场集电线路间隔、1个无功补偿馈线间隔、1个接地变间隔及1个母线PT间隔，共5面35kV开关柜。无功补偿柜配置SF6断路器，其余开关柜均配置真空断路器。</w:t>
            </w:r>
          </w:p>
          <w:p w14:paraId="6D6C9F76">
            <w:pPr>
              <w:bidi w:val="0"/>
              <w:rPr>
                <w:rFonts w:hint="eastAsia"/>
                <w:color w:val="auto"/>
                <w:lang w:eastAsia="zh-CN"/>
              </w:rPr>
            </w:pPr>
            <w:r>
              <w:rPr>
                <w:rFonts w:hint="eastAsia"/>
                <w:color w:val="auto"/>
                <w:lang w:eastAsia="zh-CN"/>
              </w:rPr>
              <w:t>④无功补偿装置</w:t>
            </w:r>
          </w:p>
          <w:p w14:paraId="0320AC13">
            <w:pPr>
              <w:bidi w:val="0"/>
              <w:rPr>
                <w:rFonts w:hint="eastAsia"/>
                <w:color w:val="auto"/>
                <w:lang w:eastAsia="zh-CN"/>
              </w:rPr>
            </w:pPr>
            <w:r>
              <w:rPr>
                <w:rFonts w:hint="eastAsia"/>
                <w:color w:val="auto"/>
                <w:lang w:eastAsia="zh-CN"/>
              </w:rPr>
              <w:t>本工程拟在新建的35kV</w:t>
            </w:r>
            <w:r>
              <w:rPr>
                <w:rFonts w:hint="eastAsia"/>
                <w:color w:val="auto"/>
                <w:lang w:val="en-US" w:eastAsia="zh-CN"/>
              </w:rPr>
              <w:t xml:space="preserve"> </w:t>
            </w:r>
            <w:r>
              <w:rPr>
                <w:rFonts w:hint="eastAsia"/>
                <w:color w:val="auto"/>
                <w:lang w:eastAsia="zh-CN"/>
              </w:rPr>
              <w:t>Ⅲ段母线上采用直挂式SVG动态补偿装置，容量暂按10Mvar考虑，SVG补偿装置冷却方式采用水冷方案。</w:t>
            </w:r>
          </w:p>
          <w:p w14:paraId="6554F747">
            <w:pPr>
              <w:adjustRightInd w:val="0"/>
              <w:snapToGrid w:val="0"/>
              <w:spacing w:line="360" w:lineRule="auto"/>
              <w:jc w:val="left"/>
              <w:rPr>
                <w:rFonts w:hint="default" w:ascii="Times New Roman" w:hAnsi="Times New Roman" w:eastAsia="宋体" w:cs="Times New Roman"/>
                <w:b/>
                <w:bCs/>
                <w:caps w:val="0"/>
                <w:color w:val="auto"/>
                <w:spacing w:val="-2"/>
                <w:sz w:val="24"/>
                <w:highlight w:val="none"/>
                <w:lang w:val="en-US" w:eastAsia="zh-CN"/>
              </w:rPr>
            </w:pPr>
            <w:r>
              <w:rPr>
                <w:rFonts w:hint="eastAsia" w:cs="Times New Roman"/>
                <w:b/>
                <w:bCs/>
                <w:caps w:val="0"/>
                <w:color w:val="auto"/>
                <w:spacing w:val="-2"/>
                <w:sz w:val="24"/>
                <w:highlight w:val="none"/>
                <w:lang w:val="en-US" w:eastAsia="zh-CN"/>
              </w:rPr>
              <w:t>2.5</w:t>
            </w:r>
            <w:r>
              <w:rPr>
                <w:rFonts w:hint="eastAsia" w:ascii="Times New Roman" w:hAnsi="Times New Roman" w:eastAsia="宋体" w:cs="Times New Roman"/>
                <w:b/>
                <w:bCs/>
                <w:caps w:val="0"/>
                <w:color w:val="auto"/>
                <w:spacing w:val="-2"/>
                <w:sz w:val="24"/>
                <w:highlight w:val="none"/>
                <w:lang w:val="en-US" w:eastAsia="zh-CN"/>
              </w:rPr>
              <w:t>进场道路</w:t>
            </w:r>
          </w:p>
          <w:p w14:paraId="0E5726BD">
            <w:pPr>
              <w:bidi w:val="0"/>
              <w:rPr>
                <w:rFonts w:hint="default" w:eastAsia="宋体"/>
                <w:color w:val="auto"/>
                <w:lang w:val="en-US" w:eastAsia="zh-CN"/>
              </w:rPr>
            </w:pPr>
            <w:r>
              <w:rPr>
                <w:rFonts w:hint="eastAsia"/>
                <w:color w:val="auto"/>
              </w:rPr>
              <w:t>XZB01、XZB02及XZB04</w:t>
            </w:r>
            <w:r>
              <w:rPr>
                <w:rFonts w:hint="eastAsia"/>
                <w:color w:val="auto"/>
                <w:lang w:val="en-US" w:eastAsia="zh-CN"/>
              </w:rPr>
              <w:t>风机机位</w:t>
            </w:r>
            <w:r>
              <w:rPr>
                <w:rFonts w:hint="eastAsia"/>
                <w:color w:val="auto"/>
              </w:rPr>
              <w:t>进场道路沿用已有山间道路直达机位。</w:t>
            </w:r>
            <w:r>
              <w:rPr>
                <w:rFonts w:hint="eastAsia"/>
                <w:color w:val="auto"/>
                <w:lang w:val="en-US" w:eastAsia="zh-CN"/>
              </w:rPr>
              <w:t>XZB16风机机位新建道路346m</w:t>
            </w:r>
            <w:r>
              <w:rPr>
                <w:rFonts w:hint="eastAsia"/>
                <w:color w:val="auto"/>
              </w:rPr>
              <w:t>，</w:t>
            </w:r>
            <w:r>
              <w:rPr>
                <w:rFonts w:hint="eastAsia"/>
                <w:color w:val="auto"/>
                <w:lang w:val="en-US" w:eastAsia="zh-CN"/>
              </w:rPr>
              <w:t>供该台风机施工期进场及运营期检修使用。</w:t>
            </w:r>
            <w:r>
              <w:rPr>
                <w:rFonts w:hint="eastAsia"/>
                <w:color w:val="auto"/>
              </w:rPr>
              <w:t>道路设计技术标准选择满足大件运输的前提下同时满足地方公路建设标准，故施工道路参照露天矿山三级标准及云南省农村公路地方标准设计，道路路面宽4.5m，路基宽5.5m，路面为30cm厚石渣路面。</w:t>
            </w:r>
            <w:r>
              <w:rPr>
                <w:rFonts w:hint="eastAsia"/>
                <w:color w:val="auto"/>
                <w:lang w:val="en-US" w:eastAsia="zh-CN"/>
              </w:rPr>
              <w:t>项目现有道路路面宽4.5~5.0m，路基宽度5.5~6m，为混凝土路面，满足项目需求。</w:t>
            </w:r>
          </w:p>
          <w:p w14:paraId="296A03AD">
            <w:pPr>
              <w:bidi w:val="0"/>
              <w:rPr>
                <w:rFonts w:hint="default"/>
                <w:color w:val="auto"/>
                <w:lang w:val="en-US" w:eastAsia="zh-CN"/>
              </w:rPr>
            </w:pPr>
            <w:r>
              <w:rPr>
                <w:rFonts w:hint="eastAsia"/>
                <w:color w:val="auto"/>
                <w:lang w:val="en-US" w:eastAsia="zh-CN"/>
              </w:rPr>
              <w:t>项目地埋电缆均沿现有道路一侧敷设，无需为修建地埋电缆新修道路；架空线路部分杆塔依托西泽风电场一期B片区现有杆塔，架空集电线路进场道路依托一期，本次不新增集电线路进场道路。</w:t>
            </w:r>
          </w:p>
          <w:p w14:paraId="7FD1E818">
            <w:pPr>
              <w:bidi w:val="0"/>
              <w:ind w:left="0" w:leftChars="0" w:firstLine="0" w:firstLineChars="0"/>
              <w:rPr>
                <w:rFonts w:hint="default" w:eastAsia="宋体"/>
                <w:b/>
                <w:bCs/>
                <w:color w:val="auto"/>
                <w:lang w:val="en-US" w:eastAsia="zh-CN"/>
              </w:rPr>
            </w:pPr>
            <w:r>
              <w:rPr>
                <w:rFonts w:hint="eastAsia"/>
                <w:b/>
                <w:bCs/>
                <w:color w:val="auto"/>
                <w:lang w:val="en-US" w:eastAsia="zh-CN"/>
              </w:rPr>
              <w:t>3.公用工程</w:t>
            </w:r>
          </w:p>
          <w:p w14:paraId="35F2BA13">
            <w:pPr>
              <w:bidi w:val="0"/>
              <w:rPr>
                <w:color w:val="auto"/>
                <w:highlight w:val="none"/>
              </w:rPr>
            </w:pPr>
            <w:r>
              <w:rPr>
                <w:rFonts w:hint="eastAsia" w:cs="Times New Roman"/>
                <w:b/>
                <w:bCs/>
                <w:caps w:val="0"/>
                <w:color w:val="auto"/>
                <w:spacing w:val="-2"/>
                <w:sz w:val="24"/>
                <w:highlight w:val="none"/>
                <w:lang w:val="en-US" w:eastAsia="zh-CN"/>
              </w:rPr>
              <w:t>3.1</w:t>
            </w:r>
            <w:r>
              <w:rPr>
                <w:rFonts w:hint="eastAsia" w:ascii="Times New Roman" w:hAnsi="Times New Roman" w:eastAsia="宋体" w:cs="Times New Roman"/>
                <w:b/>
                <w:bCs/>
                <w:caps w:val="0"/>
                <w:color w:val="auto"/>
                <w:spacing w:val="-2"/>
                <w:sz w:val="24"/>
                <w:highlight w:val="none"/>
                <w:lang w:val="en-US" w:eastAsia="zh-CN"/>
              </w:rPr>
              <w:t>渣场及表土堆场</w:t>
            </w:r>
          </w:p>
          <w:p w14:paraId="58DA2CC4">
            <w:pPr>
              <w:bidi w:val="0"/>
              <w:rPr>
                <w:rFonts w:hint="eastAsia"/>
                <w:color w:val="auto"/>
                <w:highlight w:val="none"/>
                <w:lang w:val="en-US" w:eastAsia="zh-CN"/>
              </w:rPr>
            </w:pPr>
            <w:r>
              <w:rPr>
                <w:rFonts w:hint="eastAsia"/>
                <w:color w:val="auto"/>
                <w:highlight w:val="none"/>
                <w:lang w:val="en-US" w:eastAsia="zh-CN"/>
              </w:rPr>
              <w:t>项目不设置弃渣场，在每个风机平台设置1座临时表土堆场，每个堆场面积约为100m</w:t>
            </w:r>
            <w:r>
              <w:rPr>
                <w:rFonts w:hint="eastAsia"/>
                <w:color w:val="auto"/>
                <w:highlight w:val="none"/>
                <w:vertAlign w:val="superscript"/>
                <w:lang w:val="en-US" w:eastAsia="zh-CN"/>
              </w:rPr>
              <w:t>2</w:t>
            </w:r>
            <w:r>
              <w:rPr>
                <w:rFonts w:hint="eastAsia"/>
                <w:color w:val="auto"/>
                <w:highlight w:val="none"/>
                <w:lang w:val="en-US" w:eastAsia="zh-CN"/>
              </w:rPr>
              <w:t>，共设置4座临时表土堆场，表土集中堆存。表土堆场设置于风机吊装平台，不新增临时用地。</w:t>
            </w:r>
          </w:p>
          <w:p w14:paraId="428F5EF3">
            <w:pPr>
              <w:bidi w:val="0"/>
              <w:rPr>
                <w:rFonts w:hint="default"/>
                <w:color w:val="auto"/>
                <w:highlight w:val="none"/>
                <w:lang w:val="en-US" w:eastAsia="zh-CN"/>
              </w:rPr>
            </w:pPr>
            <w:r>
              <w:rPr>
                <w:rFonts w:hint="default"/>
                <w:color w:val="auto"/>
                <w:lang w:val="en-US" w:eastAsia="zh-CN"/>
              </w:rPr>
              <w:t>剥离</w:t>
            </w:r>
            <w:r>
              <w:rPr>
                <w:rFonts w:hint="eastAsia"/>
                <w:color w:val="auto"/>
                <w:lang w:val="en-US" w:eastAsia="zh-CN"/>
              </w:rPr>
              <w:t>表土暂存于</w:t>
            </w:r>
            <w:r>
              <w:rPr>
                <w:rFonts w:hint="eastAsia"/>
                <w:color w:val="auto"/>
                <w:sz w:val="24"/>
                <w:highlight w:val="none"/>
              </w:rPr>
              <w:t>临时表土场内，临时表土体堆场表面用防尘网进行苫盖，并在其周围用编织带或草袋装土筑坎进行临时拦挡，避免雨水直接冲刷表土</w:t>
            </w:r>
            <w:r>
              <w:rPr>
                <w:rFonts w:hint="eastAsia"/>
                <w:color w:val="auto"/>
                <w:sz w:val="24"/>
                <w:highlight w:val="none"/>
                <w:lang w:eastAsia="zh-CN"/>
              </w:rPr>
              <w:t>。</w:t>
            </w:r>
            <w:r>
              <w:rPr>
                <w:rFonts w:hint="eastAsia"/>
                <w:color w:val="auto"/>
                <w:sz w:val="24"/>
                <w:highlight w:val="none"/>
                <w:lang w:val="en-US" w:eastAsia="zh-CN"/>
              </w:rPr>
              <w:t>施工结束后将表土</w:t>
            </w:r>
            <w:r>
              <w:rPr>
                <w:rFonts w:ascii="宋体" w:hAnsi="宋体" w:eastAsia="宋体" w:cs="宋体"/>
                <w:color w:val="auto"/>
                <w:sz w:val="24"/>
                <w:szCs w:val="24"/>
              </w:rPr>
              <w:t>按设计地形分层铺筑，人工配合机械平整塑形，保证土层厚度均匀、地形起伏自然。回填完成后及时梳理表层土壤，避免板结，满足苗木栽植、草坪铺设等绿化施工条件，同时做好排水及防冲刷措施。</w:t>
            </w:r>
          </w:p>
          <w:p w14:paraId="1362ED97">
            <w:pPr>
              <w:adjustRightInd w:val="0"/>
              <w:snapToGrid w:val="0"/>
              <w:spacing w:line="360" w:lineRule="auto"/>
              <w:jc w:val="both"/>
              <w:rPr>
                <w:rFonts w:hint="default" w:ascii="Times New Roman" w:hAnsi="Times New Roman" w:eastAsia="宋体" w:cs="Times New Roman"/>
                <w:b/>
                <w:bCs/>
                <w:caps w:val="0"/>
                <w:color w:val="auto"/>
                <w:spacing w:val="-2"/>
                <w:sz w:val="24"/>
                <w:szCs w:val="24"/>
                <w:highlight w:val="none"/>
                <w:lang w:val="en-US" w:eastAsia="zh-CN"/>
              </w:rPr>
            </w:pPr>
            <w:r>
              <w:rPr>
                <w:rFonts w:hint="eastAsia" w:cs="Times New Roman"/>
                <w:b/>
                <w:bCs/>
                <w:caps w:val="0"/>
                <w:color w:val="auto"/>
                <w:spacing w:val="-2"/>
                <w:sz w:val="24"/>
                <w:szCs w:val="24"/>
                <w:highlight w:val="none"/>
                <w:lang w:val="en-US" w:eastAsia="zh-CN"/>
              </w:rPr>
              <w:t>3.2</w:t>
            </w:r>
            <w:r>
              <w:rPr>
                <w:rFonts w:hint="eastAsia" w:ascii="Times New Roman" w:hAnsi="Times New Roman" w:eastAsia="宋体" w:cs="Times New Roman"/>
                <w:b/>
                <w:bCs/>
                <w:caps w:val="0"/>
                <w:color w:val="auto"/>
                <w:spacing w:val="-2"/>
                <w:sz w:val="24"/>
                <w:szCs w:val="24"/>
                <w:highlight w:val="none"/>
                <w:lang w:val="en-US" w:eastAsia="zh-CN"/>
              </w:rPr>
              <w:t>施工生产生活区</w:t>
            </w:r>
          </w:p>
          <w:p w14:paraId="585EF893">
            <w:pPr>
              <w:bidi w:val="0"/>
              <w:rPr>
                <w:rFonts w:hint="eastAsia"/>
                <w:color w:val="auto"/>
              </w:rPr>
            </w:pPr>
            <w:r>
              <w:rPr>
                <w:rFonts w:hint="eastAsia"/>
                <w:color w:val="auto"/>
              </w:rPr>
              <w:t>项目不设施工生产生活区，施工人员住宿依托附近民房，项目外购商品混凝土，施工现场及材料堆存依托风机平台，不单独设置堆场及施工场地。</w:t>
            </w:r>
          </w:p>
          <w:p w14:paraId="2238F4B5">
            <w:pPr>
              <w:adjustRightInd w:val="0"/>
              <w:snapToGrid w:val="0"/>
              <w:spacing w:line="360" w:lineRule="auto"/>
              <w:jc w:val="both"/>
              <w:rPr>
                <w:rFonts w:hint="eastAsia" w:ascii="Times New Roman" w:hAnsi="Times New Roman" w:eastAsia="宋体" w:cs="Times New Roman"/>
                <w:b/>
                <w:bCs/>
                <w:caps w:val="0"/>
                <w:color w:val="auto"/>
                <w:spacing w:val="-2"/>
                <w:sz w:val="24"/>
                <w:szCs w:val="24"/>
                <w:highlight w:val="none"/>
                <w:lang w:val="en-US" w:eastAsia="zh-CN"/>
              </w:rPr>
            </w:pPr>
            <w:r>
              <w:rPr>
                <w:rFonts w:hint="eastAsia" w:cs="Times New Roman"/>
                <w:b/>
                <w:bCs/>
                <w:caps w:val="0"/>
                <w:color w:val="auto"/>
                <w:spacing w:val="-2"/>
                <w:sz w:val="24"/>
                <w:szCs w:val="24"/>
                <w:highlight w:val="none"/>
                <w:lang w:val="en-US" w:eastAsia="zh-CN"/>
              </w:rPr>
              <w:t>3.3</w:t>
            </w:r>
            <w:r>
              <w:rPr>
                <w:rFonts w:hint="eastAsia" w:ascii="Times New Roman" w:hAnsi="Times New Roman" w:eastAsia="宋体" w:cs="Times New Roman"/>
                <w:b/>
                <w:bCs/>
                <w:caps w:val="0"/>
                <w:color w:val="auto"/>
                <w:spacing w:val="-2"/>
                <w:sz w:val="24"/>
                <w:szCs w:val="24"/>
                <w:highlight w:val="none"/>
                <w:lang w:val="en-US" w:eastAsia="zh-CN"/>
              </w:rPr>
              <w:t>工程占地及土石方</w:t>
            </w:r>
          </w:p>
          <w:p w14:paraId="7E80DBCD">
            <w:pPr>
              <w:pStyle w:val="6"/>
              <w:bidi w:val="0"/>
              <w:rPr>
                <w:rFonts w:hint="default"/>
                <w:color w:val="auto"/>
                <w:lang w:val="en-US" w:eastAsia="zh-CN"/>
              </w:rPr>
            </w:pPr>
            <w:r>
              <w:rPr>
                <w:rFonts w:hint="eastAsia"/>
                <w:color w:val="auto"/>
                <w:lang w:val="en-US" w:eastAsia="zh-CN"/>
              </w:rPr>
              <w:t>根据项目主体设计，本工程进场道路以依托原有道路为主，XZB16风机平台需新建346m进场道路连接外部道路。</w:t>
            </w:r>
          </w:p>
          <w:p w14:paraId="3B1FD1B7">
            <w:pPr>
              <w:pStyle w:val="6"/>
              <w:bidi w:val="0"/>
              <w:rPr>
                <w:rFonts w:hint="default" w:eastAsia="宋体"/>
                <w:color w:val="auto"/>
                <w:lang w:val="en-US" w:eastAsia="zh-CN"/>
              </w:rPr>
            </w:pPr>
            <w:r>
              <w:rPr>
                <w:color w:val="auto"/>
              </w:rPr>
              <w:t>本工程建设用地包括风机基础、箱变基础、集电线路、</w:t>
            </w:r>
            <w:r>
              <w:rPr>
                <w:rFonts w:hint="eastAsia"/>
                <w:color w:val="auto"/>
                <w:lang w:val="en-US" w:eastAsia="zh-CN"/>
              </w:rPr>
              <w:t>场内</w:t>
            </w:r>
            <w:r>
              <w:rPr>
                <w:color w:val="auto"/>
              </w:rPr>
              <w:t>道路、风机</w:t>
            </w:r>
            <w:r>
              <w:rPr>
                <w:rFonts w:hint="eastAsia"/>
                <w:color w:val="auto"/>
                <w:lang w:val="en-US" w:eastAsia="zh-CN"/>
              </w:rPr>
              <w:t>吊装平台等</w:t>
            </w:r>
            <w:r>
              <w:rPr>
                <w:color w:val="auto"/>
              </w:rPr>
              <w:t>。</w:t>
            </w:r>
            <w:r>
              <w:rPr>
                <w:rFonts w:hint="eastAsia"/>
                <w:color w:val="auto"/>
                <w:lang w:val="en-US" w:eastAsia="zh-CN"/>
              </w:rPr>
              <w:t>依据《西泽风电场（二期）用地预审证书》与建设单位提供的资料，项目永久占地面积0.1596</w:t>
            </w:r>
            <w:r>
              <w:rPr>
                <w:rFonts w:hint="default"/>
                <w:color w:val="auto"/>
              </w:rPr>
              <w:t>hm</w:t>
            </w:r>
            <w:r>
              <w:rPr>
                <w:rFonts w:hint="default"/>
                <w:color w:val="auto"/>
                <w:vertAlign w:val="superscript"/>
              </w:rPr>
              <w:t>2</w:t>
            </w:r>
            <w:r>
              <w:rPr>
                <w:rFonts w:hint="eastAsia"/>
                <w:color w:val="auto"/>
                <w:lang w:val="en-US" w:eastAsia="zh-CN"/>
              </w:rPr>
              <w:t>，均为农用地，其中占用耕地0.1038</w:t>
            </w:r>
            <w:r>
              <w:rPr>
                <w:rFonts w:hint="default"/>
                <w:color w:val="auto"/>
              </w:rPr>
              <w:t>hm</w:t>
            </w:r>
            <w:r>
              <w:rPr>
                <w:rFonts w:hint="default"/>
                <w:color w:val="auto"/>
                <w:vertAlign w:val="superscript"/>
              </w:rPr>
              <w:t>2</w:t>
            </w:r>
            <w:r>
              <w:rPr>
                <w:rFonts w:hint="eastAsia"/>
                <w:color w:val="auto"/>
                <w:lang w:val="en-US" w:eastAsia="zh-CN"/>
              </w:rPr>
              <w:t>，其他草地0.0558</w:t>
            </w:r>
            <w:r>
              <w:rPr>
                <w:rFonts w:hint="default"/>
                <w:color w:val="auto"/>
              </w:rPr>
              <w:t>hm</w:t>
            </w:r>
            <w:r>
              <w:rPr>
                <w:rFonts w:hint="default"/>
                <w:color w:val="auto"/>
                <w:vertAlign w:val="superscript"/>
              </w:rPr>
              <w:t>2</w:t>
            </w:r>
            <w:r>
              <w:rPr>
                <w:rFonts w:hint="eastAsia"/>
                <w:color w:val="auto"/>
                <w:lang w:val="en-US" w:eastAsia="zh-CN"/>
              </w:rPr>
              <w:t>。每台风机机位的箱变设置在风机基础外围，不新增永久占地。项目临时用地包括风机吊装平台用地、地埋电缆沟开挖用地和XZB16风机机组进场道路用地，</w:t>
            </w:r>
            <w:r>
              <w:rPr>
                <w:rFonts w:hint="eastAsia"/>
                <w:color w:val="auto"/>
                <w:highlight w:val="none"/>
                <w:lang w:val="en-US" w:eastAsia="zh-CN"/>
              </w:rPr>
              <w:t>临时占地面积为2.7751</w:t>
            </w:r>
            <w:r>
              <w:rPr>
                <w:rFonts w:hint="default"/>
                <w:color w:val="auto"/>
                <w:highlight w:val="none"/>
              </w:rPr>
              <w:t>hm</w:t>
            </w:r>
            <w:r>
              <w:rPr>
                <w:rFonts w:hint="default"/>
                <w:color w:val="auto"/>
                <w:highlight w:val="none"/>
                <w:vertAlign w:val="superscript"/>
              </w:rPr>
              <w:t>2</w:t>
            </w:r>
            <w:r>
              <w:rPr>
                <w:rFonts w:hint="eastAsia"/>
                <w:color w:val="auto"/>
                <w:highlight w:val="none"/>
                <w:lang w:val="en-US" w:eastAsia="zh-CN"/>
              </w:rPr>
              <w:t>，</w:t>
            </w:r>
            <w:r>
              <w:rPr>
                <w:rFonts w:hint="eastAsia"/>
                <w:color w:val="auto"/>
                <w:lang w:val="en-US" w:eastAsia="zh-CN"/>
              </w:rPr>
              <w:t>项目用地情况见下表。</w:t>
            </w:r>
          </w:p>
          <w:p w14:paraId="2EDD64E2">
            <w:pPr>
              <w:pStyle w:val="27"/>
              <w:bidi w:val="0"/>
              <w:rPr>
                <w:rFonts w:hint="eastAsia"/>
                <w:color w:val="auto"/>
                <w:lang w:val="en-US" w:eastAsia="zh-CN"/>
              </w:rPr>
            </w:pPr>
            <w:r>
              <w:rPr>
                <w:rFonts w:hint="eastAsia"/>
                <w:color w:val="auto"/>
                <w:lang w:val="en-US" w:eastAsia="zh-CN"/>
              </w:rPr>
              <w:t>表2-5  项目用地情况统计表</w:t>
            </w:r>
          </w:p>
          <w:tbl>
            <w:tblPr>
              <w:tblStyle w:val="20"/>
              <w:tblW w:w="4954"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502"/>
              <w:gridCol w:w="807"/>
              <w:gridCol w:w="1076"/>
              <w:gridCol w:w="808"/>
              <w:gridCol w:w="808"/>
              <w:gridCol w:w="811"/>
              <w:gridCol w:w="1076"/>
              <w:gridCol w:w="1076"/>
            </w:tblGrid>
            <w:tr w14:paraId="1AAC6F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18" w:hRule="atLeast"/>
                <w:jc w:val="center"/>
              </w:trPr>
              <w:tc>
                <w:tcPr>
                  <w:tcW w:w="943" w:type="pct"/>
                  <w:vMerge w:val="restart"/>
                  <w:tcBorders>
                    <w:tl2br w:val="nil"/>
                    <w:tr2bl w:val="nil"/>
                  </w:tcBorders>
                  <w:shd w:val="clear" w:color="auto" w:fill="auto"/>
                  <w:noWrap/>
                  <w:vAlign w:val="center"/>
                </w:tcPr>
                <w:p w14:paraId="704B4219">
                  <w:pPr>
                    <w:pStyle w:val="37"/>
                    <w:bidi w:val="0"/>
                    <w:rPr>
                      <w:rFonts w:hint="eastAsia"/>
                      <w:color w:val="auto"/>
                    </w:rPr>
                  </w:pPr>
                  <w:r>
                    <w:rPr>
                      <w:rFonts w:hint="eastAsia"/>
                      <w:color w:val="auto"/>
                      <w:lang w:val="en-US" w:eastAsia="zh-CN"/>
                    </w:rPr>
                    <w:t>工程内容</w:t>
                  </w:r>
                </w:p>
              </w:tc>
              <w:tc>
                <w:tcPr>
                  <w:tcW w:w="2705" w:type="pct"/>
                  <w:gridSpan w:val="5"/>
                  <w:tcBorders>
                    <w:tl2br w:val="nil"/>
                    <w:tr2bl w:val="nil"/>
                  </w:tcBorders>
                  <w:shd w:val="clear" w:color="auto" w:fill="auto"/>
                  <w:noWrap/>
                  <w:vAlign w:val="center"/>
                </w:tcPr>
                <w:p w14:paraId="4331C864">
                  <w:pPr>
                    <w:pStyle w:val="37"/>
                    <w:bidi w:val="0"/>
                    <w:rPr>
                      <w:rFonts w:hint="eastAsia"/>
                      <w:color w:val="auto"/>
                    </w:rPr>
                  </w:pPr>
                  <w:r>
                    <w:rPr>
                      <w:rFonts w:hint="eastAsia"/>
                      <w:color w:val="auto"/>
                      <w:lang w:val="en-US" w:eastAsia="zh-CN"/>
                    </w:rPr>
                    <w:t>占地类型</w:t>
                  </w:r>
                </w:p>
              </w:tc>
              <w:tc>
                <w:tcPr>
                  <w:tcW w:w="1350" w:type="pct"/>
                  <w:gridSpan w:val="2"/>
                  <w:tcBorders>
                    <w:tl2br w:val="nil"/>
                    <w:tr2bl w:val="nil"/>
                  </w:tcBorders>
                  <w:shd w:val="clear" w:color="auto" w:fill="auto"/>
                  <w:noWrap/>
                  <w:vAlign w:val="center"/>
                </w:tcPr>
                <w:p w14:paraId="35178EAC">
                  <w:pPr>
                    <w:pStyle w:val="37"/>
                    <w:bidi w:val="0"/>
                    <w:rPr>
                      <w:rFonts w:hint="eastAsia"/>
                      <w:color w:val="auto"/>
                    </w:rPr>
                  </w:pPr>
                  <w:r>
                    <w:rPr>
                      <w:rFonts w:hint="eastAsia"/>
                      <w:color w:val="auto"/>
                      <w:lang w:val="en-US" w:eastAsia="zh-CN"/>
                    </w:rPr>
                    <w:t>占地性质</w:t>
                  </w:r>
                </w:p>
              </w:tc>
            </w:tr>
            <w:tr w14:paraId="6195C7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62" w:hRule="atLeast"/>
                <w:jc w:val="center"/>
              </w:trPr>
              <w:tc>
                <w:tcPr>
                  <w:tcW w:w="943" w:type="pct"/>
                  <w:vMerge w:val="continue"/>
                  <w:tcBorders>
                    <w:tl2br w:val="nil"/>
                    <w:tr2bl w:val="nil"/>
                  </w:tcBorders>
                  <w:shd w:val="clear" w:color="auto" w:fill="auto"/>
                  <w:noWrap/>
                  <w:vAlign w:val="center"/>
                </w:tcPr>
                <w:p w14:paraId="07BADAE6">
                  <w:pPr>
                    <w:pStyle w:val="37"/>
                    <w:bidi w:val="0"/>
                    <w:rPr>
                      <w:rFonts w:hint="eastAsia"/>
                      <w:color w:val="auto"/>
                    </w:rPr>
                  </w:pPr>
                </w:p>
              </w:tc>
              <w:tc>
                <w:tcPr>
                  <w:tcW w:w="507" w:type="pct"/>
                  <w:tcBorders>
                    <w:tl2br w:val="nil"/>
                    <w:tr2bl w:val="nil"/>
                  </w:tcBorders>
                  <w:shd w:val="clear" w:color="auto" w:fill="auto"/>
                  <w:noWrap/>
                  <w:vAlign w:val="center"/>
                </w:tcPr>
                <w:p w14:paraId="442B557D">
                  <w:pPr>
                    <w:pStyle w:val="37"/>
                    <w:bidi w:val="0"/>
                    <w:rPr>
                      <w:rFonts w:hint="eastAsia"/>
                      <w:color w:val="auto"/>
                    </w:rPr>
                  </w:pPr>
                  <w:r>
                    <w:rPr>
                      <w:rFonts w:hint="eastAsia"/>
                      <w:color w:val="auto"/>
                      <w:lang w:val="en-US" w:eastAsia="zh-CN"/>
                    </w:rPr>
                    <w:t>小计</w:t>
                  </w:r>
                </w:p>
              </w:tc>
              <w:tc>
                <w:tcPr>
                  <w:tcW w:w="675" w:type="pct"/>
                  <w:tcBorders>
                    <w:tl2br w:val="nil"/>
                    <w:tr2bl w:val="nil"/>
                  </w:tcBorders>
                  <w:shd w:val="clear" w:color="auto" w:fill="auto"/>
                  <w:noWrap/>
                  <w:vAlign w:val="center"/>
                </w:tcPr>
                <w:p w14:paraId="284A5B42">
                  <w:pPr>
                    <w:pStyle w:val="37"/>
                    <w:bidi w:val="0"/>
                    <w:rPr>
                      <w:rFonts w:hint="eastAsia"/>
                      <w:color w:val="auto"/>
                    </w:rPr>
                  </w:pPr>
                  <w:r>
                    <w:rPr>
                      <w:rFonts w:hint="eastAsia"/>
                      <w:color w:val="auto"/>
                      <w:lang w:val="en-US" w:eastAsia="zh-CN"/>
                    </w:rPr>
                    <w:t>乔木林地</w:t>
                  </w:r>
                </w:p>
              </w:tc>
              <w:tc>
                <w:tcPr>
                  <w:tcW w:w="507" w:type="pct"/>
                  <w:tcBorders>
                    <w:tl2br w:val="nil"/>
                    <w:tr2bl w:val="nil"/>
                  </w:tcBorders>
                  <w:shd w:val="clear" w:color="auto" w:fill="auto"/>
                  <w:noWrap/>
                  <w:vAlign w:val="center"/>
                </w:tcPr>
                <w:p w14:paraId="2BD56372">
                  <w:pPr>
                    <w:pStyle w:val="37"/>
                    <w:bidi w:val="0"/>
                    <w:rPr>
                      <w:rFonts w:hint="eastAsia"/>
                      <w:color w:val="auto"/>
                    </w:rPr>
                  </w:pPr>
                  <w:r>
                    <w:rPr>
                      <w:rFonts w:hint="eastAsia"/>
                      <w:color w:val="auto"/>
                      <w:lang w:val="en-US" w:eastAsia="zh-CN"/>
                    </w:rPr>
                    <w:t>草地</w:t>
                  </w:r>
                </w:p>
              </w:tc>
              <w:tc>
                <w:tcPr>
                  <w:tcW w:w="507" w:type="pct"/>
                  <w:tcBorders>
                    <w:tl2br w:val="nil"/>
                    <w:tr2bl w:val="nil"/>
                  </w:tcBorders>
                  <w:shd w:val="clear" w:color="auto" w:fill="auto"/>
                  <w:noWrap/>
                  <w:vAlign w:val="center"/>
                </w:tcPr>
                <w:p w14:paraId="6B141FBD">
                  <w:pPr>
                    <w:pStyle w:val="37"/>
                    <w:bidi w:val="0"/>
                    <w:rPr>
                      <w:rFonts w:hint="eastAsia"/>
                      <w:color w:val="auto"/>
                    </w:rPr>
                  </w:pPr>
                  <w:r>
                    <w:rPr>
                      <w:rFonts w:hint="eastAsia"/>
                      <w:color w:val="auto"/>
                      <w:lang w:val="en-US" w:eastAsia="zh-CN"/>
                    </w:rPr>
                    <w:t>耕地</w:t>
                  </w:r>
                </w:p>
              </w:tc>
              <w:tc>
                <w:tcPr>
                  <w:tcW w:w="508" w:type="pct"/>
                  <w:tcBorders>
                    <w:tl2br w:val="nil"/>
                    <w:tr2bl w:val="nil"/>
                  </w:tcBorders>
                  <w:shd w:val="clear" w:color="auto" w:fill="auto"/>
                  <w:vAlign w:val="center"/>
                </w:tcPr>
                <w:p w14:paraId="7CC6C784">
                  <w:pPr>
                    <w:pStyle w:val="37"/>
                    <w:bidi w:val="0"/>
                    <w:rPr>
                      <w:rFonts w:hint="eastAsia"/>
                      <w:color w:val="auto"/>
                    </w:rPr>
                  </w:pPr>
                  <w:r>
                    <w:rPr>
                      <w:rFonts w:hint="eastAsia"/>
                      <w:color w:val="auto"/>
                      <w:lang w:val="en-US" w:eastAsia="zh-CN"/>
                    </w:rPr>
                    <w:t>农村道路用地</w:t>
                  </w:r>
                </w:p>
              </w:tc>
              <w:tc>
                <w:tcPr>
                  <w:tcW w:w="675" w:type="pct"/>
                  <w:tcBorders>
                    <w:tl2br w:val="nil"/>
                    <w:tr2bl w:val="nil"/>
                  </w:tcBorders>
                  <w:shd w:val="clear" w:color="auto" w:fill="auto"/>
                  <w:noWrap/>
                  <w:vAlign w:val="center"/>
                </w:tcPr>
                <w:p w14:paraId="1473DA18">
                  <w:pPr>
                    <w:pStyle w:val="37"/>
                    <w:bidi w:val="0"/>
                    <w:rPr>
                      <w:rFonts w:hint="eastAsia"/>
                      <w:color w:val="auto"/>
                    </w:rPr>
                  </w:pPr>
                  <w:r>
                    <w:rPr>
                      <w:rFonts w:hint="eastAsia"/>
                      <w:color w:val="auto"/>
                      <w:lang w:val="en-US" w:eastAsia="zh-CN"/>
                    </w:rPr>
                    <w:t>永久占地</w:t>
                  </w:r>
                </w:p>
              </w:tc>
              <w:tc>
                <w:tcPr>
                  <w:tcW w:w="675" w:type="pct"/>
                  <w:tcBorders>
                    <w:tl2br w:val="nil"/>
                    <w:tr2bl w:val="nil"/>
                  </w:tcBorders>
                  <w:shd w:val="clear" w:color="auto" w:fill="auto"/>
                  <w:noWrap/>
                  <w:vAlign w:val="center"/>
                </w:tcPr>
                <w:p w14:paraId="29CF6DF1">
                  <w:pPr>
                    <w:pStyle w:val="37"/>
                    <w:bidi w:val="0"/>
                    <w:rPr>
                      <w:rFonts w:hint="eastAsia"/>
                      <w:color w:val="auto"/>
                    </w:rPr>
                  </w:pPr>
                  <w:r>
                    <w:rPr>
                      <w:rFonts w:hint="eastAsia"/>
                      <w:color w:val="auto"/>
                      <w:lang w:val="en-US" w:eastAsia="zh-CN"/>
                    </w:rPr>
                    <w:t>临时占地</w:t>
                  </w:r>
                </w:p>
              </w:tc>
            </w:tr>
            <w:tr w14:paraId="7D1C7E6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943" w:type="pct"/>
                  <w:tcBorders>
                    <w:tl2br w:val="nil"/>
                    <w:tr2bl w:val="nil"/>
                  </w:tcBorders>
                  <w:shd w:val="clear" w:color="auto" w:fill="auto"/>
                  <w:noWrap/>
                  <w:vAlign w:val="center"/>
                </w:tcPr>
                <w:p w14:paraId="77040DB5">
                  <w:pPr>
                    <w:pStyle w:val="37"/>
                    <w:bidi w:val="0"/>
                    <w:rPr>
                      <w:rFonts w:hint="eastAsia"/>
                      <w:color w:val="auto"/>
                    </w:rPr>
                  </w:pPr>
                  <w:r>
                    <w:rPr>
                      <w:rFonts w:hint="eastAsia"/>
                      <w:color w:val="auto"/>
                      <w:lang w:val="en-US" w:eastAsia="zh-CN"/>
                    </w:rPr>
                    <w:t>风机基础</w:t>
                  </w:r>
                </w:p>
              </w:tc>
              <w:tc>
                <w:tcPr>
                  <w:tcW w:w="821" w:type="dxa"/>
                  <w:tcBorders>
                    <w:tl2br w:val="nil"/>
                    <w:tr2bl w:val="nil"/>
                  </w:tcBorders>
                  <w:shd w:val="clear" w:color="auto" w:fill="auto"/>
                  <w:noWrap/>
                  <w:vAlign w:val="center"/>
                </w:tcPr>
                <w:p w14:paraId="62B436CA">
                  <w:pPr>
                    <w:pStyle w:val="34"/>
                    <w:bidi w:val="0"/>
                    <w:rPr>
                      <w:rFonts w:hint="eastAsia"/>
                      <w:color w:val="auto"/>
                    </w:rPr>
                  </w:pPr>
                  <w:r>
                    <w:rPr>
                      <w:rFonts w:hint="eastAsia"/>
                      <w:color w:val="auto"/>
                      <w:lang w:val="en-US" w:eastAsia="zh-CN"/>
                    </w:rPr>
                    <w:t>0.1596</w:t>
                  </w:r>
                </w:p>
              </w:tc>
              <w:tc>
                <w:tcPr>
                  <w:tcW w:w="1092" w:type="dxa"/>
                  <w:tcBorders>
                    <w:tl2br w:val="nil"/>
                    <w:tr2bl w:val="nil"/>
                  </w:tcBorders>
                  <w:shd w:val="clear" w:color="auto" w:fill="auto"/>
                  <w:noWrap/>
                  <w:vAlign w:val="center"/>
                </w:tcPr>
                <w:p w14:paraId="26FE76A0">
                  <w:pPr>
                    <w:pStyle w:val="34"/>
                    <w:bidi w:val="0"/>
                    <w:rPr>
                      <w:rFonts w:hint="eastAsia"/>
                      <w:color w:val="auto"/>
                    </w:rPr>
                  </w:pPr>
                </w:p>
              </w:tc>
              <w:tc>
                <w:tcPr>
                  <w:tcW w:w="821" w:type="dxa"/>
                  <w:tcBorders>
                    <w:tl2br w:val="nil"/>
                    <w:tr2bl w:val="nil"/>
                  </w:tcBorders>
                  <w:shd w:val="clear" w:color="auto" w:fill="auto"/>
                  <w:noWrap/>
                  <w:vAlign w:val="center"/>
                </w:tcPr>
                <w:p w14:paraId="19FE6A1A">
                  <w:pPr>
                    <w:pStyle w:val="34"/>
                    <w:bidi w:val="0"/>
                    <w:rPr>
                      <w:rFonts w:hint="eastAsia"/>
                      <w:color w:val="auto"/>
                    </w:rPr>
                  </w:pPr>
                  <w:r>
                    <w:rPr>
                      <w:rFonts w:hint="eastAsia"/>
                      <w:color w:val="auto"/>
                      <w:lang w:val="en-US" w:eastAsia="zh-CN"/>
                    </w:rPr>
                    <w:t>0.0557</w:t>
                  </w:r>
                </w:p>
              </w:tc>
              <w:tc>
                <w:tcPr>
                  <w:tcW w:w="821" w:type="dxa"/>
                  <w:tcBorders>
                    <w:tl2br w:val="nil"/>
                    <w:tr2bl w:val="nil"/>
                  </w:tcBorders>
                  <w:shd w:val="clear" w:color="auto" w:fill="auto"/>
                  <w:noWrap/>
                  <w:vAlign w:val="center"/>
                </w:tcPr>
                <w:p w14:paraId="5F392F58">
                  <w:pPr>
                    <w:pStyle w:val="34"/>
                    <w:bidi w:val="0"/>
                    <w:rPr>
                      <w:rFonts w:hint="eastAsia"/>
                      <w:color w:val="auto"/>
                    </w:rPr>
                  </w:pPr>
                  <w:r>
                    <w:rPr>
                      <w:rFonts w:hint="eastAsia"/>
                      <w:color w:val="auto"/>
                      <w:lang w:val="en-US" w:eastAsia="zh-CN"/>
                    </w:rPr>
                    <w:t>0.1039</w:t>
                  </w:r>
                </w:p>
              </w:tc>
              <w:tc>
                <w:tcPr>
                  <w:tcW w:w="824" w:type="dxa"/>
                  <w:tcBorders>
                    <w:tl2br w:val="nil"/>
                    <w:tr2bl w:val="nil"/>
                  </w:tcBorders>
                  <w:shd w:val="clear" w:color="auto" w:fill="auto"/>
                  <w:noWrap/>
                  <w:vAlign w:val="center"/>
                </w:tcPr>
                <w:p w14:paraId="75BD530B">
                  <w:pPr>
                    <w:pStyle w:val="34"/>
                    <w:bidi w:val="0"/>
                    <w:rPr>
                      <w:rFonts w:hint="eastAsia"/>
                      <w:color w:val="auto"/>
                    </w:rPr>
                  </w:pPr>
                </w:p>
              </w:tc>
              <w:tc>
                <w:tcPr>
                  <w:tcW w:w="675" w:type="pct"/>
                  <w:tcBorders>
                    <w:tl2br w:val="nil"/>
                    <w:tr2bl w:val="nil"/>
                  </w:tcBorders>
                  <w:shd w:val="clear" w:color="auto" w:fill="auto"/>
                  <w:noWrap/>
                  <w:vAlign w:val="center"/>
                </w:tcPr>
                <w:p w14:paraId="0AA3DE60">
                  <w:pPr>
                    <w:pStyle w:val="37"/>
                    <w:bidi w:val="0"/>
                    <w:rPr>
                      <w:rFonts w:hint="eastAsia"/>
                      <w:color w:val="auto"/>
                    </w:rPr>
                  </w:pPr>
                  <w:r>
                    <w:rPr>
                      <w:rFonts w:hint="eastAsia"/>
                      <w:color w:val="auto"/>
                      <w:lang w:val="en-US" w:eastAsia="zh-CN"/>
                    </w:rPr>
                    <w:t>0.1596</w:t>
                  </w:r>
                </w:p>
              </w:tc>
              <w:tc>
                <w:tcPr>
                  <w:tcW w:w="675" w:type="pct"/>
                  <w:tcBorders>
                    <w:tl2br w:val="nil"/>
                    <w:tr2bl w:val="nil"/>
                  </w:tcBorders>
                  <w:shd w:val="clear" w:color="auto" w:fill="auto"/>
                  <w:noWrap/>
                  <w:vAlign w:val="center"/>
                </w:tcPr>
                <w:p w14:paraId="6EBC452E">
                  <w:pPr>
                    <w:pStyle w:val="37"/>
                    <w:bidi w:val="0"/>
                    <w:rPr>
                      <w:rFonts w:hint="eastAsia"/>
                      <w:color w:val="auto"/>
                    </w:rPr>
                  </w:pPr>
                </w:p>
              </w:tc>
            </w:tr>
            <w:tr w14:paraId="1CCC06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943" w:type="pct"/>
                  <w:tcBorders>
                    <w:tl2br w:val="nil"/>
                    <w:tr2bl w:val="nil"/>
                  </w:tcBorders>
                  <w:shd w:val="clear" w:color="auto" w:fill="auto"/>
                  <w:noWrap/>
                  <w:vAlign w:val="center"/>
                </w:tcPr>
                <w:p w14:paraId="3C451DE7">
                  <w:pPr>
                    <w:pStyle w:val="37"/>
                    <w:bidi w:val="0"/>
                    <w:rPr>
                      <w:rFonts w:hint="eastAsia"/>
                      <w:color w:val="auto"/>
                    </w:rPr>
                  </w:pPr>
                  <w:r>
                    <w:rPr>
                      <w:rFonts w:hint="eastAsia"/>
                      <w:color w:val="auto"/>
                      <w:lang w:val="en-US" w:eastAsia="zh-CN"/>
                    </w:rPr>
                    <w:t>风机吊装平台</w:t>
                  </w:r>
                </w:p>
              </w:tc>
              <w:tc>
                <w:tcPr>
                  <w:tcW w:w="821" w:type="dxa"/>
                  <w:tcBorders>
                    <w:tl2br w:val="nil"/>
                    <w:tr2bl w:val="nil"/>
                  </w:tcBorders>
                  <w:shd w:val="clear" w:color="auto" w:fill="auto"/>
                  <w:noWrap/>
                  <w:vAlign w:val="center"/>
                </w:tcPr>
                <w:p w14:paraId="6AB22596">
                  <w:pPr>
                    <w:pStyle w:val="34"/>
                    <w:bidi w:val="0"/>
                    <w:rPr>
                      <w:rFonts w:hint="eastAsia"/>
                      <w:color w:val="auto"/>
                    </w:rPr>
                  </w:pPr>
                  <w:r>
                    <w:rPr>
                      <w:rFonts w:hint="eastAsia"/>
                      <w:color w:val="auto"/>
                      <w:lang w:val="en-US" w:eastAsia="zh-CN"/>
                    </w:rPr>
                    <w:t>1.2278</w:t>
                  </w:r>
                </w:p>
              </w:tc>
              <w:tc>
                <w:tcPr>
                  <w:tcW w:w="1092" w:type="dxa"/>
                  <w:tcBorders>
                    <w:tl2br w:val="nil"/>
                    <w:tr2bl w:val="nil"/>
                  </w:tcBorders>
                  <w:shd w:val="clear" w:color="auto" w:fill="auto"/>
                  <w:noWrap/>
                  <w:vAlign w:val="center"/>
                </w:tcPr>
                <w:p w14:paraId="7F363B55">
                  <w:pPr>
                    <w:pStyle w:val="34"/>
                    <w:bidi w:val="0"/>
                    <w:rPr>
                      <w:rFonts w:hint="eastAsia"/>
                      <w:color w:val="auto"/>
                    </w:rPr>
                  </w:pPr>
                  <w:r>
                    <w:rPr>
                      <w:rFonts w:hint="eastAsia"/>
                      <w:color w:val="auto"/>
                      <w:lang w:val="en-US" w:eastAsia="zh-CN"/>
                    </w:rPr>
                    <w:t>0.2080</w:t>
                  </w:r>
                </w:p>
              </w:tc>
              <w:tc>
                <w:tcPr>
                  <w:tcW w:w="821" w:type="dxa"/>
                  <w:tcBorders>
                    <w:tl2br w:val="nil"/>
                    <w:tr2bl w:val="nil"/>
                  </w:tcBorders>
                  <w:shd w:val="clear" w:color="auto" w:fill="auto"/>
                  <w:noWrap/>
                  <w:vAlign w:val="center"/>
                </w:tcPr>
                <w:p w14:paraId="64BA9F23">
                  <w:pPr>
                    <w:pStyle w:val="34"/>
                    <w:bidi w:val="0"/>
                    <w:rPr>
                      <w:rFonts w:hint="eastAsia"/>
                      <w:color w:val="auto"/>
                    </w:rPr>
                  </w:pPr>
                  <w:r>
                    <w:rPr>
                      <w:rFonts w:hint="eastAsia"/>
                      <w:color w:val="auto"/>
                      <w:lang w:val="en-US" w:eastAsia="zh-CN"/>
                    </w:rPr>
                    <w:t>0.3683</w:t>
                  </w:r>
                </w:p>
              </w:tc>
              <w:tc>
                <w:tcPr>
                  <w:tcW w:w="821" w:type="dxa"/>
                  <w:tcBorders>
                    <w:tl2br w:val="nil"/>
                    <w:tr2bl w:val="nil"/>
                  </w:tcBorders>
                  <w:shd w:val="clear" w:color="auto" w:fill="auto"/>
                  <w:noWrap/>
                  <w:vAlign w:val="center"/>
                </w:tcPr>
                <w:p w14:paraId="76DAE90E">
                  <w:pPr>
                    <w:pStyle w:val="34"/>
                    <w:bidi w:val="0"/>
                    <w:rPr>
                      <w:rFonts w:hint="eastAsia"/>
                      <w:color w:val="auto"/>
                    </w:rPr>
                  </w:pPr>
                  <w:r>
                    <w:rPr>
                      <w:rFonts w:hint="eastAsia"/>
                      <w:color w:val="auto"/>
                      <w:lang w:val="en-US" w:eastAsia="zh-CN"/>
                    </w:rPr>
                    <w:t>0.6130</w:t>
                  </w:r>
                </w:p>
              </w:tc>
              <w:tc>
                <w:tcPr>
                  <w:tcW w:w="824" w:type="dxa"/>
                  <w:tcBorders>
                    <w:tl2br w:val="nil"/>
                    <w:tr2bl w:val="nil"/>
                  </w:tcBorders>
                  <w:shd w:val="clear" w:color="auto" w:fill="auto"/>
                  <w:noWrap/>
                  <w:vAlign w:val="center"/>
                </w:tcPr>
                <w:p w14:paraId="6CB60A2F">
                  <w:pPr>
                    <w:pStyle w:val="34"/>
                    <w:bidi w:val="0"/>
                    <w:rPr>
                      <w:rFonts w:hint="eastAsia"/>
                      <w:color w:val="auto"/>
                    </w:rPr>
                  </w:pPr>
                  <w:r>
                    <w:rPr>
                      <w:rFonts w:hint="eastAsia"/>
                      <w:color w:val="auto"/>
                      <w:lang w:val="en-US" w:eastAsia="zh-CN"/>
                    </w:rPr>
                    <w:t>0.0385</w:t>
                  </w:r>
                </w:p>
              </w:tc>
              <w:tc>
                <w:tcPr>
                  <w:tcW w:w="675" w:type="pct"/>
                  <w:tcBorders>
                    <w:tl2br w:val="nil"/>
                    <w:tr2bl w:val="nil"/>
                  </w:tcBorders>
                  <w:shd w:val="clear" w:color="auto" w:fill="auto"/>
                  <w:noWrap/>
                  <w:vAlign w:val="center"/>
                </w:tcPr>
                <w:p w14:paraId="2293E785">
                  <w:pPr>
                    <w:pStyle w:val="37"/>
                    <w:bidi w:val="0"/>
                    <w:rPr>
                      <w:rFonts w:hint="eastAsia"/>
                      <w:color w:val="auto"/>
                    </w:rPr>
                  </w:pPr>
                </w:p>
              </w:tc>
              <w:tc>
                <w:tcPr>
                  <w:tcW w:w="675" w:type="pct"/>
                  <w:tcBorders>
                    <w:tl2br w:val="nil"/>
                    <w:tr2bl w:val="nil"/>
                  </w:tcBorders>
                  <w:shd w:val="clear" w:color="auto" w:fill="auto"/>
                  <w:noWrap/>
                  <w:vAlign w:val="center"/>
                </w:tcPr>
                <w:p w14:paraId="1B78AD0E">
                  <w:pPr>
                    <w:pStyle w:val="37"/>
                    <w:bidi w:val="0"/>
                    <w:rPr>
                      <w:rFonts w:hint="eastAsia"/>
                      <w:color w:val="auto"/>
                    </w:rPr>
                  </w:pPr>
                  <w:r>
                    <w:rPr>
                      <w:rFonts w:hint="eastAsia"/>
                      <w:color w:val="auto"/>
                      <w:lang w:val="en-US" w:eastAsia="zh-CN"/>
                    </w:rPr>
                    <w:t>1.2278</w:t>
                  </w:r>
                </w:p>
              </w:tc>
            </w:tr>
            <w:tr w14:paraId="4296F8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943" w:type="pct"/>
                  <w:tcBorders>
                    <w:tl2br w:val="nil"/>
                    <w:tr2bl w:val="nil"/>
                  </w:tcBorders>
                  <w:shd w:val="clear" w:color="auto" w:fill="auto"/>
                  <w:noWrap/>
                  <w:vAlign w:val="center"/>
                </w:tcPr>
                <w:p w14:paraId="346687F9">
                  <w:pPr>
                    <w:pStyle w:val="37"/>
                    <w:bidi w:val="0"/>
                    <w:rPr>
                      <w:rFonts w:hint="eastAsia"/>
                      <w:color w:val="auto"/>
                    </w:rPr>
                  </w:pPr>
                  <w:r>
                    <w:rPr>
                      <w:rFonts w:hint="eastAsia"/>
                      <w:color w:val="auto"/>
                      <w:lang w:val="en-US" w:eastAsia="zh-CN"/>
                    </w:rPr>
                    <w:t>集电线路</w:t>
                  </w:r>
                </w:p>
              </w:tc>
              <w:tc>
                <w:tcPr>
                  <w:tcW w:w="821" w:type="dxa"/>
                  <w:tcBorders>
                    <w:tl2br w:val="nil"/>
                    <w:tr2bl w:val="nil"/>
                  </w:tcBorders>
                  <w:shd w:val="clear" w:color="auto" w:fill="auto"/>
                  <w:noWrap/>
                  <w:vAlign w:val="center"/>
                </w:tcPr>
                <w:p w14:paraId="4B343215">
                  <w:pPr>
                    <w:pStyle w:val="34"/>
                    <w:bidi w:val="0"/>
                    <w:rPr>
                      <w:rFonts w:hint="eastAsia"/>
                      <w:color w:val="auto"/>
                    </w:rPr>
                  </w:pPr>
                  <w:r>
                    <w:rPr>
                      <w:rFonts w:hint="eastAsia"/>
                      <w:color w:val="auto"/>
                      <w:lang w:val="en-US" w:eastAsia="zh-CN"/>
                    </w:rPr>
                    <w:t>1.2294</w:t>
                  </w:r>
                </w:p>
              </w:tc>
              <w:tc>
                <w:tcPr>
                  <w:tcW w:w="1092" w:type="dxa"/>
                  <w:tcBorders>
                    <w:tl2br w:val="nil"/>
                    <w:tr2bl w:val="nil"/>
                  </w:tcBorders>
                  <w:shd w:val="clear" w:color="auto" w:fill="auto"/>
                  <w:noWrap/>
                  <w:vAlign w:val="center"/>
                </w:tcPr>
                <w:p w14:paraId="1FB4E56B">
                  <w:pPr>
                    <w:pStyle w:val="34"/>
                    <w:bidi w:val="0"/>
                    <w:rPr>
                      <w:rFonts w:hint="eastAsia"/>
                      <w:color w:val="auto"/>
                    </w:rPr>
                  </w:pPr>
                </w:p>
              </w:tc>
              <w:tc>
                <w:tcPr>
                  <w:tcW w:w="821" w:type="dxa"/>
                  <w:tcBorders>
                    <w:tl2br w:val="nil"/>
                    <w:tr2bl w:val="nil"/>
                  </w:tcBorders>
                  <w:shd w:val="clear" w:color="auto" w:fill="auto"/>
                  <w:noWrap/>
                  <w:vAlign w:val="center"/>
                </w:tcPr>
                <w:p w14:paraId="70D2188C">
                  <w:pPr>
                    <w:pStyle w:val="34"/>
                    <w:bidi w:val="0"/>
                    <w:rPr>
                      <w:rFonts w:hint="eastAsia"/>
                      <w:color w:val="auto"/>
                    </w:rPr>
                  </w:pPr>
                  <w:r>
                    <w:rPr>
                      <w:rFonts w:hint="eastAsia"/>
                      <w:color w:val="auto"/>
                      <w:lang w:val="en-US" w:eastAsia="zh-CN"/>
                    </w:rPr>
                    <w:t>0.4303</w:t>
                  </w:r>
                </w:p>
              </w:tc>
              <w:tc>
                <w:tcPr>
                  <w:tcW w:w="821" w:type="dxa"/>
                  <w:tcBorders>
                    <w:tl2br w:val="nil"/>
                    <w:tr2bl w:val="nil"/>
                  </w:tcBorders>
                  <w:shd w:val="clear" w:color="auto" w:fill="auto"/>
                  <w:noWrap/>
                  <w:vAlign w:val="center"/>
                </w:tcPr>
                <w:p w14:paraId="278FFDFC">
                  <w:pPr>
                    <w:pStyle w:val="34"/>
                    <w:bidi w:val="0"/>
                    <w:rPr>
                      <w:rFonts w:hint="eastAsia"/>
                      <w:color w:val="auto"/>
                    </w:rPr>
                  </w:pPr>
                  <w:r>
                    <w:rPr>
                      <w:rFonts w:hint="eastAsia"/>
                      <w:color w:val="auto"/>
                      <w:lang w:val="en-US" w:eastAsia="zh-CN"/>
                    </w:rPr>
                    <w:t>0.6651</w:t>
                  </w:r>
                </w:p>
              </w:tc>
              <w:tc>
                <w:tcPr>
                  <w:tcW w:w="824" w:type="dxa"/>
                  <w:tcBorders>
                    <w:tl2br w:val="nil"/>
                    <w:tr2bl w:val="nil"/>
                  </w:tcBorders>
                  <w:shd w:val="clear" w:color="auto" w:fill="auto"/>
                  <w:noWrap/>
                  <w:vAlign w:val="center"/>
                </w:tcPr>
                <w:p w14:paraId="6D6BB3E8">
                  <w:pPr>
                    <w:pStyle w:val="34"/>
                    <w:bidi w:val="0"/>
                    <w:rPr>
                      <w:rFonts w:hint="eastAsia"/>
                      <w:color w:val="auto"/>
                    </w:rPr>
                  </w:pPr>
                  <w:r>
                    <w:rPr>
                      <w:rFonts w:hint="eastAsia"/>
                      <w:color w:val="auto"/>
                      <w:lang w:val="en-US" w:eastAsia="zh-CN"/>
                    </w:rPr>
                    <w:t>0.1340</w:t>
                  </w:r>
                </w:p>
              </w:tc>
              <w:tc>
                <w:tcPr>
                  <w:tcW w:w="675" w:type="pct"/>
                  <w:tcBorders>
                    <w:tl2br w:val="nil"/>
                    <w:tr2bl w:val="nil"/>
                  </w:tcBorders>
                  <w:shd w:val="clear" w:color="auto" w:fill="auto"/>
                  <w:noWrap/>
                  <w:vAlign w:val="center"/>
                </w:tcPr>
                <w:p w14:paraId="3702A45B">
                  <w:pPr>
                    <w:pStyle w:val="37"/>
                    <w:bidi w:val="0"/>
                    <w:rPr>
                      <w:rFonts w:hint="eastAsia"/>
                      <w:color w:val="auto"/>
                    </w:rPr>
                  </w:pPr>
                </w:p>
              </w:tc>
              <w:tc>
                <w:tcPr>
                  <w:tcW w:w="675" w:type="pct"/>
                  <w:tcBorders>
                    <w:tl2br w:val="nil"/>
                    <w:tr2bl w:val="nil"/>
                  </w:tcBorders>
                  <w:shd w:val="clear" w:color="auto" w:fill="auto"/>
                  <w:noWrap/>
                  <w:vAlign w:val="center"/>
                </w:tcPr>
                <w:p w14:paraId="165128BB">
                  <w:pPr>
                    <w:pStyle w:val="37"/>
                    <w:bidi w:val="0"/>
                    <w:rPr>
                      <w:rFonts w:hint="eastAsia"/>
                      <w:color w:val="auto"/>
                    </w:rPr>
                  </w:pPr>
                  <w:r>
                    <w:rPr>
                      <w:rFonts w:hint="eastAsia"/>
                      <w:color w:val="auto"/>
                      <w:lang w:val="en-US" w:eastAsia="zh-CN"/>
                    </w:rPr>
                    <w:t>1.2294</w:t>
                  </w:r>
                </w:p>
              </w:tc>
            </w:tr>
            <w:tr w14:paraId="693BB91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943" w:type="pct"/>
                  <w:tcBorders>
                    <w:tl2br w:val="nil"/>
                    <w:tr2bl w:val="nil"/>
                  </w:tcBorders>
                  <w:shd w:val="clear" w:color="auto" w:fill="auto"/>
                  <w:noWrap/>
                  <w:vAlign w:val="center"/>
                </w:tcPr>
                <w:p w14:paraId="03D79CD8">
                  <w:pPr>
                    <w:pStyle w:val="37"/>
                    <w:bidi w:val="0"/>
                    <w:rPr>
                      <w:rFonts w:hint="eastAsia"/>
                      <w:color w:val="auto"/>
                    </w:rPr>
                  </w:pPr>
                  <w:r>
                    <w:rPr>
                      <w:rFonts w:hint="eastAsia"/>
                      <w:color w:val="auto"/>
                      <w:lang w:val="en-US" w:eastAsia="zh-CN"/>
                    </w:rPr>
                    <w:t>新建道路</w:t>
                  </w:r>
                </w:p>
              </w:tc>
              <w:tc>
                <w:tcPr>
                  <w:tcW w:w="821" w:type="dxa"/>
                  <w:tcBorders>
                    <w:tl2br w:val="nil"/>
                    <w:tr2bl w:val="nil"/>
                  </w:tcBorders>
                  <w:shd w:val="clear" w:color="auto" w:fill="auto"/>
                  <w:noWrap/>
                  <w:vAlign w:val="center"/>
                </w:tcPr>
                <w:p w14:paraId="0C616B4A">
                  <w:pPr>
                    <w:pStyle w:val="34"/>
                    <w:bidi w:val="0"/>
                    <w:rPr>
                      <w:rFonts w:hint="eastAsia"/>
                      <w:color w:val="auto"/>
                    </w:rPr>
                  </w:pPr>
                  <w:r>
                    <w:rPr>
                      <w:rFonts w:hint="eastAsia"/>
                      <w:color w:val="auto"/>
                      <w:lang w:val="en-US" w:eastAsia="zh-CN"/>
                    </w:rPr>
                    <w:t>0.3179</w:t>
                  </w:r>
                </w:p>
              </w:tc>
              <w:tc>
                <w:tcPr>
                  <w:tcW w:w="1092" w:type="dxa"/>
                  <w:tcBorders>
                    <w:tl2br w:val="nil"/>
                    <w:tr2bl w:val="nil"/>
                  </w:tcBorders>
                  <w:shd w:val="clear" w:color="auto" w:fill="auto"/>
                  <w:noWrap/>
                  <w:vAlign w:val="center"/>
                </w:tcPr>
                <w:p w14:paraId="3C141D32">
                  <w:pPr>
                    <w:pStyle w:val="34"/>
                    <w:bidi w:val="0"/>
                    <w:rPr>
                      <w:rFonts w:hint="eastAsia"/>
                      <w:color w:val="auto"/>
                    </w:rPr>
                  </w:pPr>
                  <w:r>
                    <w:rPr>
                      <w:rFonts w:hint="eastAsia"/>
                      <w:color w:val="auto"/>
                      <w:lang w:val="en-US" w:eastAsia="zh-CN"/>
                    </w:rPr>
                    <w:t>0.0055</w:t>
                  </w:r>
                </w:p>
              </w:tc>
              <w:tc>
                <w:tcPr>
                  <w:tcW w:w="821" w:type="dxa"/>
                  <w:tcBorders>
                    <w:tl2br w:val="nil"/>
                    <w:tr2bl w:val="nil"/>
                  </w:tcBorders>
                  <w:shd w:val="clear" w:color="auto" w:fill="auto"/>
                  <w:noWrap/>
                  <w:vAlign w:val="center"/>
                </w:tcPr>
                <w:p w14:paraId="3ECBE8D1">
                  <w:pPr>
                    <w:pStyle w:val="34"/>
                    <w:bidi w:val="0"/>
                    <w:rPr>
                      <w:rFonts w:hint="eastAsia"/>
                      <w:color w:val="auto"/>
                    </w:rPr>
                  </w:pPr>
                </w:p>
              </w:tc>
              <w:tc>
                <w:tcPr>
                  <w:tcW w:w="821" w:type="dxa"/>
                  <w:tcBorders>
                    <w:tl2br w:val="nil"/>
                    <w:tr2bl w:val="nil"/>
                  </w:tcBorders>
                  <w:shd w:val="clear" w:color="auto" w:fill="auto"/>
                  <w:noWrap/>
                  <w:vAlign w:val="center"/>
                </w:tcPr>
                <w:p w14:paraId="6037F3DE">
                  <w:pPr>
                    <w:pStyle w:val="34"/>
                    <w:bidi w:val="0"/>
                    <w:rPr>
                      <w:rFonts w:hint="eastAsia"/>
                      <w:color w:val="auto"/>
                    </w:rPr>
                  </w:pPr>
                  <w:r>
                    <w:rPr>
                      <w:rFonts w:hint="eastAsia"/>
                      <w:color w:val="auto"/>
                      <w:lang w:val="en-US" w:eastAsia="zh-CN"/>
                    </w:rPr>
                    <w:t>0.3124</w:t>
                  </w:r>
                </w:p>
              </w:tc>
              <w:tc>
                <w:tcPr>
                  <w:tcW w:w="824" w:type="dxa"/>
                  <w:tcBorders>
                    <w:tl2br w:val="nil"/>
                    <w:tr2bl w:val="nil"/>
                  </w:tcBorders>
                  <w:shd w:val="clear" w:color="auto" w:fill="auto"/>
                  <w:noWrap/>
                  <w:vAlign w:val="center"/>
                </w:tcPr>
                <w:p w14:paraId="4F2F42BB">
                  <w:pPr>
                    <w:pStyle w:val="34"/>
                    <w:bidi w:val="0"/>
                    <w:rPr>
                      <w:rFonts w:hint="eastAsia"/>
                      <w:color w:val="auto"/>
                    </w:rPr>
                  </w:pPr>
                </w:p>
              </w:tc>
              <w:tc>
                <w:tcPr>
                  <w:tcW w:w="675" w:type="pct"/>
                  <w:tcBorders>
                    <w:tl2br w:val="nil"/>
                    <w:tr2bl w:val="nil"/>
                  </w:tcBorders>
                  <w:shd w:val="clear" w:color="auto" w:fill="auto"/>
                  <w:noWrap/>
                  <w:vAlign w:val="center"/>
                </w:tcPr>
                <w:p w14:paraId="64E4A94A">
                  <w:pPr>
                    <w:pStyle w:val="37"/>
                    <w:bidi w:val="0"/>
                    <w:rPr>
                      <w:rFonts w:hint="eastAsia"/>
                      <w:color w:val="auto"/>
                    </w:rPr>
                  </w:pPr>
                </w:p>
              </w:tc>
              <w:tc>
                <w:tcPr>
                  <w:tcW w:w="675" w:type="pct"/>
                  <w:tcBorders>
                    <w:tl2br w:val="nil"/>
                    <w:tr2bl w:val="nil"/>
                  </w:tcBorders>
                  <w:shd w:val="clear" w:color="auto" w:fill="auto"/>
                  <w:noWrap/>
                  <w:vAlign w:val="center"/>
                </w:tcPr>
                <w:p w14:paraId="56FA5BBC">
                  <w:pPr>
                    <w:pStyle w:val="37"/>
                    <w:bidi w:val="0"/>
                    <w:rPr>
                      <w:rFonts w:hint="eastAsia"/>
                      <w:color w:val="auto"/>
                    </w:rPr>
                  </w:pPr>
                  <w:r>
                    <w:rPr>
                      <w:rFonts w:hint="eastAsia"/>
                      <w:color w:val="auto"/>
                      <w:lang w:val="en-US" w:eastAsia="zh-CN"/>
                    </w:rPr>
                    <w:t>0.3179</w:t>
                  </w:r>
                </w:p>
              </w:tc>
            </w:tr>
            <w:tr w14:paraId="2F688D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943" w:type="pct"/>
                  <w:tcBorders>
                    <w:tl2br w:val="nil"/>
                    <w:tr2bl w:val="nil"/>
                  </w:tcBorders>
                  <w:shd w:val="clear" w:color="auto" w:fill="auto"/>
                  <w:noWrap/>
                  <w:vAlign w:val="center"/>
                </w:tcPr>
                <w:p w14:paraId="0BA029E2">
                  <w:pPr>
                    <w:pStyle w:val="37"/>
                    <w:bidi w:val="0"/>
                    <w:rPr>
                      <w:rFonts w:hint="eastAsia"/>
                      <w:color w:val="auto"/>
                    </w:rPr>
                  </w:pPr>
                  <w:r>
                    <w:rPr>
                      <w:rFonts w:hint="eastAsia"/>
                      <w:color w:val="auto"/>
                      <w:lang w:val="en-US" w:eastAsia="zh-CN"/>
                    </w:rPr>
                    <w:t>合计</w:t>
                  </w:r>
                </w:p>
              </w:tc>
              <w:tc>
                <w:tcPr>
                  <w:tcW w:w="821" w:type="dxa"/>
                  <w:tcBorders>
                    <w:tl2br w:val="nil"/>
                    <w:tr2bl w:val="nil"/>
                  </w:tcBorders>
                  <w:shd w:val="clear" w:color="auto" w:fill="auto"/>
                  <w:noWrap/>
                  <w:vAlign w:val="center"/>
                </w:tcPr>
                <w:p w14:paraId="4021D98F">
                  <w:pPr>
                    <w:pStyle w:val="34"/>
                    <w:bidi w:val="0"/>
                    <w:rPr>
                      <w:rFonts w:hint="eastAsia"/>
                      <w:color w:val="auto"/>
                    </w:rPr>
                  </w:pPr>
                  <w:r>
                    <w:rPr>
                      <w:rFonts w:hint="eastAsia"/>
                      <w:color w:val="auto"/>
                      <w:lang w:val="en-US" w:eastAsia="zh-CN"/>
                    </w:rPr>
                    <w:t>2.9347</w:t>
                  </w:r>
                </w:p>
              </w:tc>
              <w:tc>
                <w:tcPr>
                  <w:tcW w:w="1092" w:type="dxa"/>
                  <w:tcBorders>
                    <w:tl2br w:val="nil"/>
                    <w:tr2bl w:val="nil"/>
                  </w:tcBorders>
                  <w:shd w:val="clear" w:color="auto" w:fill="auto"/>
                  <w:noWrap/>
                  <w:vAlign w:val="center"/>
                </w:tcPr>
                <w:p w14:paraId="665BA823">
                  <w:pPr>
                    <w:pStyle w:val="34"/>
                    <w:bidi w:val="0"/>
                    <w:rPr>
                      <w:rFonts w:hint="eastAsia"/>
                      <w:color w:val="auto"/>
                    </w:rPr>
                  </w:pPr>
                  <w:r>
                    <w:rPr>
                      <w:rFonts w:hint="eastAsia"/>
                      <w:color w:val="auto"/>
                      <w:lang w:val="en-US" w:eastAsia="zh-CN"/>
                    </w:rPr>
                    <w:t>0.2135</w:t>
                  </w:r>
                </w:p>
              </w:tc>
              <w:tc>
                <w:tcPr>
                  <w:tcW w:w="821" w:type="dxa"/>
                  <w:tcBorders>
                    <w:tl2br w:val="nil"/>
                    <w:tr2bl w:val="nil"/>
                  </w:tcBorders>
                  <w:shd w:val="clear" w:color="auto" w:fill="auto"/>
                  <w:noWrap/>
                  <w:vAlign w:val="center"/>
                </w:tcPr>
                <w:p w14:paraId="05672BAF">
                  <w:pPr>
                    <w:pStyle w:val="34"/>
                    <w:bidi w:val="0"/>
                    <w:rPr>
                      <w:rFonts w:hint="eastAsia"/>
                      <w:color w:val="auto"/>
                    </w:rPr>
                  </w:pPr>
                  <w:r>
                    <w:rPr>
                      <w:rFonts w:hint="eastAsia"/>
                      <w:color w:val="auto"/>
                      <w:lang w:val="en-US" w:eastAsia="zh-CN"/>
                    </w:rPr>
                    <w:t>0.8543</w:t>
                  </w:r>
                </w:p>
              </w:tc>
              <w:tc>
                <w:tcPr>
                  <w:tcW w:w="821" w:type="dxa"/>
                  <w:tcBorders>
                    <w:tl2br w:val="nil"/>
                    <w:tr2bl w:val="nil"/>
                  </w:tcBorders>
                  <w:shd w:val="clear" w:color="auto" w:fill="auto"/>
                  <w:noWrap/>
                  <w:vAlign w:val="center"/>
                </w:tcPr>
                <w:p w14:paraId="5FFDC989">
                  <w:pPr>
                    <w:pStyle w:val="34"/>
                    <w:bidi w:val="0"/>
                    <w:rPr>
                      <w:rFonts w:hint="eastAsia"/>
                      <w:color w:val="auto"/>
                    </w:rPr>
                  </w:pPr>
                  <w:r>
                    <w:rPr>
                      <w:rFonts w:hint="eastAsia"/>
                      <w:color w:val="auto"/>
                      <w:lang w:val="en-US" w:eastAsia="zh-CN"/>
                    </w:rPr>
                    <w:t>1.6944</w:t>
                  </w:r>
                </w:p>
              </w:tc>
              <w:tc>
                <w:tcPr>
                  <w:tcW w:w="824" w:type="dxa"/>
                  <w:tcBorders>
                    <w:tl2br w:val="nil"/>
                    <w:tr2bl w:val="nil"/>
                  </w:tcBorders>
                  <w:shd w:val="clear" w:color="auto" w:fill="auto"/>
                  <w:noWrap/>
                  <w:vAlign w:val="center"/>
                </w:tcPr>
                <w:p w14:paraId="7A5187DE">
                  <w:pPr>
                    <w:pStyle w:val="34"/>
                    <w:bidi w:val="0"/>
                    <w:rPr>
                      <w:rFonts w:hint="eastAsia"/>
                      <w:color w:val="auto"/>
                    </w:rPr>
                  </w:pPr>
                  <w:r>
                    <w:rPr>
                      <w:rFonts w:hint="eastAsia"/>
                      <w:color w:val="auto"/>
                      <w:lang w:val="en-US" w:eastAsia="zh-CN"/>
                    </w:rPr>
                    <w:t>0.1725</w:t>
                  </w:r>
                </w:p>
              </w:tc>
              <w:tc>
                <w:tcPr>
                  <w:tcW w:w="675" w:type="pct"/>
                  <w:tcBorders>
                    <w:tl2br w:val="nil"/>
                    <w:tr2bl w:val="nil"/>
                  </w:tcBorders>
                  <w:shd w:val="clear" w:color="auto" w:fill="auto"/>
                  <w:noWrap/>
                  <w:vAlign w:val="center"/>
                </w:tcPr>
                <w:p w14:paraId="1B8CE7DC">
                  <w:pPr>
                    <w:pStyle w:val="37"/>
                    <w:bidi w:val="0"/>
                    <w:rPr>
                      <w:rFonts w:hint="eastAsia"/>
                      <w:color w:val="auto"/>
                    </w:rPr>
                  </w:pPr>
                  <w:r>
                    <w:rPr>
                      <w:rFonts w:hint="eastAsia"/>
                      <w:color w:val="auto"/>
                      <w:lang w:val="en-US" w:eastAsia="zh-CN"/>
                    </w:rPr>
                    <w:t>0.1596</w:t>
                  </w:r>
                </w:p>
              </w:tc>
              <w:tc>
                <w:tcPr>
                  <w:tcW w:w="675" w:type="pct"/>
                  <w:tcBorders>
                    <w:tl2br w:val="nil"/>
                    <w:tr2bl w:val="nil"/>
                  </w:tcBorders>
                  <w:shd w:val="clear" w:color="auto" w:fill="auto"/>
                  <w:noWrap/>
                  <w:vAlign w:val="center"/>
                </w:tcPr>
                <w:p w14:paraId="6319F432">
                  <w:pPr>
                    <w:pStyle w:val="37"/>
                    <w:bidi w:val="0"/>
                    <w:rPr>
                      <w:rFonts w:hint="eastAsia"/>
                      <w:color w:val="auto"/>
                    </w:rPr>
                  </w:pPr>
                  <w:r>
                    <w:rPr>
                      <w:rFonts w:hint="eastAsia"/>
                      <w:color w:val="auto"/>
                      <w:lang w:val="en-US" w:eastAsia="zh-CN"/>
                    </w:rPr>
                    <w:t>2.7751</w:t>
                  </w:r>
                </w:p>
              </w:tc>
            </w:tr>
          </w:tbl>
          <w:p w14:paraId="2D61D9CA">
            <w:pPr>
              <w:pStyle w:val="37"/>
              <w:bidi w:val="0"/>
              <w:rPr>
                <w:rFonts w:hint="eastAsia"/>
                <w:color w:val="auto"/>
                <w:lang w:val="en-US" w:eastAsia="zh-CN"/>
              </w:rPr>
            </w:pPr>
          </w:p>
          <w:p w14:paraId="7D651D66">
            <w:pPr>
              <w:pStyle w:val="6"/>
              <w:bidi w:val="0"/>
              <w:rPr>
                <w:rFonts w:hint="default"/>
                <w:color w:val="auto"/>
                <w:lang w:val="en-US" w:eastAsia="zh-CN"/>
              </w:rPr>
            </w:pPr>
            <w:r>
              <w:rPr>
                <w:rFonts w:hint="eastAsia"/>
                <w:color w:val="auto"/>
                <w:lang w:val="en-US" w:eastAsia="zh-CN"/>
              </w:rPr>
              <w:t>如上表所示，本项目永久占地0.1596</w:t>
            </w:r>
            <w:r>
              <w:rPr>
                <w:rFonts w:hint="default"/>
                <w:color w:val="auto"/>
              </w:rPr>
              <w:t>hm</w:t>
            </w:r>
            <w:r>
              <w:rPr>
                <w:rFonts w:hint="default"/>
                <w:color w:val="auto"/>
                <w:vertAlign w:val="superscript"/>
              </w:rPr>
              <w:t>2</w:t>
            </w:r>
            <w:r>
              <w:rPr>
                <w:rFonts w:hint="eastAsia"/>
                <w:color w:val="auto"/>
                <w:lang w:val="en-US" w:eastAsia="zh-CN"/>
              </w:rPr>
              <w:t>，占用类型为旱地和其他草地，临时占地2.7751</w:t>
            </w:r>
            <w:r>
              <w:rPr>
                <w:rFonts w:hint="default"/>
                <w:color w:val="auto"/>
              </w:rPr>
              <w:t>hm</w:t>
            </w:r>
            <w:r>
              <w:rPr>
                <w:rFonts w:hint="default"/>
                <w:color w:val="auto"/>
                <w:vertAlign w:val="superscript"/>
              </w:rPr>
              <w:t>2</w:t>
            </w:r>
            <w:r>
              <w:rPr>
                <w:rFonts w:hint="eastAsia"/>
                <w:color w:val="auto"/>
                <w:lang w:val="en-US" w:eastAsia="zh-CN"/>
              </w:rPr>
              <w:t>，占用类型为乔木林地、其他草地和旱地。XZB16号风机吊装平台占用公益林0.0338hm</w:t>
            </w:r>
            <w:r>
              <w:rPr>
                <w:rFonts w:hint="eastAsia"/>
                <w:color w:val="auto"/>
                <w:vertAlign w:val="superscript"/>
                <w:lang w:val="en-US" w:eastAsia="zh-CN"/>
              </w:rPr>
              <w:t>2</w:t>
            </w:r>
            <w:r>
              <w:rPr>
                <w:rFonts w:hint="eastAsia"/>
                <w:color w:val="auto"/>
                <w:lang w:val="en-US" w:eastAsia="zh-CN"/>
              </w:rPr>
              <w:t>，占用类型为次生性云南松林。</w:t>
            </w:r>
          </w:p>
          <w:p w14:paraId="21A06D9A">
            <w:pPr>
              <w:pStyle w:val="6"/>
              <w:bidi w:val="0"/>
              <w:rPr>
                <w:rFonts w:hint="default"/>
                <w:color w:val="auto"/>
                <w:lang w:val="en-US" w:eastAsia="zh-CN"/>
              </w:rPr>
            </w:pPr>
            <w:r>
              <w:rPr>
                <w:rFonts w:hint="default"/>
                <w:color w:val="auto"/>
                <w:lang w:val="en-US" w:eastAsia="zh-CN"/>
              </w:rPr>
              <w:t>（2）土石方</w:t>
            </w:r>
          </w:p>
          <w:p w14:paraId="0A4FC879">
            <w:pPr>
              <w:pStyle w:val="6"/>
              <w:bidi w:val="0"/>
              <w:rPr>
                <w:rFonts w:hint="eastAsia" w:eastAsia="宋体"/>
                <w:color w:val="auto"/>
                <w:lang w:val="en-US" w:eastAsia="zh-CN"/>
              </w:rPr>
            </w:pPr>
            <w:r>
              <w:rPr>
                <w:rFonts w:hint="default"/>
                <w:color w:val="auto"/>
                <w:lang w:val="en-US" w:eastAsia="zh-CN"/>
              </w:rPr>
              <w:t>项目在建设期预计产生土石方开挖</w:t>
            </w:r>
            <w:r>
              <w:rPr>
                <w:rFonts w:hint="eastAsia"/>
                <w:color w:val="auto"/>
                <w:lang w:val="en-US" w:eastAsia="zh-CN"/>
              </w:rPr>
              <w:t>5.4703</w:t>
            </w:r>
            <w:r>
              <w:rPr>
                <w:rFonts w:hint="default"/>
                <w:color w:val="auto"/>
                <w:lang w:val="en-US" w:eastAsia="zh-CN"/>
              </w:rPr>
              <w:t>万m</w:t>
            </w:r>
            <w:r>
              <w:rPr>
                <w:rFonts w:hint="default"/>
                <w:color w:val="auto"/>
                <w:vertAlign w:val="superscript"/>
                <w:lang w:val="en-US" w:eastAsia="zh-CN"/>
              </w:rPr>
              <w:t>3</w:t>
            </w:r>
            <w:r>
              <w:rPr>
                <w:rFonts w:hint="default"/>
                <w:color w:val="auto"/>
                <w:lang w:val="en-US" w:eastAsia="zh-CN"/>
              </w:rPr>
              <w:t>（其中土石方开挖</w:t>
            </w:r>
            <w:r>
              <w:rPr>
                <w:rFonts w:hint="eastAsia"/>
                <w:color w:val="auto"/>
                <w:lang w:val="en-US" w:eastAsia="zh-CN"/>
              </w:rPr>
              <w:t>4.8686</w:t>
            </w:r>
            <w:r>
              <w:rPr>
                <w:rFonts w:hint="default"/>
                <w:color w:val="auto"/>
                <w:lang w:val="en-US" w:eastAsia="zh-CN"/>
              </w:rPr>
              <w:t>万m</w:t>
            </w:r>
            <w:r>
              <w:rPr>
                <w:rFonts w:hint="default"/>
                <w:color w:val="auto"/>
                <w:vertAlign w:val="superscript"/>
                <w:lang w:val="en-US" w:eastAsia="zh-CN"/>
              </w:rPr>
              <w:t>3</w:t>
            </w:r>
            <w:r>
              <w:rPr>
                <w:rFonts w:hint="default"/>
                <w:color w:val="auto"/>
                <w:lang w:val="en-US" w:eastAsia="zh-CN"/>
              </w:rPr>
              <w:t>，表土剥离</w:t>
            </w:r>
            <w:r>
              <w:rPr>
                <w:rFonts w:hint="eastAsia"/>
                <w:color w:val="auto"/>
                <w:lang w:val="en-US" w:eastAsia="zh-CN"/>
              </w:rPr>
              <w:t>0.6017</w:t>
            </w:r>
            <w:r>
              <w:rPr>
                <w:rFonts w:hint="default"/>
                <w:color w:val="auto"/>
                <w:lang w:val="en-US" w:eastAsia="zh-CN"/>
              </w:rPr>
              <w:t>万m</w:t>
            </w:r>
            <w:r>
              <w:rPr>
                <w:rFonts w:hint="default"/>
                <w:color w:val="auto"/>
                <w:vertAlign w:val="superscript"/>
                <w:lang w:val="en-US" w:eastAsia="zh-CN"/>
              </w:rPr>
              <w:t>3</w:t>
            </w:r>
            <w:r>
              <w:rPr>
                <w:rFonts w:hint="default"/>
                <w:color w:val="auto"/>
                <w:lang w:val="en-US" w:eastAsia="zh-CN"/>
              </w:rPr>
              <w:t>），土石方回填</w:t>
            </w:r>
            <w:r>
              <w:rPr>
                <w:rFonts w:hint="eastAsia"/>
                <w:color w:val="auto"/>
                <w:lang w:val="en-US" w:eastAsia="zh-CN"/>
              </w:rPr>
              <w:t>5.4703</w:t>
            </w:r>
            <w:r>
              <w:rPr>
                <w:rFonts w:hint="default"/>
                <w:color w:val="auto"/>
                <w:lang w:val="en-US" w:eastAsia="zh-CN"/>
              </w:rPr>
              <w:t>万m</w:t>
            </w:r>
            <w:r>
              <w:rPr>
                <w:rFonts w:hint="default"/>
                <w:color w:val="auto"/>
                <w:vertAlign w:val="superscript"/>
                <w:lang w:val="en-US" w:eastAsia="zh-CN"/>
              </w:rPr>
              <w:t>3</w:t>
            </w:r>
            <w:r>
              <w:rPr>
                <w:rFonts w:hint="default"/>
                <w:color w:val="auto"/>
                <w:lang w:val="en-US" w:eastAsia="zh-CN"/>
              </w:rPr>
              <w:t>（其中土石方回填</w:t>
            </w:r>
            <w:r>
              <w:rPr>
                <w:rFonts w:hint="eastAsia"/>
                <w:color w:val="auto"/>
                <w:lang w:val="en-US" w:eastAsia="zh-CN"/>
              </w:rPr>
              <w:t>4.8686</w:t>
            </w:r>
            <w:r>
              <w:rPr>
                <w:rFonts w:hint="default"/>
                <w:color w:val="auto"/>
                <w:lang w:val="en-US" w:eastAsia="zh-CN"/>
              </w:rPr>
              <w:t>万m</w:t>
            </w:r>
            <w:r>
              <w:rPr>
                <w:rFonts w:hint="default"/>
                <w:color w:val="auto"/>
                <w:vertAlign w:val="superscript"/>
                <w:lang w:val="en-US" w:eastAsia="zh-CN"/>
              </w:rPr>
              <w:t>3</w:t>
            </w:r>
            <w:r>
              <w:rPr>
                <w:rFonts w:hint="default"/>
                <w:color w:val="auto"/>
                <w:lang w:val="en-US" w:eastAsia="zh-CN"/>
              </w:rPr>
              <w:t>，绿化覆土</w:t>
            </w:r>
            <w:r>
              <w:rPr>
                <w:rFonts w:hint="eastAsia"/>
                <w:color w:val="auto"/>
                <w:lang w:val="en-US" w:eastAsia="zh-CN"/>
              </w:rPr>
              <w:t>0.6017</w:t>
            </w:r>
            <w:r>
              <w:rPr>
                <w:rFonts w:hint="default"/>
                <w:color w:val="auto"/>
                <w:lang w:val="en-US" w:eastAsia="zh-CN"/>
              </w:rPr>
              <w:t>万m</w:t>
            </w:r>
            <w:r>
              <w:rPr>
                <w:rFonts w:hint="default"/>
                <w:color w:val="auto"/>
                <w:vertAlign w:val="superscript"/>
                <w:lang w:val="en-US" w:eastAsia="zh-CN"/>
              </w:rPr>
              <w:t>3</w:t>
            </w:r>
            <w:r>
              <w:rPr>
                <w:rFonts w:hint="default"/>
                <w:color w:val="auto"/>
                <w:lang w:val="en-US" w:eastAsia="zh-CN"/>
              </w:rPr>
              <w:t>），不产生永久弃渣</w:t>
            </w:r>
            <w:r>
              <w:rPr>
                <w:rFonts w:hint="eastAsia"/>
                <w:color w:val="auto"/>
                <w:lang w:val="en-US" w:eastAsia="zh-CN"/>
              </w:rPr>
              <w:t>，不设置弃渣场</w:t>
            </w:r>
            <w:r>
              <w:rPr>
                <w:rFonts w:hint="default"/>
                <w:color w:val="auto"/>
                <w:lang w:val="en-US" w:eastAsia="zh-CN"/>
              </w:rPr>
              <w:t>。</w:t>
            </w:r>
          </w:p>
        </w:tc>
      </w:tr>
      <w:tr w14:paraId="1A72B4E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56" w:type="dxa"/>
            <w:noWrap w:val="0"/>
            <w:vAlign w:val="center"/>
          </w:tcPr>
          <w:p w14:paraId="7A599307">
            <w:pPr>
              <w:pStyle w:val="18"/>
              <w:bidi w:val="0"/>
              <w:rPr>
                <w:color w:val="auto"/>
              </w:rPr>
            </w:pPr>
            <w:r>
              <w:rPr>
                <w:rFonts w:hint="eastAsia"/>
                <w:color w:val="auto"/>
              </w:rPr>
              <w:t>总平面及现场布置</w:t>
            </w:r>
          </w:p>
        </w:tc>
        <w:tc>
          <w:tcPr>
            <w:tcW w:w="8255" w:type="dxa"/>
            <w:noWrap w:val="0"/>
            <w:vAlign w:val="center"/>
          </w:tcPr>
          <w:p w14:paraId="61CAF516">
            <w:pPr>
              <w:bidi w:val="0"/>
              <w:ind w:left="0" w:leftChars="0" w:firstLine="0" w:firstLineChars="0"/>
              <w:rPr>
                <w:rFonts w:hint="default"/>
                <w:b/>
                <w:bCs/>
                <w:color w:val="auto"/>
                <w:lang w:val="en-US" w:eastAsia="zh-CN"/>
              </w:rPr>
            </w:pPr>
            <w:r>
              <w:rPr>
                <w:rFonts w:hint="eastAsia"/>
                <w:b/>
                <w:bCs/>
                <w:color w:val="auto"/>
                <w:lang w:val="en-US" w:eastAsia="zh-CN"/>
              </w:rPr>
              <w:t>1.总平面图</w:t>
            </w:r>
          </w:p>
          <w:p w14:paraId="4EFF22A4">
            <w:pPr>
              <w:bidi w:val="0"/>
              <w:rPr>
                <w:rFonts w:hint="eastAsia"/>
                <w:color w:val="auto"/>
                <w:lang w:eastAsia="zh-CN"/>
              </w:rPr>
            </w:pPr>
            <w:r>
              <w:rPr>
                <w:rFonts w:hint="eastAsia"/>
                <w:color w:val="auto"/>
                <w:lang w:eastAsia="zh-CN"/>
              </w:rPr>
              <w:t>本期开发原西泽风电场B片区剩余的4台机位，装机规模为30MW，拟1回35kV集电线路接入原西泽风电场220kV升压站进行消纳。升压站配套建设安装1台</w:t>
            </w:r>
            <w:r>
              <w:rPr>
                <w:rFonts w:hint="eastAsia"/>
                <w:color w:val="auto"/>
                <w:lang w:val="en-US" w:eastAsia="zh-CN"/>
              </w:rPr>
              <w:t>30</w:t>
            </w:r>
            <w:r>
              <w:rPr>
                <w:rFonts w:hint="eastAsia"/>
                <w:color w:val="auto"/>
                <w:lang w:eastAsia="zh-CN"/>
              </w:rPr>
              <w:t>MVA的主变，220kV升压站汇集所有风机电能后以1回220kV出线接入500kV多乐变。本期工程拟在原有升压站围墙范围内进行扩建，结合现场实际情况，拟在原预留的储能场地内扩建本期主变、35kV设备及二次设备预制舱、GIS等新增设备，不新增建筑物、建设用地。</w:t>
            </w:r>
          </w:p>
          <w:p w14:paraId="4C2B7F66">
            <w:pPr>
              <w:bidi w:val="0"/>
              <w:rPr>
                <w:rFonts w:hint="default"/>
                <w:color w:val="auto"/>
                <w:lang w:val="en-US" w:eastAsia="zh-CN"/>
              </w:rPr>
            </w:pPr>
            <w:r>
              <w:rPr>
                <w:rFonts w:hint="eastAsia"/>
                <w:color w:val="auto"/>
                <w:lang w:eastAsia="zh-CN"/>
              </w:rPr>
              <w:t>云南省宣威市西泽风电场（二期）工程</w:t>
            </w:r>
            <w:r>
              <w:rPr>
                <w:rFonts w:hint="eastAsia"/>
                <w:color w:val="auto"/>
                <w:lang w:val="en-US" w:eastAsia="zh-CN"/>
              </w:rPr>
              <w:t>总平面布置图详见附图3。</w:t>
            </w:r>
          </w:p>
          <w:p w14:paraId="133B088F">
            <w:pPr>
              <w:bidi w:val="0"/>
              <w:ind w:left="0" w:leftChars="0" w:firstLine="0" w:firstLineChars="0"/>
              <w:rPr>
                <w:rFonts w:hint="eastAsia"/>
                <w:b/>
                <w:bCs/>
                <w:color w:val="auto"/>
                <w:lang w:val="en-US" w:eastAsia="zh-CN"/>
              </w:rPr>
            </w:pPr>
            <w:r>
              <w:rPr>
                <w:rFonts w:hint="eastAsia"/>
                <w:b/>
                <w:bCs/>
                <w:color w:val="auto"/>
                <w:lang w:val="en-US" w:eastAsia="zh-CN"/>
              </w:rPr>
              <w:t>2.现场布置</w:t>
            </w:r>
          </w:p>
          <w:p w14:paraId="685165BF">
            <w:pPr>
              <w:bidi w:val="0"/>
              <w:rPr>
                <w:rFonts w:hint="default"/>
                <w:color w:val="auto"/>
                <w:lang w:val="en-US" w:eastAsia="zh-CN"/>
              </w:rPr>
            </w:pPr>
            <w:r>
              <w:rPr>
                <w:rFonts w:hint="eastAsia"/>
                <w:color w:val="auto"/>
                <w:lang w:val="en-US" w:eastAsia="zh-CN"/>
              </w:rPr>
              <w:t>（1）</w:t>
            </w:r>
            <w:r>
              <w:rPr>
                <w:rFonts w:hint="default"/>
                <w:color w:val="auto"/>
                <w:lang w:val="en-US" w:eastAsia="zh-CN"/>
              </w:rPr>
              <w:t>风电机组布置</w:t>
            </w:r>
          </w:p>
          <w:p w14:paraId="381C8246">
            <w:pPr>
              <w:bidi w:val="0"/>
              <w:rPr>
                <w:rFonts w:hint="default"/>
                <w:color w:val="auto"/>
                <w:lang w:val="en-US" w:eastAsia="zh-CN"/>
              </w:rPr>
            </w:pPr>
            <w:r>
              <w:rPr>
                <w:rFonts w:hint="default"/>
                <w:color w:val="auto"/>
                <w:lang w:val="en-US" w:eastAsia="zh-CN"/>
              </w:rPr>
              <w:t>西泽风电场（二期）工程风能资源主要分布在垂直于主导风向的山脊，主风能方向明显，风能集中于S～SW扇区。根据场区地形起伏情况和风能资源分布特点，主要沿垂直于主导风向的山脊和有利于风速加速的山头、垭口等地形布置风电机组，在布置机位时尽量考虑地形地貌的影响。本风电场受地形条件和各种外部条件限制，风机间距因地制宜按不规则条件布置。经过优化布置，本工程推荐方案为：西泽风电场（二期）工程采用安装4台单机容量7.5MW，叶轮直径220m，轮毂高度为125m的风电机组的机型方案，总装机容量为30MW。</w:t>
            </w:r>
          </w:p>
          <w:p w14:paraId="0C499D50">
            <w:pPr>
              <w:bidi w:val="0"/>
              <w:rPr>
                <w:rFonts w:hint="eastAsia"/>
                <w:color w:val="auto"/>
                <w:highlight w:val="none"/>
                <w:lang w:val="en-US" w:eastAsia="zh-CN"/>
              </w:rPr>
            </w:pPr>
            <w:r>
              <w:rPr>
                <w:rFonts w:hint="eastAsia"/>
                <w:color w:val="auto"/>
                <w:highlight w:val="none"/>
                <w:lang w:val="en-US" w:eastAsia="zh-CN"/>
              </w:rPr>
              <w:t>（2）集电线路布置</w:t>
            </w:r>
          </w:p>
          <w:p w14:paraId="5FACCA66">
            <w:pPr>
              <w:bidi w:val="0"/>
              <w:rPr>
                <w:rFonts w:hint="default"/>
                <w:color w:val="auto"/>
                <w:highlight w:val="none"/>
                <w:lang w:val="en-US" w:eastAsia="zh-CN"/>
              </w:rPr>
            </w:pPr>
            <w:r>
              <w:rPr>
                <w:rFonts w:hint="eastAsia"/>
                <w:color w:val="auto"/>
                <w:kern w:val="0"/>
                <w:sz w:val="24"/>
                <w:highlight w:val="none"/>
                <w:lang w:val="en-US" w:eastAsia="zh-CN"/>
              </w:rPr>
              <w:t>项目新建地埋电缆沿现有道路布置，XZB01风机、XZB02风机、XZB04风机自西向东接入西泽风电场一期B片区现有ZB12号杆塔，XZB16风机自东向西接入ZB12号杆塔，由ZB12号杆塔沿用现有杆塔通过改造的电缆接入西泽风电场220kV升压站。</w:t>
            </w:r>
          </w:p>
          <w:p w14:paraId="5C56AC75">
            <w:pPr>
              <w:bidi w:val="0"/>
              <w:rPr>
                <w:rFonts w:hint="default"/>
                <w:color w:val="auto"/>
                <w:highlight w:val="none"/>
                <w:lang w:val="en-US" w:eastAsia="zh-CN"/>
              </w:rPr>
            </w:pPr>
            <w:r>
              <w:rPr>
                <w:rFonts w:hint="eastAsia"/>
                <w:color w:val="auto"/>
                <w:highlight w:val="none"/>
                <w:lang w:val="en-US" w:eastAsia="zh-CN"/>
              </w:rPr>
              <w:t>（3）升压站扩建区域的布置</w:t>
            </w:r>
          </w:p>
          <w:p w14:paraId="3FDAED19">
            <w:pPr>
              <w:bidi w:val="0"/>
              <w:rPr>
                <w:rFonts w:hint="default"/>
                <w:color w:val="auto"/>
                <w:lang w:val="en-US" w:eastAsia="zh-CN"/>
              </w:rPr>
            </w:pPr>
            <w:r>
              <w:rPr>
                <w:rFonts w:hint="eastAsia"/>
                <w:color w:val="auto"/>
                <w:lang w:val="en-US" w:eastAsia="zh-CN"/>
              </w:rPr>
              <w:t>本项目35kV集电线路自南向北从</w:t>
            </w:r>
            <w:r>
              <w:rPr>
                <w:rFonts w:hint="eastAsia"/>
                <w:color w:val="auto"/>
                <w:kern w:val="0"/>
                <w:sz w:val="24"/>
                <w:highlight w:val="none"/>
                <w:lang w:val="en-US" w:eastAsia="zh-CN"/>
              </w:rPr>
              <w:t>西泽风电场220kV升压站西南侧</w:t>
            </w:r>
            <w:r>
              <w:rPr>
                <w:rFonts w:hint="eastAsia"/>
                <w:color w:val="auto"/>
                <w:lang w:val="en-US" w:eastAsia="zh-CN"/>
              </w:rPr>
              <w:t>接入升压站后接入35kV配电装置，通过布置在升压站西侧预留用地的2#主变升压至220kV后送出。户外GIS和</w:t>
            </w:r>
            <w:r>
              <w:rPr>
                <w:rFonts w:hint="eastAsia"/>
                <w:color w:val="auto"/>
                <w:lang w:eastAsia="zh-CN"/>
              </w:rPr>
              <w:t>无功补偿装置</w:t>
            </w:r>
            <w:r>
              <w:rPr>
                <w:rFonts w:hint="eastAsia"/>
                <w:color w:val="auto"/>
                <w:lang w:val="en-US" w:eastAsia="zh-CN"/>
              </w:rPr>
              <w:t>布置于升压站西北侧。</w:t>
            </w:r>
          </w:p>
          <w:p w14:paraId="3F15B0C8">
            <w:pPr>
              <w:bidi w:val="0"/>
              <w:ind w:left="0" w:leftChars="0" w:firstLine="0" w:firstLineChars="0"/>
              <w:rPr>
                <w:rFonts w:hint="eastAsia"/>
                <w:b/>
                <w:bCs/>
                <w:color w:val="auto"/>
              </w:rPr>
            </w:pPr>
            <w:r>
              <w:rPr>
                <w:rFonts w:hint="eastAsia"/>
                <w:b/>
                <w:bCs/>
                <w:color w:val="auto"/>
                <w:lang w:val="en-US" w:eastAsia="zh-CN"/>
              </w:rPr>
              <w:t>3.</w:t>
            </w:r>
            <w:r>
              <w:rPr>
                <w:rFonts w:hint="eastAsia"/>
                <w:b/>
                <w:bCs/>
                <w:color w:val="auto"/>
              </w:rPr>
              <w:t>施工布置</w:t>
            </w:r>
          </w:p>
          <w:p w14:paraId="5C0E361F">
            <w:pPr>
              <w:bidi w:val="0"/>
              <w:rPr>
                <w:rFonts w:hint="eastAsia"/>
                <w:color w:val="auto"/>
                <w:lang w:val="en-US" w:eastAsia="zh-CN"/>
              </w:rPr>
            </w:pPr>
            <w:r>
              <w:rPr>
                <w:rFonts w:hint="eastAsia"/>
                <w:color w:val="auto"/>
                <w:lang w:val="en-US" w:eastAsia="zh-CN"/>
              </w:rPr>
              <w:t>（1）临时设施</w:t>
            </w:r>
          </w:p>
          <w:p w14:paraId="561409CF">
            <w:pPr>
              <w:bidi w:val="0"/>
              <w:rPr>
                <w:rFonts w:hint="eastAsia"/>
                <w:color w:val="auto"/>
                <w:lang w:val="en-US" w:eastAsia="zh-CN"/>
              </w:rPr>
            </w:pPr>
            <w:r>
              <w:rPr>
                <w:rFonts w:hint="eastAsia"/>
                <w:color w:val="auto"/>
                <w:lang w:val="en-US" w:eastAsia="zh-CN"/>
              </w:rPr>
              <w:t>风电场施工现场主要设置：风电机组安装平台，设备临时存放场地，材料仓库等，设备临时存放场地和材料仓库位于XZB04号风机平台内，不新增占地。</w:t>
            </w:r>
          </w:p>
          <w:p w14:paraId="36821052">
            <w:pPr>
              <w:bidi w:val="0"/>
              <w:rPr>
                <w:rFonts w:hint="eastAsia"/>
                <w:color w:val="auto"/>
                <w:lang w:val="en-US" w:eastAsia="zh-CN"/>
              </w:rPr>
            </w:pPr>
            <w:r>
              <w:rPr>
                <w:rFonts w:hint="eastAsia"/>
                <w:color w:val="auto"/>
                <w:lang w:val="en-US" w:eastAsia="zh-CN"/>
              </w:rPr>
              <w:t>（2）砂石料系统</w:t>
            </w:r>
          </w:p>
          <w:p w14:paraId="599A501C">
            <w:pPr>
              <w:bidi w:val="0"/>
              <w:rPr>
                <w:rFonts w:hint="eastAsia"/>
                <w:color w:val="auto"/>
                <w:highlight w:val="none"/>
                <w:lang w:val="en-US" w:eastAsia="zh-CN"/>
              </w:rPr>
            </w:pPr>
            <w:r>
              <w:rPr>
                <w:rFonts w:hint="eastAsia"/>
                <w:color w:val="auto"/>
                <w:highlight w:val="none"/>
                <w:lang w:val="en-US" w:eastAsia="zh-CN"/>
              </w:rPr>
              <w:t>工程所需要的砂石骨料采用外购方式解决。工程混凝土主要需求量为风机基础浇筑，对混凝土质量要求较高，拟采用商品混凝土，供应工程所需混凝土。</w:t>
            </w:r>
          </w:p>
          <w:p w14:paraId="2AE33D87">
            <w:pPr>
              <w:bidi w:val="0"/>
              <w:rPr>
                <w:rFonts w:hint="eastAsia"/>
                <w:color w:val="auto"/>
                <w:lang w:val="en-US" w:eastAsia="zh-CN"/>
              </w:rPr>
            </w:pPr>
            <w:r>
              <w:rPr>
                <w:rFonts w:hint="eastAsia"/>
                <w:color w:val="auto"/>
                <w:lang w:val="en-US" w:eastAsia="zh-CN"/>
              </w:rPr>
              <w:t>（3）施工用电</w:t>
            </w:r>
          </w:p>
          <w:p w14:paraId="371CB7A2">
            <w:pPr>
              <w:bidi w:val="0"/>
              <w:rPr>
                <w:rFonts w:hint="eastAsia"/>
                <w:color w:val="auto"/>
                <w:lang w:val="en-US" w:eastAsia="zh-CN"/>
              </w:rPr>
            </w:pPr>
            <w:r>
              <w:rPr>
                <w:rFonts w:hint="eastAsia"/>
                <w:color w:val="auto"/>
                <w:lang w:val="en-US" w:eastAsia="zh-CN"/>
              </w:rPr>
              <w:t>本工程施工用电高峰负荷约250kW，由于施工用电点较分散，考虑周边的农网距离不远。因此，本项目集中与分散负荷区采用临时电源与移动式柴油发电机相混合的供电方式，全工程施工供电分两部分：</w:t>
            </w:r>
          </w:p>
          <w:p w14:paraId="7EE22CD7">
            <w:pPr>
              <w:bidi w:val="0"/>
              <w:rPr>
                <w:rFonts w:hint="eastAsia"/>
                <w:color w:val="auto"/>
                <w:highlight w:val="none"/>
                <w:lang w:val="en-US" w:eastAsia="zh-CN"/>
              </w:rPr>
            </w:pPr>
            <w:r>
              <w:rPr>
                <w:rFonts w:hint="eastAsia"/>
                <w:color w:val="auto"/>
                <w:lang w:val="en-US" w:eastAsia="zh-CN"/>
              </w:rPr>
              <w:t>1）施工用电负荷约200kW，主要供给现场办公室等设施用电。施工电源采用从临时施工场地旁边的</w:t>
            </w:r>
            <w:r>
              <w:rPr>
                <w:rFonts w:hint="eastAsia"/>
                <w:color w:val="auto"/>
                <w:highlight w:val="none"/>
                <w:lang w:val="en-US" w:eastAsia="zh-CN"/>
              </w:rPr>
              <w:t>卜戛村、小海德村、买水村等10kV农网引接。</w:t>
            </w:r>
          </w:p>
          <w:p w14:paraId="331D5914">
            <w:pPr>
              <w:bidi w:val="0"/>
              <w:rPr>
                <w:rFonts w:hint="eastAsia"/>
                <w:color w:val="auto"/>
                <w:highlight w:val="none"/>
                <w:lang w:val="en-US" w:eastAsia="zh-CN"/>
              </w:rPr>
            </w:pPr>
            <w:r>
              <w:rPr>
                <w:rFonts w:hint="eastAsia"/>
                <w:color w:val="auto"/>
                <w:highlight w:val="none"/>
                <w:lang w:val="en-US" w:eastAsia="zh-CN"/>
              </w:rPr>
              <w:t>2）供电范围为除第一部分外的风电场各施工点，施工用电负荷约40kW。由于用电点多且分散，设置4套单机功率15kW，输出电压0.4kV的移动式柴油发电机，供给施工用电。</w:t>
            </w:r>
          </w:p>
          <w:p w14:paraId="2CB8B1EA">
            <w:pPr>
              <w:bidi w:val="0"/>
              <w:rPr>
                <w:rFonts w:hint="eastAsia"/>
                <w:color w:val="auto"/>
                <w:lang w:val="en-US" w:eastAsia="zh-CN"/>
              </w:rPr>
            </w:pPr>
            <w:r>
              <w:rPr>
                <w:rFonts w:hint="eastAsia"/>
                <w:color w:val="auto"/>
                <w:lang w:val="en-US" w:eastAsia="zh-CN"/>
              </w:rPr>
              <w:t>（4）施工用水</w:t>
            </w:r>
          </w:p>
          <w:p w14:paraId="04768C7D">
            <w:pPr>
              <w:bidi w:val="0"/>
              <w:rPr>
                <w:rFonts w:hint="eastAsia"/>
                <w:color w:val="auto"/>
                <w:highlight w:val="none"/>
                <w:lang w:val="en-US" w:eastAsia="zh-CN"/>
              </w:rPr>
            </w:pPr>
            <w:r>
              <w:rPr>
                <w:rFonts w:hint="eastAsia"/>
                <w:color w:val="auto"/>
                <w:highlight w:val="none"/>
                <w:lang w:val="en-US" w:eastAsia="zh-CN"/>
              </w:rPr>
              <w:t>风电场施工现场生产、生活、消防用水量约为300t/d。根据现场勘查，拟采用水车市政供水供给；风电场各个风机位施工用水采取用水车运水的方式至各个风机位供风机砼浇筑、养护。</w:t>
            </w:r>
          </w:p>
          <w:p w14:paraId="6321A8B4">
            <w:pPr>
              <w:bidi w:val="0"/>
              <w:rPr>
                <w:rFonts w:hint="eastAsia"/>
                <w:color w:val="auto"/>
                <w:lang w:val="en-US" w:eastAsia="zh-CN"/>
              </w:rPr>
            </w:pPr>
            <w:r>
              <w:rPr>
                <w:rFonts w:hint="eastAsia"/>
                <w:color w:val="auto"/>
                <w:lang w:val="en-US" w:eastAsia="zh-CN"/>
              </w:rPr>
              <w:t>（5）施工交通运输方案</w:t>
            </w:r>
          </w:p>
          <w:p w14:paraId="7669329C">
            <w:pPr>
              <w:bidi w:val="0"/>
              <w:rPr>
                <w:rFonts w:hint="eastAsia"/>
                <w:color w:val="auto"/>
                <w:lang w:val="en-US" w:eastAsia="zh-CN"/>
              </w:rPr>
            </w:pPr>
            <w:r>
              <w:rPr>
                <w:rFonts w:hint="eastAsia"/>
                <w:color w:val="auto"/>
                <w:lang w:val="en-US" w:eastAsia="zh-CN"/>
              </w:rPr>
              <w:t>1）对外交通运输方案</w:t>
            </w:r>
          </w:p>
          <w:p w14:paraId="476EE95B">
            <w:pPr>
              <w:bidi w:val="0"/>
              <w:rPr>
                <w:rFonts w:hint="eastAsia"/>
                <w:color w:val="auto"/>
                <w:lang w:val="en-US" w:eastAsia="zh-CN"/>
              </w:rPr>
            </w:pPr>
            <w:r>
              <w:rPr>
                <w:rFonts w:hint="eastAsia"/>
                <w:color w:val="auto"/>
                <w:lang w:val="en-US" w:eastAsia="zh-CN"/>
              </w:rPr>
              <w:t>西泽风电场（二期）对外交通运输拟采用公路运输，主要线路为：昆明－卡朗收费站（沾益区）－西泽风电场（二期）工程，总里程约192km。公路交通线路具体条件如下：</w:t>
            </w:r>
          </w:p>
          <w:p w14:paraId="7AA1D111">
            <w:pPr>
              <w:bidi w:val="0"/>
              <w:rPr>
                <w:rFonts w:hint="eastAsia"/>
                <w:color w:val="auto"/>
                <w:lang w:val="en-US" w:eastAsia="zh-CN"/>
              </w:rPr>
            </w:pPr>
            <w:r>
              <w:rPr>
                <w:rFonts w:hint="eastAsia"/>
                <w:color w:val="auto"/>
                <w:lang w:val="en-US" w:eastAsia="zh-CN"/>
              </w:rPr>
              <w:t>①昆明市～卡朗收费站，G56高速公路，里程约180km，满足运输要求；</w:t>
            </w:r>
          </w:p>
          <w:p w14:paraId="7523A81D">
            <w:pPr>
              <w:bidi w:val="0"/>
              <w:rPr>
                <w:rFonts w:hint="default"/>
                <w:color w:val="auto"/>
                <w:lang w:val="en-US" w:eastAsia="zh-CN"/>
              </w:rPr>
            </w:pPr>
            <w:r>
              <w:rPr>
                <w:rFonts w:hint="eastAsia"/>
                <w:color w:val="auto"/>
                <w:lang w:val="en-US" w:eastAsia="zh-CN"/>
              </w:rPr>
              <w:t>②卡朗收费站～西泽风电场（二期）工程，松会线、065乡道，里程为12km，满足运输要求。</w:t>
            </w:r>
          </w:p>
          <w:p w14:paraId="47F4D094">
            <w:pPr>
              <w:bidi w:val="0"/>
              <w:rPr>
                <w:rFonts w:hint="eastAsia"/>
                <w:color w:val="auto"/>
                <w:lang w:val="en-US" w:eastAsia="zh-CN"/>
              </w:rPr>
            </w:pPr>
            <w:r>
              <w:rPr>
                <w:rFonts w:hint="eastAsia"/>
                <w:color w:val="auto"/>
                <w:lang w:val="en-US" w:eastAsia="zh-CN"/>
              </w:rPr>
              <w:t>2）场内交通运输方案</w:t>
            </w:r>
          </w:p>
          <w:p w14:paraId="19E81F0C">
            <w:pPr>
              <w:bidi w:val="0"/>
              <w:rPr>
                <w:rFonts w:hint="default"/>
                <w:color w:val="auto"/>
                <w:lang w:val="en-US" w:eastAsia="zh-CN"/>
              </w:rPr>
            </w:pPr>
            <w:r>
              <w:rPr>
                <w:rFonts w:hint="eastAsia"/>
                <w:color w:val="auto"/>
                <w:lang w:val="en-US" w:eastAsia="zh-CN"/>
              </w:rPr>
              <w:t>风电场施工检修道路考虑由原有村庄道路开始引接。整个风电场以沿用现有道路为主，仅在XZB16进场段新建道路346m。</w:t>
            </w:r>
          </w:p>
        </w:tc>
      </w:tr>
      <w:tr w14:paraId="35EBD2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 w:hRule="atLeast"/>
          <w:jc w:val="center"/>
        </w:trPr>
        <w:tc>
          <w:tcPr>
            <w:tcW w:w="456" w:type="dxa"/>
            <w:noWrap w:val="0"/>
            <w:vAlign w:val="center"/>
          </w:tcPr>
          <w:p w14:paraId="0B2F0558">
            <w:pPr>
              <w:pStyle w:val="37"/>
              <w:bidi w:val="0"/>
              <w:rPr>
                <w:rFonts w:ascii="Times New Roman" w:hAnsi="Times New Roman" w:eastAsia="宋体" w:cs="宋体"/>
                <w:color w:val="auto"/>
                <w:kern w:val="0"/>
              </w:rPr>
            </w:pPr>
            <w:r>
              <w:rPr>
                <w:rFonts w:hint="eastAsia"/>
                <w:color w:val="auto"/>
              </w:rPr>
              <w:t>施工方案</w:t>
            </w:r>
          </w:p>
        </w:tc>
        <w:tc>
          <w:tcPr>
            <w:tcW w:w="8255" w:type="dxa"/>
            <w:noWrap w:val="0"/>
            <w:vAlign w:val="center"/>
          </w:tcPr>
          <w:p w14:paraId="41B4ECDD">
            <w:pPr>
              <w:bidi w:val="0"/>
              <w:ind w:left="0" w:leftChars="0" w:firstLine="0" w:firstLineChars="0"/>
              <w:rPr>
                <w:rFonts w:hint="eastAsia"/>
                <w:b/>
                <w:bCs/>
                <w:color w:val="auto"/>
              </w:rPr>
            </w:pPr>
            <w:r>
              <w:rPr>
                <w:rFonts w:hint="eastAsia"/>
                <w:b/>
                <w:bCs/>
                <w:color w:val="auto"/>
                <w:lang w:val="en-US" w:eastAsia="zh-CN"/>
              </w:rPr>
              <w:t>1.</w:t>
            </w:r>
            <w:r>
              <w:rPr>
                <w:rFonts w:hint="eastAsia"/>
                <w:b/>
                <w:bCs/>
                <w:color w:val="auto"/>
              </w:rPr>
              <w:t>施工工艺</w:t>
            </w:r>
          </w:p>
          <w:p w14:paraId="0A5316F5">
            <w:pPr>
              <w:bidi w:val="0"/>
              <w:rPr>
                <w:rFonts w:hint="eastAsia"/>
                <w:color w:val="auto"/>
              </w:rPr>
            </w:pPr>
            <w:r>
              <w:rPr>
                <w:rFonts w:hint="eastAsia"/>
                <w:color w:val="auto"/>
              </w:rPr>
              <w:t>目前，风电机组吊装车辆主要有履带吊与液压汽车吊两种方式，综合考虑根据风机各部件的重量，并参照各型吊车的吊装工况及现场道路运输条件，吊装作业初拟选用1200吨履带吊1台+300吨汽车辅吊1台。</w:t>
            </w:r>
          </w:p>
          <w:p w14:paraId="4282086F">
            <w:pPr>
              <w:bidi w:val="0"/>
              <w:rPr>
                <w:rFonts w:hint="eastAsia"/>
                <w:color w:val="auto"/>
              </w:rPr>
            </w:pPr>
            <w:r>
              <w:rPr>
                <w:rFonts w:hint="eastAsia"/>
                <w:color w:val="auto"/>
              </w:rPr>
              <w:t>考虑主起重机和辅助起重机、需要存放风机部件的空间及现场地形条件，初拟吊装作业施工步骤为：塔筒吊装→机舱吊装→发电机吊装→叶轮组对→叶轮吊装。根据风机设备和吊装要求，需要在每个机位旁设置吊装场地。</w:t>
            </w:r>
          </w:p>
          <w:p w14:paraId="4063E2B9">
            <w:pPr>
              <w:bidi w:val="0"/>
              <w:rPr>
                <w:rFonts w:hint="eastAsia"/>
                <w:color w:val="auto"/>
                <w:lang w:eastAsia="zh-CN"/>
              </w:rPr>
            </w:pPr>
            <w:r>
              <w:rPr>
                <w:rFonts w:hint="eastAsia"/>
                <w:color w:val="auto"/>
                <w:lang w:eastAsia="zh-CN"/>
              </w:rPr>
              <w:t>（</w:t>
            </w:r>
            <w:r>
              <w:rPr>
                <w:rFonts w:hint="eastAsia"/>
                <w:color w:val="auto"/>
                <w:lang w:val="en-US" w:eastAsia="zh-CN"/>
              </w:rPr>
              <w:t>1</w:t>
            </w:r>
            <w:r>
              <w:rPr>
                <w:rFonts w:hint="eastAsia"/>
                <w:color w:val="auto"/>
                <w:lang w:eastAsia="zh-CN"/>
              </w:rPr>
              <w:t>）基础施工</w:t>
            </w:r>
          </w:p>
          <w:p w14:paraId="0B5CBC51">
            <w:pPr>
              <w:bidi w:val="0"/>
              <w:rPr>
                <w:rFonts w:hint="eastAsia"/>
                <w:color w:val="auto"/>
              </w:rPr>
            </w:pPr>
            <w:r>
              <w:rPr>
                <w:rFonts w:hint="eastAsia"/>
                <w:color w:val="auto"/>
                <w:lang w:val="en-US" w:eastAsia="zh-CN"/>
              </w:rPr>
              <w:t>1</w:t>
            </w:r>
            <w:r>
              <w:rPr>
                <w:rFonts w:hint="eastAsia"/>
                <w:color w:val="auto"/>
                <w:lang w:eastAsia="zh-CN"/>
              </w:rPr>
              <w:t>）</w:t>
            </w:r>
            <w:r>
              <w:rPr>
                <w:rFonts w:hint="eastAsia"/>
                <w:color w:val="auto"/>
              </w:rPr>
              <w:t>基础开挖</w:t>
            </w:r>
          </w:p>
          <w:p w14:paraId="580CD5ED">
            <w:pPr>
              <w:bidi w:val="0"/>
              <w:rPr>
                <w:rFonts w:hint="eastAsia"/>
                <w:color w:val="auto"/>
              </w:rPr>
            </w:pPr>
            <w:r>
              <w:rPr>
                <w:rFonts w:hint="eastAsia"/>
                <w:color w:val="auto"/>
              </w:rPr>
              <w:t>土石方采用机械开挖为主，人工开挖为辅，从上至下分层进行。石方采用小药量爆破，开挖方式按常规进行。开挖渣料除用于回填外，多余部分用于平整场地。</w:t>
            </w:r>
          </w:p>
          <w:p w14:paraId="14021820">
            <w:pPr>
              <w:bidi w:val="0"/>
              <w:rPr>
                <w:rFonts w:hint="eastAsia"/>
                <w:color w:val="auto"/>
              </w:rPr>
            </w:pPr>
            <w:r>
              <w:rPr>
                <w:rFonts w:hint="eastAsia"/>
                <w:color w:val="auto"/>
                <w:lang w:val="en-US" w:eastAsia="zh-CN"/>
              </w:rPr>
              <w:t>2</w:t>
            </w:r>
            <w:r>
              <w:rPr>
                <w:rFonts w:hint="eastAsia"/>
                <w:color w:val="auto"/>
                <w:lang w:eastAsia="zh-CN"/>
              </w:rPr>
              <w:t>）</w:t>
            </w:r>
            <w:r>
              <w:rPr>
                <w:rFonts w:hint="eastAsia"/>
                <w:color w:val="auto"/>
              </w:rPr>
              <w:t>基础回填</w:t>
            </w:r>
          </w:p>
          <w:p w14:paraId="51BEA355">
            <w:pPr>
              <w:bidi w:val="0"/>
              <w:rPr>
                <w:rFonts w:hint="eastAsia"/>
                <w:color w:val="auto"/>
              </w:rPr>
            </w:pPr>
            <w:r>
              <w:rPr>
                <w:rFonts w:hint="eastAsia"/>
                <w:color w:val="auto"/>
              </w:rPr>
              <w:t>回填料采用原地开挖料，分层回填，每层厚度约0.3～0.5m，并压实。</w:t>
            </w:r>
          </w:p>
          <w:p w14:paraId="20B32CC8">
            <w:pPr>
              <w:bidi w:val="0"/>
              <w:rPr>
                <w:rFonts w:hint="eastAsia"/>
                <w:color w:val="auto"/>
                <w:lang w:eastAsia="zh-CN"/>
              </w:rPr>
            </w:pPr>
            <w:r>
              <w:rPr>
                <w:rFonts w:hint="eastAsia"/>
                <w:color w:val="auto"/>
                <w:lang w:val="en-US" w:eastAsia="zh-CN"/>
              </w:rPr>
              <w:t>3）</w:t>
            </w:r>
            <w:r>
              <w:rPr>
                <w:rFonts w:hint="eastAsia"/>
                <w:color w:val="auto"/>
                <w:lang w:eastAsia="zh-CN"/>
              </w:rPr>
              <w:t>混凝土浇筑</w:t>
            </w:r>
          </w:p>
          <w:p w14:paraId="36AC97AD">
            <w:pPr>
              <w:bidi w:val="0"/>
              <w:rPr>
                <w:rFonts w:hint="eastAsia"/>
                <w:color w:val="auto"/>
                <w:lang w:eastAsia="zh-CN"/>
              </w:rPr>
            </w:pPr>
            <w:r>
              <w:rPr>
                <w:rFonts w:hint="eastAsia"/>
                <w:color w:val="auto"/>
                <w:lang w:eastAsia="zh-CN"/>
              </w:rPr>
              <w:t>风电机组基础混凝土应一次浇筑，不留施工缝。单个风机基础需求混凝土量较大，若采用溜槽入仓影响浇筑速度，通常采用罐车运输并结合泵机入仓方式。</w:t>
            </w:r>
          </w:p>
          <w:p w14:paraId="66B7DC86">
            <w:pPr>
              <w:bidi w:val="0"/>
              <w:rPr>
                <w:rFonts w:hint="default"/>
                <w:color w:val="auto"/>
                <w:lang w:val="en-US" w:eastAsia="zh-CN"/>
              </w:rPr>
            </w:pPr>
            <w:r>
              <w:rPr>
                <w:rFonts w:hint="eastAsia"/>
                <w:color w:val="auto"/>
                <w:lang w:val="en-US" w:eastAsia="zh-CN"/>
              </w:rPr>
              <w:t>4）混凝土基础养护措施</w:t>
            </w:r>
          </w:p>
          <w:p w14:paraId="4CF6B4DC">
            <w:pPr>
              <w:bidi w:val="0"/>
              <w:rPr>
                <w:rFonts w:hint="eastAsia"/>
                <w:color w:val="auto"/>
                <w:lang w:eastAsia="zh-CN"/>
              </w:rPr>
            </w:pPr>
            <w:r>
              <w:rPr>
                <w:rFonts w:hint="eastAsia"/>
                <w:color w:val="auto"/>
                <w:lang w:eastAsia="zh-CN"/>
              </w:rPr>
              <w:t>混凝土浇筑完成后，应及时加以覆盖，避免太阳暴晒，保持混凝土表面湿润，混凝土龄期至少21天后才允许安装上部塔筒。</w:t>
            </w:r>
          </w:p>
          <w:p w14:paraId="0853CFEC">
            <w:pPr>
              <w:bidi w:val="0"/>
              <w:rPr>
                <w:rFonts w:hint="eastAsia"/>
                <w:color w:val="auto"/>
                <w:lang w:eastAsia="zh-CN"/>
              </w:rPr>
            </w:pPr>
            <w:r>
              <w:rPr>
                <w:rFonts w:hint="eastAsia"/>
                <w:color w:val="auto"/>
                <w:lang w:eastAsia="zh-CN"/>
              </w:rPr>
              <w:t>（</w:t>
            </w:r>
            <w:r>
              <w:rPr>
                <w:rFonts w:hint="eastAsia"/>
                <w:color w:val="auto"/>
                <w:lang w:val="en-US" w:eastAsia="zh-CN"/>
              </w:rPr>
              <w:t>2</w:t>
            </w:r>
            <w:r>
              <w:rPr>
                <w:rFonts w:hint="eastAsia"/>
                <w:color w:val="auto"/>
                <w:lang w:eastAsia="zh-CN"/>
              </w:rPr>
              <w:t>）风电机组的安装</w:t>
            </w:r>
          </w:p>
          <w:p w14:paraId="3E8C8FC7">
            <w:pPr>
              <w:bidi w:val="0"/>
              <w:rPr>
                <w:rFonts w:hint="eastAsia"/>
                <w:color w:val="auto"/>
              </w:rPr>
            </w:pPr>
            <w:r>
              <w:rPr>
                <w:rFonts w:hint="eastAsia"/>
                <w:color w:val="auto"/>
              </w:rPr>
              <w:t>1）塔筒吊装：塔筒可按以下两种方式吊装，一种是先使用300吨吊车将下段吊装就位，待吊装机舱和风轮前，再吊剩余的中、上段，这样可减少1200吨履带吊的使用时间；另一种方式是，使用300吨吊车和1200吨履带吊配合，一次将塔筒各段全部吊装完成；</w:t>
            </w:r>
          </w:p>
          <w:p w14:paraId="41635960">
            <w:pPr>
              <w:bidi w:val="0"/>
              <w:rPr>
                <w:rFonts w:hint="eastAsia"/>
                <w:color w:val="auto"/>
              </w:rPr>
            </w:pPr>
            <w:r>
              <w:rPr>
                <w:rFonts w:hint="eastAsia"/>
                <w:color w:val="auto"/>
              </w:rPr>
              <w:t>2）风轮组装：风轮组装需要在吊装机舱前提前完成。风轮组装根据风机布置条件，在地面上适当位置将三个叶片与风轮轮毂连接好，并调好叶片安装角，等待吊装；</w:t>
            </w:r>
          </w:p>
          <w:p w14:paraId="631B9832">
            <w:pPr>
              <w:bidi w:val="0"/>
              <w:rPr>
                <w:rFonts w:hint="eastAsia"/>
                <w:color w:val="auto"/>
              </w:rPr>
            </w:pPr>
            <w:r>
              <w:rPr>
                <w:rFonts w:hint="eastAsia"/>
                <w:color w:val="auto"/>
              </w:rPr>
              <w:t>3）机舱吊装：本工程拟选用的风电机组机舱，随机配有装卸工具，装卸工具由前连接和后连接组成。吊装时，取出装卸工具，按相应要求连接好前、后连接，即可进行吊装，将机舱吊装于塔筒顶法兰上。吊装机舱时，应保持机舱底部的偏航轴承下平面处于水平位置；</w:t>
            </w:r>
          </w:p>
          <w:p w14:paraId="5035983E">
            <w:pPr>
              <w:bidi w:val="0"/>
              <w:rPr>
                <w:rFonts w:hint="eastAsia"/>
                <w:color w:val="auto"/>
              </w:rPr>
            </w:pPr>
            <w:r>
              <w:rPr>
                <w:rFonts w:hint="eastAsia"/>
                <w:color w:val="auto"/>
              </w:rPr>
              <w:t>4）风轮吊装：用两台吊车“抬吊”，由主吊车吊住上扬的两个叶片叶根，完成空中90度翻身调向，撤开辅吊车后与已安装好在塔筒顶上的机舱风轮轴对接。对接完成后，切记锁紧机舱内的风轮轴并调紧刹车。</w:t>
            </w:r>
          </w:p>
          <w:p w14:paraId="5CB4084A">
            <w:pPr>
              <w:bidi w:val="0"/>
              <w:rPr>
                <w:rFonts w:hint="eastAsia"/>
                <w:color w:val="auto"/>
              </w:rPr>
            </w:pPr>
            <w:r>
              <w:rPr>
                <w:rFonts w:hint="eastAsia"/>
                <w:color w:val="auto"/>
              </w:rPr>
              <w:t>5）高空组装作业：每部件吊装就位后，即进行其连接工作。由于高</w:t>
            </w:r>
            <w:r>
              <w:rPr>
                <w:rFonts w:hint="eastAsia"/>
                <w:color w:val="auto"/>
                <w:lang w:eastAsia="zh-CN"/>
              </w:rPr>
              <w:t>空</w:t>
            </w:r>
            <w:r>
              <w:rPr>
                <w:rFonts w:hint="eastAsia"/>
                <w:color w:val="auto"/>
              </w:rPr>
              <w:t>风速较大并且连接作业面高，应考虑切实可行的高空作业安全保障措施和保障程序，严格执行高空吊装、高空作业相关规范要求。</w:t>
            </w:r>
          </w:p>
          <w:p w14:paraId="088EA844">
            <w:pPr>
              <w:bidi w:val="0"/>
              <w:rPr>
                <w:rFonts w:hint="eastAsia"/>
                <w:color w:val="auto"/>
                <w:lang w:eastAsia="zh-CN"/>
              </w:rPr>
            </w:pPr>
            <w:r>
              <w:rPr>
                <w:rFonts w:hint="eastAsia"/>
                <w:color w:val="auto"/>
                <w:lang w:eastAsia="zh-CN"/>
              </w:rPr>
              <w:t>（</w:t>
            </w:r>
            <w:r>
              <w:rPr>
                <w:rFonts w:hint="eastAsia"/>
                <w:color w:val="auto"/>
                <w:lang w:val="en-US" w:eastAsia="zh-CN"/>
              </w:rPr>
              <w:t>3</w:t>
            </w:r>
            <w:r>
              <w:rPr>
                <w:rFonts w:hint="eastAsia"/>
                <w:color w:val="auto"/>
                <w:lang w:eastAsia="zh-CN"/>
              </w:rPr>
              <w:t>）箱式变压器的安装</w:t>
            </w:r>
          </w:p>
          <w:p w14:paraId="2E260CBC">
            <w:pPr>
              <w:bidi w:val="0"/>
              <w:rPr>
                <w:rFonts w:hint="eastAsia"/>
                <w:color w:val="auto"/>
                <w:lang w:eastAsia="zh-CN"/>
              </w:rPr>
            </w:pPr>
            <w:r>
              <w:rPr>
                <w:rFonts w:hint="eastAsia"/>
                <w:color w:val="auto"/>
                <w:lang w:eastAsia="zh-CN"/>
              </w:rPr>
              <w:t>本工程需安装箱式变压器4个，箱式变压器在现场进行吊装，其最重件7t，由300t汽车吊一次吊装到位，进出线应做好防水措施。安装要求和方法参照相关安装规范以及生产厂家提供的相关安装技术要求和方法。</w:t>
            </w:r>
          </w:p>
          <w:p w14:paraId="700A0DE6">
            <w:pPr>
              <w:bidi w:val="0"/>
              <w:rPr>
                <w:rFonts w:hint="eastAsia"/>
                <w:color w:val="auto"/>
                <w:lang w:eastAsia="zh-CN"/>
              </w:rPr>
            </w:pPr>
            <w:r>
              <w:rPr>
                <w:rFonts w:hint="eastAsia"/>
                <w:color w:val="auto"/>
                <w:lang w:eastAsia="zh-CN"/>
              </w:rPr>
              <w:t>（</w:t>
            </w:r>
            <w:r>
              <w:rPr>
                <w:rFonts w:hint="eastAsia"/>
                <w:color w:val="auto"/>
                <w:lang w:val="en-US" w:eastAsia="zh-CN"/>
              </w:rPr>
              <w:t>4</w:t>
            </w:r>
            <w:r>
              <w:rPr>
                <w:rFonts w:hint="eastAsia"/>
                <w:color w:val="auto"/>
                <w:lang w:eastAsia="zh-CN"/>
              </w:rPr>
              <w:t>）场内道路的施工</w:t>
            </w:r>
          </w:p>
          <w:p w14:paraId="0DD8D2FD">
            <w:pPr>
              <w:bidi w:val="0"/>
              <w:rPr>
                <w:rFonts w:hint="eastAsia"/>
                <w:color w:val="auto"/>
                <w:lang w:eastAsia="zh-CN"/>
              </w:rPr>
            </w:pPr>
            <w:r>
              <w:rPr>
                <w:rFonts w:hint="eastAsia"/>
                <w:color w:val="auto"/>
                <w:lang w:eastAsia="zh-CN"/>
              </w:rPr>
              <w:t>场内道路拟采用单车道，路面宽4.5m，路基宽5.5m，拟采用石渣路面。道路布置尽量沿场地相对平缓的地带进行，以保证路基挖填高度相对较小，填方路基拟采用自然放坡，局部高填路段设置少量路肩挡墙；挖方路基拟采用自然放坡，局部采取边坡支护措施。由于场地地质情况较为复杂，路基形式需要根据地质工作提供的详细勘测资料予以确定。</w:t>
            </w:r>
          </w:p>
          <w:p w14:paraId="3905CA5E">
            <w:pPr>
              <w:bidi w:val="0"/>
              <w:ind w:left="0" w:leftChars="0" w:firstLine="0" w:firstLineChars="0"/>
              <w:rPr>
                <w:b/>
                <w:bCs/>
                <w:color w:val="auto"/>
              </w:rPr>
            </w:pPr>
            <w:r>
              <w:rPr>
                <w:rFonts w:hint="eastAsia"/>
                <w:b/>
                <w:bCs/>
                <w:color w:val="auto"/>
                <w:lang w:val="en-US" w:eastAsia="zh-CN"/>
              </w:rPr>
              <w:t>2.</w:t>
            </w:r>
            <w:r>
              <w:rPr>
                <w:rFonts w:hint="eastAsia"/>
                <w:b/>
                <w:bCs/>
                <w:color w:val="auto"/>
              </w:rPr>
              <w:t>施工时序及建设周期</w:t>
            </w:r>
          </w:p>
          <w:p w14:paraId="63881EE5">
            <w:pPr>
              <w:bidi w:val="0"/>
              <w:rPr>
                <w:rFonts w:hint="eastAsia"/>
                <w:color w:val="auto"/>
              </w:rPr>
            </w:pPr>
            <w:r>
              <w:rPr>
                <w:rFonts w:hint="eastAsia"/>
                <w:color w:val="auto"/>
              </w:rPr>
              <w:t>西泽风电场（二期）工程初拟总工期为6个月，</w:t>
            </w:r>
            <w:r>
              <w:rPr>
                <w:rFonts w:hint="eastAsia"/>
                <w:color w:val="auto"/>
                <w:lang w:val="en-US" w:eastAsia="zh-CN"/>
              </w:rPr>
              <w:t>计划2026年11月1日开工，2027年4月30日完工，</w:t>
            </w:r>
            <w:r>
              <w:rPr>
                <w:rFonts w:hint="eastAsia"/>
                <w:color w:val="auto"/>
              </w:rPr>
              <w:t>进度安排如下：</w:t>
            </w:r>
          </w:p>
          <w:p w14:paraId="7441B7F8">
            <w:pPr>
              <w:pStyle w:val="45"/>
              <w:bidi w:val="0"/>
              <w:rPr>
                <w:rFonts w:hint="eastAsia"/>
                <w:color w:val="auto"/>
                <w:lang w:val="en-US" w:eastAsia="zh-CN"/>
              </w:rPr>
            </w:pPr>
            <w:r>
              <w:rPr>
                <w:rFonts w:hint="eastAsia"/>
                <w:color w:val="auto"/>
                <w:lang w:val="en-US" w:eastAsia="zh-CN"/>
              </w:rPr>
              <w:t>表2-6  项目</w:t>
            </w:r>
            <w:r>
              <w:rPr>
                <w:color w:val="auto"/>
              </w:rPr>
              <w:t>施工进度</w:t>
            </w:r>
            <w:r>
              <w:rPr>
                <w:rFonts w:hint="eastAsia"/>
                <w:color w:val="auto"/>
                <w:lang w:val="en-US" w:eastAsia="zh-CN"/>
              </w:rPr>
              <w:t>表</w:t>
            </w:r>
          </w:p>
          <w:tbl>
            <w:tblPr>
              <w:tblStyle w:val="20"/>
              <w:tblW w:w="8041"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1522"/>
              <w:gridCol w:w="1086"/>
              <w:gridCol w:w="1086"/>
              <w:gridCol w:w="1086"/>
              <w:gridCol w:w="1086"/>
              <w:gridCol w:w="1086"/>
              <w:gridCol w:w="1089"/>
            </w:tblGrid>
            <w:tr w14:paraId="08B78F1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7" w:hRule="atLeast"/>
                <w:jc w:val="center"/>
              </w:trPr>
              <w:tc>
                <w:tcPr>
                  <w:tcW w:w="946" w:type="pct"/>
                  <w:vMerge w:val="restart"/>
                  <w:noWrap/>
                  <w:vAlign w:val="center"/>
                </w:tcPr>
                <w:p w14:paraId="689DCE3A">
                  <w:pPr>
                    <w:pStyle w:val="37"/>
                    <w:bidi w:val="0"/>
                    <w:rPr>
                      <w:rFonts w:hint="eastAsia"/>
                      <w:b/>
                      <w:bCs/>
                      <w:color w:val="auto"/>
                    </w:rPr>
                  </w:pPr>
                  <w:r>
                    <w:rPr>
                      <w:rFonts w:hint="eastAsia"/>
                      <w:b/>
                      <w:bCs/>
                      <w:color w:val="auto"/>
                      <w:lang w:val="en-US" w:eastAsia="zh-CN"/>
                    </w:rPr>
                    <w:t>施工内容</w:t>
                  </w:r>
                </w:p>
              </w:tc>
              <w:tc>
                <w:tcPr>
                  <w:tcW w:w="4053" w:type="pct"/>
                  <w:gridSpan w:val="6"/>
                  <w:noWrap w:val="0"/>
                  <w:vAlign w:val="center"/>
                </w:tcPr>
                <w:p w14:paraId="1B3B456A">
                  <w:pPr>
                    <w:pStyle w:val="37"/>
                    <w:bidi w:val="0"/>
                    <w:rPr>
                      <w:rFonts w:hint="eastAsia"/>
                      <w:b/>
                      <w:bCs/>
                      <w:color w:val="auto"/>
                      <w:lang w:val="en-US" w:eastAsia="zh-CN"/>
                    </w:rPr>
                  </w:pPr>
                  <w:r>
                    <w:rPr>
                      <w:rFonts w:hint="eastAsia"/>
                      <w:b/>
                      <w:bCs/>
                      <w:color w:val="auto"/>
                      <w:lang w:val="en-US" w:eastAsia="zh-CN"/>
                    </w:rPr>
                    <w:t>施工工期</w:t>
                  </w:r>
                </w:p>
              </w:tc>
            </w:tr>
            <w:tr w14:paraId="14CC41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7" w:hRule="atLeast"/>
                <w:jc w:val="center"/>
              </w:trPr>
              <w:tc>
                <w:tcPr>
                  <w:tcW w:w="946" w:type="pct"/>
                  <w:vMerge w:val="continue"/>
                  <w:tcBorders>
                    <w:bottom w:val="single" w:color="000000" w:sz="12" w:space="0"/>
                  </w:tcBorders>
                  <w:noWrap/>
                  <w:vAlign w:val="center"/>
                </w:tcPr>
                <w:p w14:paraId="15B937BA">
                  <w:pPr>
                    <w:pStyle w:val="37"/>
                    <w:bidi w:val="0"/>
                    <w:rPr>
                      <w:rFonts w:hint="eastAsia"/>
                      <w:b/>
                      <w:bCs/>
                      <w:color w:val="auto"/>
                    </w:rPr>
                  </w:pPr>
                </w:p>
              </w:tc>
              <w:tc>
                <w:tcPr>
                  <w:tcW w:w="675" w:type="pct"/>
                  <w:tcBorders>
                    <w:bottom w:val="single" w:color="000000" w:sz="12" w:space="0"/>
                  </w:tcBorders>
                  <w:noWrap/>
                  <w:vAlign w:val="center"/>
                </w:tcPr>
                <w:p w14:paraId="22903018">
                  <w:pPr>
                    <w:pStyle w:val="37"/>
                    <w:bidi w:val="0"/>
                    <w:rPr>
                      <w:rFonts w:hint="default"/>
                      <w:b/>
                      <w:bCs/>
                      <w:color w:val="auto"/>
                      <w:lang w:val="en-US"/>
                    </w:rPr>
                  </w:pPr>
                  <w:r>
                    <w:rPr>
                      <w:rFonts w:hint="eastAsia"/>
                      <w:b/>
                      <w:bCs/>
                      <w:color w:val="auto"/>
                      <w:lang w:val="en-US" w:eastAsia="zh-CN"/>
                    </w:rPr>
                    <w:t>2026年11月</w:t>
                  </w:r>
                </w:p>
              </w:tc>
              <w:tc>
                <w:tcPr>
                  <w:tcW w:w="675" w:type="pct"/>
                  <w:tcBorders>
                    <w:bottom w:val="single" w:color="000000" w:sz="12" w:space="0"/>
                  </w:tcBorders>
                  <w:noWrap/>
                  <w:vAlign w:val="center"/>
                </w:tcPr>
                <w:p w14:paraId="4277D1DC">
                  <w:pPr>
                    <w:pStyle w:val="37"/>
                    <w:bidi w:val="0"/>
                    <w:rPr>
                      <w:rFonts w:hint="default"/>
                      <w:b/>
                      <w:bCs/>
                      <w:color w:val="auto"/>
                    </w:rPr>
                  </w:pPr>
                  <w:r>
                    <w:rPr>
                      <w:rFonts w:hint="eastAsia"/>
                      <w:b/>
                      <w:bCs/>
                      <w:color w:val="auto"/>
                      <w:lang w:val="en-US" w:eastAsia="zh-CN"/>
                    </w:rPr>
                    <w:t>2026年12月</w:t>
                  </w:r>
                </w:p>
              </w:tc>
              <w:tc>
                <w:tcPr>
                  <w:tcW w:w="675" w:type="pct"/>
                  <w:tcBorders>
                    <w:bottom w:val="single" w:color="000000" w:sz="12" w:space="0"/>
                  </w:tcBorders>
                  <w:noWrap/>
                  <w:vAlign w:val="center"/>
                </w:tcPr>
                <w:p w14:paraId="19B4DB59">
                  <w:pPr>
                    <w:pStyle w:val="37"/>
                    <w:bidi w:val="0"/>
                    <w:rPr>
                      <w:rFonts w:hint="eastAsia"/>
                      <w:b/>
                      <w:bCs/>
                      <w:color w:val="auto"/>
                      <w:lang w:val="en-US" w:eastAsia="zh-CN"/>
                    </w:rPr>
                  </w:pPr>
                  <w:r>
                    <w:rPr>
                      <w:rFonts w:hint="eastAsia"/>
                      <w:b/>
                      <w:bCs/>
                      <w:color w:val="auto"/>
                      <w:lang w:val="en-US" w:eastAsia="zh-CN"/>
                    </w:rPr>
                    <w:t>2027年</w:t>
                  </w:r>
                </w:p>
                <w:p w14:paraId="64D84EF7">
                  <w:pPr>
                    <w:pStyle w:val="37"/>
                    <w:bidi w:val="0"/>
                    <w:rPr>
                      <w:rFonts w:hint="eastAsia"/>
                      <w:b/>
                      <w:bCs/>
                      <w:color w:val="auto"/>
                      <w:lang w:val="en-US" w:eastAsia="zh-CN"/>
                    </w:rPr>
                  </w:pPr>
                  <w:r>
                    <w:rPr>
                      <w:rFonts w:hint="eastAsia"/>
                      <w:b/>
                      <w:bCs/>
                      <w:color w:val="auto"/>
                      <w:lang w:val="en-US" w:eastAsia="zh-CN"/>
                    </w:rPr>
                    <w:t>1月</w:t>
                  </w:r>
                </w:p>
              </w:tc>
              <w:tc>
                <w:tcPr>
                  <w:tcW w:w="675" w:type="pct"/>
                  <w:tcBorders>
                    <w:bottom w:val="single" w:color="000000" w:sz="12" w:space="0"/>
                  </w:tcBorders>
                  <w:noWrap/>
                  <w:vAlign w:val="center"/>
                </w:tcPr>
                <w:p w14:paraId="0FA76867">
                  <w:pPr>
                    <w:pStyle w:val="37"/>
                    <w:bidi w:val="0"/>
                    <w:rPr>
                      <w:rFonts w:hint="eastAsia"/>
                      <w:b/>
                      <w:bCs/>
                      <w:color w:val="auto"/>
                      <w:lang w:val="en-US" w:eastAsia="zh-CN"/>
                    </w:rPr>
                  </w:pPr>
                  <w:r>
                    <w:rPr>
                      <w:rFonts w:hint="eastAsia"/>
                      <w:b/>
                      <w:bCs/>
                      <w:color w:val="auto"/>
                      <w:lang w:val="en-US" w:eastAsia="zh-CN"/>
                    </w:rPr>
                    <w:t>2027年</w:t>
                  </w:r>
                </w:p>
                <w:p w14:paraId="482157D5">
                  <w:pPr>
                    <w:pStyle w:val="37"/>
                    <w:bidi w:val="0"/>
                    <w:rPr>
                      <w:rFonts w:hint="eastAsia"/>
                      <w:b/>
                      <w:bCs/>
                      <w:color w:val="auto"/>
                      <w:lang w:val="en-US" w:eastAsia="zh-CN"/>
                    </w:rPr>
                  </w:pPr>
                  <w:r>
                    <w:rPr>
                      <w:rFonts w:hint="eastAsia"/>
                      <w:b/>
                      <w:bCs/>
                      <w:color w:val="auto"/>
                      <w:lang w:val="en-US" w:eastAsia="zh-CN"/>
                    </w:rPr>
                    <w:t>2月</w:t>
                  </w:r>
                </w:p>
              </w:tc>
              <w:tc>
                <w:tcPr>
                  <w:tcW w:w="675" w:type="pct"/>
                  <w:tcBorders>
                    <w:bottom w:val="single" w:color="000000" w:sz="12" w:space="0"/>
                  </w:tcBorders>
                  <w:noWrap/>
                  <w:vAlign w:val="center"/>
                </w:tcPr>
                <w:p w14:paraId="7703E2A4">
                  <w:pPr>
                    <w:pStyle w:val="37"/>
                    <w:bidi w:val="0"/>
                    <w:rPr>
                      <w:rFonts w:hint="eastAsia"/>
                      <w:b/>
                      <w:bCs/>
                      <w:color w:val="auto"/>
                      <w:lang w:val="en-US" w:eastAsia="zh-CN"/>
                    </w:rPr>
                  </w:pPr>
                  <w:r>
                    <w:rPr>
                      <w:rFonts w:hint="eastAsia"/>
                      <w:b/>
                      <w:bCs/>
                      <w:color w:val="auto"/>
                      <w:lang w:val="en-US" w:eastAsia="zh-CN"/>
                    </w:rPr>
                    <w:t>2027年</w:t>
                  </w:r>
                </w:p>
                <w:p w14:paraId="066F18BD">
                  <w:pPr>
                    <w:pStyle w:val="37"/>
                    <w:bidi w:val="0"/>
                    <w:rPr>
                      <w:rFonts w:hint="eastAsia"/>
                      <w:b/>
                      <w:bCs/>
                      <w:color w:val="auto"/>
                      <w:lang w:val="en-US" w:eastAsia="zh-CN"/>
                    </w:rPr>
                  </w:pPr>
                  <w:r>
                    <w:rPr>
                      <w:rFonts w:hint="eastAsia"/>
                      <w:b/>
                      <w:bCs/>
                      <w:color w:val="auto"/>
                      <w:lang w:val="en-US" w:eastAsia="zh-CN"/>
                    </w:rPr>
                    <w:t>3月</w:t>
                  </w:r>
                </w:p>
              </w:tc>
              <w:tc>
                <w:tcPr>
                  <w:tcW w:w="677" w:type="pct"/>
                  <w:tcBorders>
                    <w:bottom w:val="single" w:color="000000" w:sz="12" w:space="0"/>
                  </w:tcBorders>
                  <w:noWrap/>
                  <w:vAlign w:val="center"/>
                </w:tcPr>
                <w:p w14:paraId="73089670">
                  <w:pPr>
                    <w:pStyle w:val="37"/>
                    <w:bidi w:val="0"/>
                    <w:rPr>
                      <w:rFonts w:hint="eastAsia"/>
                      <w:b/>
                      <w:bCs/>
                      <w:color w:val="auto"/>
                      <w:lang w:val="en-US" w:eastAsia="zh-CN"/>
                    </w:rPr>
                  </w:pPr>
                  <w:r>
                    <w:rPr>
                      <w:rFonts w:hint="eastAsia"/>
                      <w:b/>
                      <w:bCs/>
                      <w:color w:val="auto"/>
                      <w:lang w:val="en-US" w:eastAsia="zh-CN"/>
                    </w:rPr>
                    <w:t>2027年</w:t>
                  </w:r>
                </w:p>
                <w:p w14:paraId="397DADB1">
                  <w:pPr>
                    <w:pStyle w:val="37"/>
                    <w:bidi w:val="0"/>
                    <w:rPr>
                      <w:rFonts w:hint="default"/>
                      <w:b/>
                      <w:bCs/>
                      <w:color w:val="auto"/>
                    </w:rPr>
                  </w:pPr>
                  <w:r>
                    <w:rPr>
                      <w:rFonts w:hint="eastAsia"/>
                      <w:b/>
                      <w:bCs/>
                      <w:color w:val="auto"/>
                      <w:lang w:val="en-US" w:eastAsia="zh-CN"/>
                    </w:rPr>
                    <w:t>4月</w:t>
                  </w:r>
                </w:p>
              </w:tc>
            </w:tr>
            <w:tr w14:paraId="003E904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7" w:hRule="atLeast"/>
                <w:jc w:val="center"/>
              </w:trPr>
              <w:tc>
                <w:tcPr>
                  <w:tcW w:w="946" w:type="pct"/>
                  <w:tcBorders>
                    <w:top w:val="single" w:color="000000" w:sz="12" w:space="0"/>
                    <w:tl2br w:val="nil"/>
                    <w:tr2bl w:val="nil"/>
                  </w:tcBorders>
                  <w:shd w:val="clear" w:color="auto" w:fill="auto"/>
                  <w:noWrap/>
                  <w:vAlign w:val="center"/>
                </w:tcPr>
                <w:p w14:paraId="1C49EC92">
                  <w:pPr>
                    <w:pStyle w:val="37"/>
                    <w:bidi w:val="0"/>
                    <w:rPr>
                      <w:rFonts w:hint="default"/>
                      <w:color w:val="auto"/>
                      <w:lang w:val="en-US" w:eastAsia="zh-CN"/>
                    </w:rPr>
                  </w:pPr>
                  <w:r>
                    <w:rPr>
                      <w:rFonts w:hint="eastAsia"/>
                      <w:color w:val="auto"/>
                      <w:lang w:val="en-US" w:eastAsia="zh-CN"/>
                    </w:rPr>
                    <w:t>施工材料准备</w:t>
                  </w:r>
                </w:p>
              </w:tc>
              <w:tc>
                <w:tcPr>
                  <w:tcW w:w="675" w:type="pct"/>
                  <w:tcBorders>
                    <w:top w:val="single" w:color="000000" w:sz="12" w:space="0"/>
                    <w:tl2br w:val="nil"/>
                    <w:tr2bl w:val="nil"/>
                  </w:tcBorders>
                  <w:shd w:val="clear" w:color="auto" w:fill="00B050"/>
                  <w:noWrap/>
                  <w:vAlign w:val="center"/>
                </w:tcPr>
                <w:p w14:paraId="5EC1020C">
                  <w:pPr>
                    <w:pStyle w:val="37"/>
                    <w:bidi w:val="0"/>
                    <w:rPr>
                      <w:rFonts w:hint="default"/>
                      <w:color w:val="auto"/>
                    </w:rPr>
                  </w:pPr>
                </w:p>
              </w:tc>
              <w:tc>
                <w:tcPr>
                  <w:tcW w:w="675" w:type="pct"/>
                  <w:tcBorders>
                    <w:top w:val="single" w:color="000000" w:sz="12" w:space="0"/>
                    <w:tl2br w:val="nil"/>
                    <w:tr2bl w:val="nil"/>
                  </w:tcBorders>
                  <w:noWrap/>
                  <w:vAlign w:val="center"/>
                </w:tcPr>
                <w:p w14:paraId="4F7AA9E6">
                  <w:pPr>
                    <w:pStyle w:val="37"/>
                    <w:bidi w:val="0"/>
                    <w:rPr>
                      <w:rFonts w:hint="default"/>
                      <w:color w:val="auto"/>
                    </w:rPr>
                  </w:pPr>
                </w:p>
              </w:tc>
              <w:tc>
                <w:tcPr>
                  <w:tcW w:w="675" w:type="pct"/>
                  <w:tcBorders>
                    <w:top w:val="single" w:color="000000" w:sz="12" w:space="0"/>
                    <w:tl2br w:val="nil"/>
                    <w:tr2bl w:val="nil"/>
                  </w:tcBorders>
                  <w:noWrap/>
                  <w:vAlign w:val="center"/>
                </w:tcPr>
                <w:p w14:paraId="2D2DCE08">
                  <w:pPr>
                    <w:pStyle w:val="37"/>
                    <w:bidi w:val="0"/>
                    <w:rPr>
                      <w:rFonts w:hint="default"/>
                      <w:color w:val="auto"/>
                    </w:rPr>
                  </w:pPr>
                </w:p>
              </w:tc>
              <w:tc>
                <w:tcPr>
                  <w:tcW w:w="675" w:type="pct"/>
                  <w:tcBorders>
                    <w:top w:val="single" w:color="000000" w:sz="12" w:space="0"/>
                    <w:tl2br w:val="nil"/>
                    <w:tr2bl w:val="nil"/>
                  </w:tcBorders>
                  <w:noWrap/>
                  <w:vAlign w:val="center"/>
                </w:tcPr>
                <w:p w14:paraId="72993927">
                  <w:pPr>
                    <w:pStyle w:val="37"/>
                    <w:bidi w:val="0"/>
                    <w:rPr>
                      <w:rFonts w:hint="default"/>
                      <w:color w:val="auto"/>
                    </w:rPr>
                  </w:pPr>
                </w:p>
              </w:tc>
              <w:tc>
                <w:tcPr>
                  <w:tcW w:w="675" w:type="pct"/>
                  <w:tcBorders>
                    <w:top w:val="single" w:color="000000" w:sz="12" w:space="0"/>
                    <w:tl2br w:val="nil"/>
                    <w:tr2bl w:val="nil"/>
                  </w:tcBorders>
                  <w:noWrap/>
                  <w:vAlign w:val="center"/>
                </w:tcPr>
                <w:p w14:paraId="604F21B3">
                  <w:pPr>
                    <w:pStyle w:val="37"/>
                    <w:bidi w:val="0"/>
                    <w:rPr>
                      <w:rFonts w:hint="default"/>
                      <w:color w:val="auto"/>
                    </w:rPr>
                  </w:pPr>
                </w:p>
              </w:tc>
              <w:tc>
                <w:tcPr>
                  <w:tcW w:w="677" w:type="pct"/>
                  <w:tcBorders>
                    <w:top w:val="single" w:color="000000" w:sz="12" w:space="0"/>
                    <w:tl2br w:val="nil"/>
                    <w:tr2bl w:val="nil"/>
                  </w:tcBorders>
                  <w:noWrap/>
                  <w:vAlign w:val="center"/>
                </w:tcPr>
                <w:p w14:paraId="499CFBE4">
                  <w:pPr>
                    <w:pStyle w:val="37"/>
                    <w:bidi w:val="0"/>
                    <w:rPr>
                      <w:rFonts w:hint="default"/>
                      <w:color w:val="auto"/>
                    </w:rPr>
                  </w:pPr>
                </w:p>
              </w:tc>
            </w:tr>
            <w:tr w14:paraId="2F8CEB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7" w:hRule="atLeast"/>
                <w:jc w:val="center"/>
              </w:trPr>
              <w:tc>
                <w:tcPr>
                  <w:tcW w:w="946" w:type="pct"/>
                  <w:tcBorders>
                    <w:tl2br w:val="nil"/>
                    <w:tr2bl w:val="nil"/>
                  </w:tcBorders>
                  <w:shd w:val="clear" w:color="auto" w:fill="auto"/>
                  <w:noWrap/>
                  <w:vAlign w:val="center"/>
                </w:tcPr>
                <w:p w14:paraId="0F9FA11B">
                  <w:pPr>
                    <w:pStyle w:val="37"/>
                    <w:bidi w:val="0"/>
                    <w:rPr>
                      <w:rFonts w:hint="eastAsia"/>
                      <w:color w:val="auto"/>
                    </w:rPr>
                  </w:pPr>
                  <w:r>
                    <w:rPr>
                      <w:rFonts w:hint="eastAsia"/>
                      <w:color w:val="auto"/>
                    </w:rPr>
                    <w:t>场内道路修建</w:t>
                  </w:r>
                </w:p>
              </w:tc>
              <w:tc>
                <w:tcPr>
                  <w:tcW w:w="675" w:type="pct"/>
                  <w:tcBorders>
                    <w:tl2br w:val="nil"/>
                    <w:tr2bl w:val="nil"/>
                  </w:tcBorders>
                  <w:shd w:val="clear" w:color="auto" w:fill="auto"/>
                  <w:noWrap/>
                  <w:vAlign w:val="center"/>
                </w:tcPr>
                <w:p w14:paraId="0735B688">
                  <w:pPr>
                    <w:pStyle w:val="37"/>
                    <w:bidi w:val="0"/>
                    <w:rPr>
                      <w:rFonts w:hint="default"/>
                      <w:color w:val="auto"/>
                    </w:rPr>
                  </w:pPr>
                </w:p>
              </w:tc>
              <w:tc>
                <w:tcPr>
                  <w:tcW w:w="675" w:type="pct"/>
                  <w:tcBorders>
                    <w:tl2br w:val="nil"/>
                    <w:tr2bl w:val="nil"/>
                  </w:tcBorders>
                  <w:shd w:val="clear" w:color="auto" w:fill="00B050"/>
                  <w:noWrap/>
                  <w:vAlign w:val="center"/>
                </w:tcPr>
                <w:p w14:paraId="5F942425">
                  <w:pPr>
                    <w:pStyle w:val="37"/>
                    <w:bidi w:val="0"/>
                    <w:rPr>
                      <w:rFonts w:hint="default"/>
                      <w:color w:val="auto"/>
                    </w:rPr>
                  </w:pPr>
                </w:p>
              </w:tc>
              <w:tc>
                <w:tcPr>
                  <w:tcW w:w="675" w:type="pct"/>
                  <w:tcBorders>
                    <w:tl2br w:val="nil"/>
                    <w:tr2bl w:val="nil"/>
                  </w:tcBorders>
                  <w:shd w:val="clear" w:color="auto" w:fill="auto"/>
                  <w:noWrap/>
                  <w:vAlign w:val="center"/>
                </w:tcPr>
                <w:p w14:paraId="4A195C2A">
                  <w:pPr>
                    <w:pStyle w:val="37"/>
                    <w:bidi w:val="0"/>
                    <w:rPr>
                      <w:rFonts w:hint="default"/>
                      <w:color w:val="auto"/>
                    </w:rPr>
                  </w:pPr>
                </w:p>
              </w:tc>
              <w:tc>
                <w:tcPr>
                  <w:tcW w:w="675" w:type="pct"/>
                  <w:tcBorders>
                    <w:tl2br w:val="nil"/>
                    <w:tr2bl w:val="nil"/>
                  </w:tcBorders>
                  <w:shd w:val="clear" w:color="auto" w:fill="auto"/>
                  <w:noWrap/>
                  <w:vAlign w:val="center"/>
                </w:tcPr>
                <w:p w14:paraId="14B60421">
                  <w:pPr>
                    <w:pStyle w:val="37"/>
                    <w:bidi w:val="0"/>
                    <w:rPr>
                      <w:rFonts w:hint="default"/>
                      <w:color w:val="auto"/>
                    </w:rPr>
                  </w:pPr>
                </w:p>
              </w:tc>
              <w:tc>
                <w:tcPr>
                  <w:tcW w:w="675" w:type="pct"/>
                  <w:tcBorders>
                    <w:tl2br w:val="nil"/>
                    <w:tr2bl w:val="nil"/>
                  </w:tcBorders>
                  <w:shd w:val="clear" w:color="auto" w:fill="auto"/>
                  <w:noWrap/>
                  <w:vAlign w:val="center"/>
                </w:tcPr>
                <w:p w14:paraId="61B7C04C">
                  <w:pPr>
                    <w:pStyle w:val="37"/>
                    <w:bidi w:val="0"/>
                    <w:rPr>
                      <w:rFonts w:hint="default"/>
                      <w:color w:val="auto"/>
                    </w:rPr>
                  </w:pPr>
                </w:p>
              </w:tc>
              <w:tc>
                <w:tcPr>
                  <w:tcW w:w="677" w:type="pct"/>
                  <w:tcBorders>
                    <w:tl2br w:val="nil"/>
                    <w:tr2bl w:val="nil"/>
                  </w:tcBorders>
                  <w:shd w:val="clear" w:color="auto" w:fill="auto"/>
                  <w:noWrap/>
                  <w:vAlign w:val="center"/>
                </w:tcPr>
                <w:p w14:paraId="7130D048">
                  <w:pPr>
                    <w:pStyle w:val="37"/>
                    <w:bidi w:val="0"/>
                    <w:rPr>
                      <w:rFonts w:hint="default"/>
                      <w:color w:val="auto"/>
                    </w:rPr>
                  </w:pPr>
                </w:p>
              </w:tc>
            </w:tr>
            <w:tr w14:paraId="3029A4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7" w:hRule="atLeast"/>
                <w:jc w:val="center"/>
              </w:trPr>
              <w:tc>
                <w:tcPr>
                  <w:tcW w:w="946" w:type="pct"/>
                  <w:tcBorders>
                    <w:tl2br w:val="nil"/>
                    <w:tr2bl w:val="nil"/>
                  </w:tcBorders>
                  <w:shd w:val="clear" w:color="auto" w:fill="auto"/>
                  <w:noWrap/>
                  <w:vAlign w:val="center"/>
                </w:tcPr>
                <w:p w14:paraId="04F1C995">
                  <w:pPr>
                    <w:pStyle w:val="37"/>
                    <w:bidi w:val="0"/>
                    <w:rPr>
                      <w:rFonts w:hint="eastAsia"/>
                      <w:color w:val="auto"/>
                      <w:lang w:eastAsia="zh-CN"/>
                    </w:rPr>
                  </w:pPr>
                  <w:r>
                    <w:rPr>
                      <w:rFonts w:hint="eastAsia"/>
                      <w:color w:val="auto"/>
                      <w:lang w:val="en-US" w:eastAsia="zh-CN"/>
                    </w:rPr>
                    <w:t>土石方阶段</w:t>
                  </w:r>
                </w:p>
              </w:tc>
              <w:tc>
                <w:tcPr>
                  <w:tcW w:w="675" w:type="pct"/>
                  <w:tcBorders>
                    <w:tl2br w:val="nil"/>
                    <w:tr2bl w:val="nil"/>
                  </w:tcBorders>
                  <w:shd w:val="clear" w:color="auto" w:fill="auto"/>
                  <w:noWrap/>
                  <w:vAlign w:val="center"/>
                </w:tcPr>
                <w:p w14:paraId="14CA2969">
                  <w:pPr>
                    <w:pStyle w:val="37"/>
                    <w:bidi w:val="0"/>
                    <w:rPr>
                      <w:rFonts w:hint="default"/>
                      <w:color w:val="auto"/>
                    </w:rPr>
                  </w:pPr>
                </w:p>
              </w:tc>
              <w:tc>
                <w:tcPr>
                  <w:tcW w:w="675" w:type="pct"/>
                  <w:tcBorders>
                    <w:tl2br w:val="nil"/>
                    <w:tr2bl w:val="nil"/>
                  </w:tcBorders>
                  <w:shd w:val="clear" w:color="auto" w:fill="00B050"/>
                  <w:noWrap/>
                  <w:vAlign w:val="center"/>
                </w:tcPr>
                <w:p w14:paraId="009558D0">
                  <w:pPr>
                    <w:pStyle w:val="37"/>
                    <w:bidi w:val="0"/>
                    <w:rPr>
                      <w:rFonts w:hint="eastAsia"/>
                      <w:color w:val="auto"/>
                    </w:rPr>
                  </w:pPr>
                </w:p>
              </w:tc>
              <w:tc>
                <w:tcPr>
                  <w:tcW w:w="675" w:type="pct"/>
                  <w:tcBorders>
                    <w:tl2br w:val="nil"/>
                    <w:tr2bl w:val="nil"/>
                  </w:tcBorders>
                  <w:shd w:val="clear" w:color="auto" w:fill="00B050"/>
                  <w:noWrap/>
                  <w:vAlign w:val="center"/>
                </w:tcPr>
                <w:p w14:paraId="0183AE54">
                  <w:pPr>
                    <w:pStyle w:val="37"/>
                    <w:bidi w:val="0"/>
                    <w:rPr>
                      <w:rFonts w:hint="eastAsia"/>
                      <w:color w:val="auto"/>
                    </w:rPr>
                  </w:pPr>
                </w:p>
              </w:tc>
              <w:tc>
                <w:tcPr>
                  <w:tcW w:w="675" w:type="pct"/>
                  <w:tcBorders>
                    <w:tl2br w:val="nil"/>
                    <w:tr2bl w:val="nil"/>
                  </w:tcBorders>
                  <w:shd w:val="clear" w:color="auto" w:fill="auto"/>
                  <w:noWrap/>
                  <w:vAlign w:val="center"/>
                </w:tcPr>
                <w:p w14:paraId="36CC6D5C">
                  <w:pPr>
                    <w:pStyle w:val="37"/>
                    <w:bidi w:val="0"/>
                    <w:rPr>
                      <w:rFonts w:hint="eastAsia"/>
                      <w:color w:val="auto"/>
                    </w:rPr>
                  </w:pPr>
                </w:p>
              </w:tc>
              <w:tc>
                <w:tcPr>
                  <w:tcW w:w="675" w:type="pct"/>
                  <w:tcBorders>
                    <w:tl2br w:val="nil"/>
                    <w:tr2bl w:val="nil"/>
                  </w:tcBorders>
                  <w:shd w:val="clear" w:color="auto" w:fill="auto"/>
                  <w:noWrap/>
                  <w:vAlign w:val="center"/>
                </w:tcPr>
                <w:p w14:paraId="3B61B116">
                  <w:pPr>
                    <w:pStyle w:val="37"/>
                    <w:bidi w:val="0"/>
                    <w:rPr>
                      <w:rFonts w:hint="eastAsia"/>
                      <w:color w:val="auto"/>
                    </w:rPr>
                  </w:pPr>
                </w:p>
              </w:tc>
              <w:tc>
                <w:tcPr>
                  <w:tcW w:w="677" w:type="pct"/>
                  <w:tcBorders>
                    <w:tl2br w:val="nil"/>
                    <w:tr2bl w:val="nil"/>
                  </w:tcBorders>
                  <w:shd w:val="clear" w:color="auto" w:fill="auto"/>
                  <w:noWrap/>
                  <w:vAlign w:val="center"/>
                </w:tcPr>
                <w:p w14:paraId="13FF7C32">
                  <w:pPr>
                    <w:pStyle w:val="37"/>
                    <w:bidi w:val="0"/>
                    <w:rPr>
                      <w:rFonts w:hint="default"/>
                      <w:color w:val="auto"/>
                    </w:rPr>
                  </w:pPr>
                </w:p>
              </w:tc>
            </w:tr>
            <w:tr w14:paraId="11930AF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7" w:hRule="atLeast"/>
                <w:jc w:val="center"/>
              </w:trPr>
              <w:tc>
                <w:tcPr>
                  <w:tcW w:w="946" w:type="pct"/>
                  <w:tcBorders>
                    <w:tl2br w:val="nil"/>
                    <w:tr2bl w:val="nil"/>
                  </w:tcBorders>
                  <w:shd w:val="clear" w:color="auto" w:fill="auto"/>
                  <w:noWrap/>
                  <w:vAlign w:val="center"/>
                </w:tcPr>
                <w:p w14:paraId="4691A928">
                  <w:pPr>
                    <w:pStyle w:val="37"/>
                    <w:bidi w:val="0"/>
                    <w:rPr>
                      <w:rFonts w:hint="eastAsia"/>
                      <w:color w:val="auto"/>
                    </w:rPr>
                  </w:pPr>
                  <w:r>
                    <w:rPr>
                      <w:rFonts w:hint="eastAsia"/>
                      <w:color w:val="auto"/>
                      <w:lang w:val="en-US" w:eastAsia="zh-CN"/>
                    </w:rPr>
                    <w:t>混凝土浇筑</w:t>
                  </w:r>
                </w:p>
              </w:tc>
              <w:tc>
                <w:tcPr>
                  <w:tcW w:w="675" w:type="pct"/>
                  <w:tcBorders>
                    <w:tl2br w:val="nil"/>
                    <w:tr2bl w:val="nil"/>
                  </w:tcBorders>
                  <w:shd w:val="clear" w:color="auto" w:fill="auto"/>
                  <w:noWrap/>
                  <w:vAlign w:val="center"/>
                </w:tcPr>
                <w:p w14:paraId="2CA573A7">
                  <w:pPr>
                    <w:pStyle w:val="37"/>
                    <w:bidi w:val="0"/>
                    <w:rPr>
                      <w:rFonts w:hint="default"/>
                      <w:color w:val="auto"/>
                    </w:rPr>
                  </w:pPr>
                </w:p>
              </w:tc>
              <w:tc>
                <w:tcPr>
                  <w:tcW w:w="675" w:type="pct"/>
                  <w:tcBorders>
                    <w:tl2br w:val="nil"/>
                    <w:tr2bl w:val="nil"/>
                  </w:tcBorders>
                  <w:shd w:val="clear" w:color="auto" w:fill="auto"/>
                  <w:noWrap/>
                  <w:vAlign w:val="center"/>
                </w:tcPr>
                <w:p w14:paraId="307FE33E">
                  <w:pPr>
                    <w:pStyle w:val="37"/>
                    <w:bidi w:val="0"/>
                    <w:rPr>
                      <w:rFonts w:hint="default"/>
                      <w:color w:val="auto"/>
                    </w:rPr>
                  </w:pPr>
                </w:p>
              </w:tc>
              <w:tc>
                <w:tcPr>
                  <w:tcW w:w="675" w:type="pct"/>
                  <w:tcBorders>
                    <w:tl2br w:val="nil"/>
                    <w:tr2bl w:val="nil"/>
                  </w:tcBorders>
                  <w:shd w:val="clear" w:color="auto" w:fill="00B050"/>
                  <w:noWrap/>
                  <w:vAlign w:val="center"/>
                </w:tcPr>
                <w:p w14:paraId="39A7D920">
                  <w:pPr>
                    <w:pStyle w:val="37"/>
                    <w:bidi w:val="0"/>
                    <w:rPr>
                      <w:rFonts w:hint="default"/>
                      <w:color w:val="auto"/>
                    </w:rPr>
                  </w:pPr>
                </w:p>
              </w:tc>
              <w:tc>
                <w:tcPr>
                  <w:tcW w:w="675" w:type="pct"/>
                  <w:tcBorders>
                    <w:tl2br w:val="nil"/>
                    <w:tr2bl w:val="nil"/>
                  </w:tcBorders>
                  <w:shd w:val="clear" w:color="auto" w:fill="00B050"/>
                  <w:noWrap/>
                  <w:vAlign w:val="center"/>
                </w:tcPr>
                <w:p w14:paraId="52C80E27">
                  <w:pPr>
                    <w:pStyle w:val="37"/>
                    <w:bidi w:val="0"/>
                    <w:rPr>
                      <w:rFonts w:hint="default"/>
                      <w:color w:val="auto"/>
                    </w:rPr>
                  </w:pPr>
                </w:p>
              </w:tc>
              <w:tc>
                <w:tcPr>
                  <w:tcW w:w="675" w:type="pct"/>
                  <w:tcBorders>
                    <w:tl2br w:val="nil"/>
                    <w:tr2bl w:val="nil"/>
                  </w:tcBorders>
                  <w:shd w:val="clear" w:color="auto" w:fill="auto"/>
                  <w:noWrap/>
                  <w:vAlign w:val="center"/>
                </w:tcPr>
                <w:p w14:paraId="1783140D">
                  <w:pPr>
                    <w:pStyle w:val="37"/>
                    <w:bidi w:val="0"/>
                    <w:rPr>
                      <w:rFonts w:hint="default"/>
                      <w:color w:val="auto"/>
                    </w:rPr>
                  </w:pPr>
                </w:p>
              </w:tc>
              <w:tc>
                <w:tcPr>
                  <w:tcW w:w="677" w:type="pct"/>
                  <w:tcBorders>
                    <w:tl2br w:val="nil"/>
                    <w:tr2bl w:val="nil"/>
                  </w:tcBorders>
                  <w:shd w:val="clear" w:color="auto" w:fill="auto"/>
                  <w:noWrap/>
                  <w:vAlign w:val="center"/>
                </w:tcPr>
                <w:p w14:paraId="2C000105">
                  <w:pPr>
                    <w:pStyle w:val="37"/>
                    <w:bidi w:val="0"/>
                    <w:rPr>
                      <w:rFonts w:hint="eastAsia"/>
                      <w:color w:val="auto"/>
                    </w:rPr>
                  </w:pPr>
                </w:p>
              </w:tc>
            </w:tr>
            <w:tr w14:paraId="04F896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6" w:type="pct"/>
                  <w:tcBorders>
                    <w:tl2br w:val="nil"/>
                    <w:tr2bl w:val="nil"/>
                  </w:tcBorders>
                  <w:shd w:val="clear" w:color="auto" w:fill="auto"/>
                  <w:noWrap/>
                  <w:vAlign w:val="center"/>
                </w:tcPr>
                <w:p w14:paraId="4187D7E0">
                  <w:pPr>
                    <w:pStyle w:val="37"/>
                    <w:bidi w:val="0"/>
                    <w:rPr>
                      <w:rFonts w:hint="eastAsia"/>
                      <w:color w:val="auto"/>
                      <w:lang w:val="en-US" w:eastAsia="zh-CN"/>
                    </w:rPr>
                  </w:pPr>
                  <w:r>
                    <w:rPr>
                      <w:rFonts w:hint="eastAsia"/>
                      <w:color w:val="auto"/>
                      <w:lang w:val="en-US" w:eastAsia="zh-CN"/>
                    </w:rPr>
                    <w:t>设备安装</w:t>
                  </w:r>
                </w:p>
              </w:tc>
              <w:tc>
                <w:tcPr>
                  <w:tcW w:w="675" w:type="pct"/>
                  <w:tcBorders>
                    <w:tl2br w:val="nil"/>
                    <w:tr2bl w:val="nil"/>
                  </w:tcBorders>
                  <w:shd w:val="clear" w:color="auto" w:fill="auto"/>
                  <w:noWrap/>
                  <w:vAlign w:val="center"/>
                </w:tcPr>
                <w:p w14:paraId="71D1572E">
                  <w:pPr>
                    <w:pStyle w:val="37"/>
                    <w:bidi w:val="0"/>
                    <w:rPr>
                      <w:rFonts w:hint="default"/>
                      <w:color w:val="auto"/>
                    </w:rPr>
                  </w:pPr>
                </w:p>
              </w:tc>
              <w:tc>
                <w:tcPr>
                  <w:tcW w:w="675" w:type="pct"/>
                  <w:tcBorders>
                    <w:tl2br w:val="nil"/>
                    <w:tr2bl w:val="nil"/>
                  </w:tcBorders>
                  <w:shd w:val="clear" w:color="auto" w:fill="auto"/>
                  <w:noWrap/>
                  <w:vAlign w:val="center"/>
                </w:tcPr>
                <w:p w14:paraId="514605C9">
                  <w:pPr>
                    <w:pStyle w:val="37"/>
                    <w:bidi w:val="0"/>
                    <w:rPr>
                      <w:rFonts w:hint="default"/>
                      <w:color w:val="auto"/>
                    </w:rPr>
                  </w:pPr>
                </w:p>
              </w:tc>
              <w:tc>
                <w:tcPr>
                  <w:tcW w:w="675" w:type="pct"/>
                  <w:tcBorders>
                    <w:tl2br w:val="nil"/>
                    <w:tr2bl w:val="nil"/>
                  </w:tcBorders>
                  <w:shd w:val="clear" w:color="auto" w:fill="auto"/>
                  <w:noWrap/>
                  <w:vAlign w:val="center"/>
                </w:tcPr>
                <w:p w14:paraId="1CF52378">
                  <w:pPr>
                    <w:pStyle w:val="37"/>
                    <w:bidi w:val="0"/>
                    <w:rPr>
                      <w:rFonts w:hint="default"/>
                      <w:color w:val="auto"/>
                    </w:rPr>
                  </w:pPr>
                </w:p>
              </w:tc>
              <w:tc>
                <w:tcPr>
                  <w:tcW w:w="675" w:type="pct"/>
                  <w:tcBorders>
                    <w:tl2br w:val="nil"/>
                    <w:tr2bl w:val="nil"/>
                  </w:tcBorders>
                  <w:shd w:val="clear" w:color="auto" w:fill="auto"/>
                  <w:noWrap/>
                  <w:vAlign w:val="center"/>
                </w:tcPr>
                <w:p w14:paraId="77EEFF47">
                  <w:pPr>
                    <w:pStyle w:val="37"/>
                    <w:bidi w:val="0"/>
                    <w:rPr>
                      <w:rFonts w:hint="default"/>
                      <w:color w:val="auto"/>
                    </w:rPr>
                  </w:pPr>
                </w:p>
              </w:tc>
              <w:tc>
                <w:tcPr>
                  <w:tcW w:w="675" w:type="pct"/>
                  <w:tcBorders>
                    <w:tl2br w:val="nil"/>
                    <w:tr2bl w:val="nil"/>
                  </w:tcBorders>
                  <w:shd w:val="clear" w:color="auto" w:fill="00B050"/>
                  <w:noWrap/>
                  <w:vAlign w:val="center"/>
                </w:tcPr>
                <w:p w14:paraId="50E1911D">
                  <w:pPr>
                    <w:pStyle w:val="37"/>
                    <w:bidi w:val="0"/>
                    <w:rPr>
                      <w:rFonts w:hint="default"/>
                      <w:color w:val="auto"/>
                    </w:rPr>
                  </w:pPr>
                </w:p>
              </w:tc>
              <w:tc>
                <w:tcPr>
                  <w:tcW w:w="677" w:type="pct"/>
                  <w:tcBorders>
                    <w:tl2br w:val="nil"/>
                    <w:tr2bl w:val="nil"/>
                  </w:tcBorders>
                  <w:shd w:val="clear" w:color="auto" w:fill="auto"/>
                  <w:noWrap/>
                  <w:vAlign w:val="center"/>
                </w:tcPr>
                <w:p w14:paraId="7735CA21">
                  <w:pPr>
                    <w:pStyle w:val="37"/>
                    <w:bidi w:val="0"/>
                    <w:rPr>
                      <w:rFonts w:hint="eastAsia"/>
                      <w:color w:val="auto"/>
                    </w:rPr>
                  </w:pPr>
                </w:p>
              </w:tc>
            </w:tr>
            <w:tr w14:paraId="164F54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7" w:hRule="atLeast"/>
                <w:jc w:val="center"/>
              </w:trPr>
              <w:tc>
                <w:tcPr>
                  <w:tcW w:w="946" w:type="pct"/>
                  <w:tcBorders>
                    <w:tl2br w:val="nil"/>
                    <w:tr2bl w:val="nil"/>
                  </w:tcBorders>
                  <w:shd w:val="clear" w:color="auto" w:fill="auto"/>
                  <w:noWrap/>
                  <w:vAlign w:val="center"/>
                </w:tcPr>
                <w:p w14:paraId="587A793D">
                  <w:pPr>
                    <w:pStyle w:val="37"/>
                    <w:bidi w:val="0"/>
                    <w:rPr>
                      <w:rFonts w:hint="eastAsia"/>
                      <w:color w:val="auto"/>
                      <w:lang w:val="en-US" w:eastAsia="zh-CN"/>
                    </w:rPr>
                  </w:pPr>
                  <w:r>
                    <w:rPr>
                      <w:rFonts w:hint="eastAsia"/>
                      <w:color w:val="auto"/>
                      <w:lang w:val="en-US" w:eastAsia="zh-CN"/>
                    </w:rPr>
                    <w:t>电缆敷设</w:t>
                  </w:r>
                </w:p>
              </w:tc>
              <w:tc>
                <w:tcPr>
                  <w:tcW w:w="675" w:type="pct"/>
                  <w:tcBorders>
                    <w:tl2br w:val="nil"/>
                    <w:tr2bl w:val="nil"/>
                  </w:tcBorders>
                  <w:shd w:val="clear" w:color="auto" w:fill="auto"/>
                  <w:noWrap/>
                  <w:vAlign w:val="center"/>
                </w:tcPr>
                <w:p w14:paraId="1B9CC1F7">
                  <w:pPr>
                    <w:pStyle w:val="37"/>
                    <w:bidi w:val="0"/>
                    <w:rPr>
                      <w:rFonts w:hint="default"/>
                      <w:color w:val="auto"/>
                    </w:rPr>
                  </w:pPr>
                </w:p>
              </w:tc>
              <w:tc>
                <w:tcPr>
                  <w:tcW w:w="675" w:type="pct"/>
                  <w:tcBorders>
                    <w:tl2br w:val="nil"/>
                    <w:tr2bl w:val="nil"/>
                  </w:tcBorders>
                  <w:shd w:val="clear" w:color="auto" w:fill="auto"/>
                  <w:noWrap/>
                  <w:vAlign w:val="center"/>
                </w:tcPr>
                <w:p w14:paraId="24272011">
                  <w:pPr>
                    <w:pStyle w:val="37"/>
                    <w:bidi w:val="0"/>
                    <w:rPr>
                      <w:rFonts w:hint="default"/>
                      <w:color w:val="auto"/>
                    </w:rPr>
                  </w:pPr>
                </w:p>
              </w:tc>
              <w:tc>
                <w:tcPr>
                  <w:tcW w:w="675" w:type="pct"/>
                  <w:tcBorders>
                    <w:tl2br w:val="nil"/>
                    <w:tr2bl w:val="nil"/>
                  </w:tcBorders>
                  <w:shd w:val="clear" w:color="auto" w:fill="auto"/>
                  <w:noWrap/>
                  <w:vAlign w:val="center"/>
                </w:tcPr>
                <w:p w14:paraId="44640FB4">
                  <w:pPr>
                    <w:pStyle w:val="37"/>
                    <w:bidi w:val="0"/>
                    <w:rPr>
                      <w:rFonts w:hint="default"/>
                      <w:color w:val="auto"/>
                    </w:rPr>
                  </w:pPr>
                </w:p>
              </w:tc>
              <w:tc>
                <w:tcPr>
                  <w:tcW w:w="675" w:type="pct"/>
                  <w:tcBorders>
                    <w:tl2br w:val="nil"/>
                    <w:tr2bl w:val="nil"/>
                  </w:tcBorders>
                  <w:shd w:val="clear" w:color="auto" w:fill="auto"/>
                  <w:noWrap/>
                  <w:vAlign w:val="center"/>
                </w:tcPr>
                <w:p w14:paraId="2CFE518C">
                  <w:pPr>
                    <w:pStyle w:val="37"/>
                    <w:bidi w:val="0"/>
                    <w:rPr>
                      <w:rFonts w:hint="default"/>
                      <w:color w:val="auto"/>
                    </w:rPr>
                  </w:pPr>
                </w:p>
              </w:tc>
              <w:tc>
                <w:tcPr>
                  <w:tcW w:w="675" w:type="pct"/>
                  <w:tcBorders>
                    <w:tl2br w:val="nil"/>
                    <w:tr2bl w:val="nil"/>
                  </w:tcBorders>
                  <w:shd w:val="clear" w:color="auto" w:fill="00B050"/>
                  <w:noWrap/>
                  <w:vAlign w:val="center"/>
                </w:tcPr>
                <w:p w14:paraId="5054D940">
                  <w:pPr>
                    <w:pStyle w:val="37"/>
                    <w:bidi w:val="0"/>
                    <w:rPr>
                      <w:rFonts w:hint="default"/>
                      <w:color w:val="auto"/>
                    </w:rPr>
                  </w:pPr>
                </w:p>
              </w:tc>
              <w:tc>
                <w:tcPr>
                  <w:tcW w:w="677" w:type="pct"/>
                  <w:tcBorders>
                    <w:tl2br w:val="nil"/>
                    <w:tr2bl w:val="nil"/>
                  </w:tcBorders>
                  <w:shd w:val="clear" w:color="auto" w:fill="auto"/>
                  <w:noWrap/>
                  <w:vAlign w:val="center"/>
                </w:tcPr>
                <w:p w14:paraId="38656593">
                  <w:pPr>
                    <w:pStyle w:val="37"/>
                    <w:bidi w:val="0"/>
                    <w:rPr>
                      <w:rFonts w:hint="eastAsia"/>
                      <w:color w:val="auto"/>
                    </w:rPr>
                  </w:pPr>
                </w:p>
              </w:tc>
            </w:tr>
            <w:tr w14:paraId="53F06F3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7" w:hRule="atLeast"/>
                <w:jc w:val="center"/>
              </w:trPr>
              <w:tc>
                <w:tcPr>
                  <w:tcW w:w="946" w:type="pct"/>
                  <w:tcBorders>
                    <w:tl2br w:val="nil"/>
                    <w:tr2bl w:val="nil"/>
                  </w:tcBorders>
                  <w:shd w:val="clear" w:color="auto" w:fill="auto"/>
                  <w:noWrap/>
                  <w:vAlign w:val="center"/>
                </w:tcPr>
                <w:p w14:paraId="39DDD247">
                  <w:pPr>
                    <w:pStyle w:val="37"/>
                    <w:bidi w:val="0"/>
                    <w:rPr>
                      <w:rFonts w:hint="eastAsia"/>
                      <w:color w:val="auto"/>
                      <w:lang w:val="en-US" w:eastAsia="zh-CN"/>
                    </w:rPr>
                  </w:pPr>
                  <w:r>
                    <w:rPr>
                      <w:rFonts w:hint="eastAsia"/>
                      <w:color w:val="auto"/>
                      <w:lang w:val="en-US" w:eastAsia="zh-CN"/>
                    </w:rPr>
                    <w:t>电气安装调试</w:t>
                  </w:r>
                </w:p>
              </w:tc>
              <w:tc>
                <w:tcPr>
                  <w:tcW w:w="675" w:type="pct"/>
                  <w:tcBorders>
                    <w:tl2br w:val="nil"/>
                    <w:tr2bl w:val="nil"/>
                  </w:tcBorders>
                  <w:shd w:val="clear" w:color="auto" w:fill="auto"/>
                  <w:noWrap/>
                  <w:vAlign w:val="center"/>
                </w:tcPr>
                <w:p w14:paraId="2AC82932">
                  <w:pPr>
                    <w:pStyle w:val="37"/>
                    <w:bidi w:val="0"/>
                    <w:rPr>
                      <w:rFonts w:hint="default"/>
                      <w:color w:val="auto"/>
                    </w:rPr>
                  </w:pPr>
                </w:p>
              </w:tc>
              <w:tc>
                <w:tcPr>
                  <w:tcW w:w="675" w:type="pct"/>
                  <w:tcBorders>
                    <w:tl2br w:val="nil"/>
                    <w:tr2bl w:val="nil"/>
                  </w:tcBorders>
                  <w:shd w:val="clear" w:color="auto" w:fill="auto"/>
                  <w:noWrap/>
                  <w:vAlign w:val="center"/>
                </w:tcPr>
                <w:p w14:paraId="6F781517">
                  <w:pPr>
                    <w:pStyle w:val="37"/>
                    <w:bidi w:val="0"/>
                    <w:rPr>
                      <w:rFonts w:hint="default"/>
                      <w:color w:val="auto"/>
                    </w:rPr>
                  </w:pPr>
                </w:p>
              </w:tc>
              <w:tc>
                <w:tcPr>
                  <w:tcW w:w="675" w:type="pct"/>
                  <w:tcBorders>
                    <w:tl2br w:val="nil"/>
                    <w:tr2bl w:val="nil"/>
                  </w:tcBorders>
                  <w:shd w:val="clear" w:color="auto" w:fill="auto"/>
                  <w:noWrap/>
                  <w:vAlign w:val="center"/>
                </w:tcPr>
                <w:p w14:paraId="2119D722">
                  <w:pPr>
                    <w:pStyle w:val="37"/>
                    <w:bidi w:val="0"/>
                    <w:rPr>
                      <w:rFonts w:hint="default"/>
                      <w:color w:val="auto"/>
                    </w:rPr>
                  </w:pPr>
                </w:p>
              </w:tc>
              <w:tc>
                <w:tcPr>
                  <w:tcW w:w="675" w:type="pct"/>
                  <w:tcBorders>
                    <w:tl2br w:val="nil"/>
                    <w:tr2bl w:val="nil"/>
                  </w:tcBorders>
                  <w:shd w:val="clear" w:color="auto" w:fill="auto"/>
                  <w:noWrap/>
                  <w:vAlign w:val="center"/>
                </w:tcPr>
                <w:p w14:paraId="590CCB42">
                  <w:pPr>
                    <w:pStyle w:val="37"/>
                    <w:bidi w:val="0"/>
                    <w:rPr>
                      <w:rFonts w:hint="default"/>
                      <w:color w:val="auto"/>
                    </w:rPr>
                  </w:pPr>
                </w:p>
              </w:tc>
              <w:tc>
                <w:tcPr>
                  <w:tcW w:w="675" w:type="pct"/>
                  <w:tcBorders>
                    <w:tl2br w:val="nil"/>
                    <w:tr2bl w:val="nil"/>
                  </w:tcBorders>
                  <w:shd w:val="clear" w:color="auto" w:fill="auto"/>
                  <w:noWrap/>
                  <w:vAlign w:val="center"/>
                </w:tcPr>
                <w:p w14:paraId="025499D3">
                  <w:pPr>
                    <w:pStyle w:val="37"/>
                    <w:bidi w:val="0"/>
                    <w:rPr>
                      <w:rFonts w:hint="default"/>
                      <w:color w:val="auto"/>
                    </w:rPr>
                  </w:pPr>
                </w:p>
              </w:tc>
              <w:tc>
                <w:tcPr>
                  <w:tcW w:w="677" w:type="pct"/>
                  <w:tcBorders>
                    <w:tl2br w:val="nil"/>
                    <w:tr2bl w:val="nil"/>
                  </w:tcBorders>
                  <w:shd w:val="clear" w:color="auto" w:fill="00B050"/>
                  <w:noWrap/>
                  <w:vAlign w:val="center"/>
                </w:tcPr>
                <w:p w14:paraId="70D69E54">
                  <w:pPr>
                    <w:pStyle w:val="37"/>
                    <w:bidi w:val="0"/>
                    <w:rPr>
                      <w:rFonts w:hint="eastAsia"/>
                      <w:color w:val="auto"/>
                    </w:rPr>
                  </w:pPr>
                </w:p>
              </w:tc>
            </w:tr>
          </w:tbl>
          <w:p w14:paraId="48F5451B">
            <w:pPr>
              <w:bidi w:val="0"/>
              <w:ind w:left="0" w:leftChars="0" w:firstLine="0" w:firstLineChars="0"/>
              <w:rPr>
                <w:rFonts w:hint="eastAsia"/>
                <w:b/>
                <w:bCs/>
                <w:color w:val="auto"/>
                <w:lang w:eastAsia="zh-CN"/>
              </w:rPr>
            </w:pPr>
            <w:r>
              <w:rPr>
                <w:rFonts w:hint="eastAsia"/>
                <w:b/>
                <w:bCs/>
                <w:color w:val="auto"/>
                <w:lang w:val="en-US" w:eastAsia="zh-CN"/>
              </w:rPr>
              <w:t>3.</w:t>
            </w:r>
            <w:r>
              <w:rPr>
                <w:rFonts w:hint="eastAsia"/>
                <w:b/>
                <w:bCs/>
                <w:color w:val="auto"/>
              </w:rPr>
              <w:t>施工</w:t>
            </w:r>
            <w:r>
              <w:rPr>
                <w:rFonts w:hint="eastAsia"/>
                <w:b/>
                <w:bCs/>
                <w:color w:val="auto"/>
                <w:lang w:eastAsia="zh-CN"/>
              </w:rPr>
              <w:t>人数</w:t>
            </w:r>
          </w:p>
          <w:p w14:paraId="277C8989">
            <w:pPr>
              <w:bidi w:val="0"/>
              <w:rPr>
                <w:rFonts w:hint="eastAsia"/>
                <w:color w:val="auto"/>
                <w:lang w:eastAsia="zh-CN"/>
              </w:rPr>
            </w:pPr>
            <w:r>
              <w:rPr>
                <w:rFonts w:hint="eastAsia"/>
                <w:color w:val="auto"/>
                <w:lang w:eastAsia="zh-CN"/>
              </w:rPr>
              <w:t>本项目施工期</w:t>
            </w:r>
            <w:r>
              <w:rPr>
                <w:rFonts w:hint="eastAsia"/>
                <w:color w:val="auto"/>
                <w:lang w:val="en-US" w:eastAsia="zh-CN"/>
              </w:rPr>
              <w:t>均在昼间（6:00~22:00）施工，</w:t>
            </w:r>
            <w:r>
              <w:rPr>
                <w:rFonts w:hint="eastAsia"/>
                <w:color w:val="auto"/>
                <w:lang w:eastAsia="zh-CN"/>
              </w:rPr>
              <w:t>施工高峰人数为</w:t>
            </w:r>
            <w:r>
              <w:rPr>
                <w:rFonts w:hint="eastAsia"/>
                <w:color w:val="auto"/>
                <w:lang w:val="en-US" w:eastAsia="zh-CN"/>
              </w:rPr>
              <w:t>20</w:t>
            </w:r>
            <w:r>
              <w:rPr>
                <w:rFonts w:hint="eastAsia"/>
                <w:color w:val="auto"/>
                <w:lang w:eastAsia="zh-CN"/>
              </w:rPr>
              <w:t>人，施工工人为当地村民或租用当地民房人员，食宿均依托村民民房。</w:t>
            </w:r>
          </w:p>
          <w:p w14:paraId="27BD802C">
            <w:pPr>
              <w:bidi w:val="0"/>
              <w:ind w:left="0" w:leftChars="0" w:firstLine="0" w:firstLineChars="0"/>
              <w:rPr>
                <w:rFonts w:hint="eastAsia"/>
                <w:b/>
                <w:bCs/>
                <w:color w:val="auto"/>
                <w:lang w:val="en-US" w:eastAsia="zh-CN"/>
              </w:rPr>
            </w:pPr>
            <w:r>
              <w:rPr>
                <w:rFonts w:hint="eastAsia"/>
                <w:b/>
                <w:bCs/>
                <w:color w:val="auto"/>
                <w:lang w:val="en-US" w:eastAsia="zh-CN"/>
              </w:rPr>
              <w:t>4.运营期劳动定员</w:t>
            </w:r>
          </w:p>
          <w:p w14:paraId="5756026E">
            <w:pPr>
              <w:pStyle w:val="19"/>
              <w:bidi w:val="0"/>
              <w:rPr>
                <w:rFonts w:hint="eastAsia"/>
                <w:color w:val="auto"/>
                <w:lang w:val="en-US" w:eastAsia="zh-CN"/>
              </w:rPr>
            </w:pPr>
            <w:r>
              <w:rPr>
                <w:rFonts w:hint="eastAsia"/>
                <w:color w:val="auto"/>
                <w:lang w:val="en-US" w:eastAsia="zh-CN"/>
              </w:rPr>
              <w:t>项目运营期不新增劳动定员，依托西泽风电场升压站现有工作人员运营，升压站现有工作人员6人，工作8h/d，365d/a，满足项目后续运维要求。</w:t>
            </w:r>
          </w:p>
          <w:p w14:paraId="1043F146">
            <w:pPr>
              <w:rPr>
                <w:rFonts w:hint="eastAsia"/>
                <w:color w:val="auto"/>
                <w:lang w:val="en-US" w:eastAsia="zh-CN"/>
              </w:rPr>
            </w:pPr>
          </w:p>
          <w:p w14:paraId="6BA9728A">
            <w:pPr>
              <w:rPr>
                <w:rFonts w:hint="default"/>
                <w:color w:val="auto"/>
                <w:lang w:val="en-US" w:eastAsia="zh-CN"/>
              </w:rPr>
            </w:pPr>
          </w:p>
        </w:tc>
      </w:tr>
      <w:tr w14:paraId="66FCDDF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456" w:type="dxa"/>
            <w:noWrap w:val="0"/>
            <w:vAlign w:val="center"/>
          </w:tcPr>
          <w:p w14:paraId="49215B6D">
            <w:pPr>
              <w:pStyle w:val="18"/>
              <w:bidi w:val="0"/>
              <w:rPr>
                <w:color w:val="auto"/>
              </w:rPr>
            </w:pPr>
            <w:r>
              <w:rPr>
                <w:rFonts w:hint="eastAsia"/>
                <w:color w:val="auto"/>
              </w:rPr>
              <w:t>其他</w:t>
            </w:r>
          </w:p>
        </w:tc>
        <w:tc>
          <w:tcPr>
            <w:tcW w:w="8255" w:type="dxa"/>
            <w:noWrap w:val="0"/>
            <w:vAlign w:val="center"/>
          </w:tcPr>
          <w:p w14:paraId="4C2B1BD1">
            <w:pPr>
              <w:pageBreakBefore w:val="0"/>
              <w:kinsoku/>
              <w:wordWrap/>
              <w:overflowPunct/>
              <w:bidi w:val="0"/>
              <w:adjustRightInd w:val="0"/>
              <w:snapToGrid w:val="0"/>
              <w:jc w:val="center"/>
              <w:rPr>
                <w:rFonts w:hint="eastAsia" w:ascii="Times New Roman" w:hAnsi="Times New Roman" w:eastAsia="宋体" w:cs="宋体"/>
                <w:color w:val="auto"/>
                <w:kern w:val="0"/>
                <w:sz w:val="24"/>
              </w:rPr>
            </w:pPr>
          </w:p>
          <w:p w14:paraId="1D6A25F6">
            <w:pPr>
              <w:pageBreakBefore w:val="0"/>
              <w:kinsoku/>
              <w:wordWrap/>
              <w:overflowPunct/>
              <w:bidi w:val="0"/>
              <w:adjustRightInd w:val="0"/>
              <w:snapToGrid w:val="0"/>
              <w:jc w:val="center"/>
              <w:rPr>
                <w:rFonts w:hint="eastAsia" w:ascii="Times New Roman" w:hAnsi="Times New Roman" w:eastAsia="宋体" w:cs="宋体"/>
                <w:color w:val="auto"/>
                <w:kern w:val="0"/>
                <w:sz w:val="24"/>
              </w:rPr>
            </w:pPr>
            <w:r>
              <w:rPr>
                <w:rFonts w:hint="eastAsia" w:ascii="Times New Roman" w:hAnsi="Times New Roman" w:eastAsia="宋体" w:cs="宋体"/>
                <w:color w:val="auto"/>
                <w:kern w:val="0"/>
                <w:sz w:val="24"/>
              </w:rPr>
              <w:t>无</w:t>
            </w:r>
          </w:p>
          <w:p w14:paraId="6DC2317F">
            <w:pPr>
              <w:pageBreakBefore w:val="0"/>
              <w:kinsoku/>
              <w:wordWrap/>
              <w:overflowPunct/>
              <w:bidi w:val="0"/>
              <w:adjustRightInd w:val="0"/>
              <w:snapToGrid w:val="0"/>
              <w:jc w:val="center"/>
              <w:rPr>
                <w:rFonts w:hint="eastAsia" w:ascii="Times New Roman" w:hAnsi="Times New Roman" w:eastAsia="宋体" w:cs="宋体"/>
                <w:color w:val="auto"/>
                <w:kern w:val="0"/>
                <w:sz w:val="24"/>
              </w:rPr>
            </w:pPr>
          </w:p>
        </w:tc>
      </w:tr>
    </w:tbl>
    <w:p w14:paraId="7A4C2442">
      <w:pPr>
        <w:pStyle w:val="18"/>
        <w:pageBreakBefore w:val="0"/>
        <w:kinsoku/>
        <w:wordWrap/>
        <w:overflowPunct/>
        <w:bidi w:val="0"/>
        <w:jc w:val="center"/>
        <w:outlineLvl w:val="0"/>
        <w:rPr>
          <w:rFonts w:ascii="Times New Roman" w:hAnsi="Times New Roman" w:eastAsia="宋体"/>
          <w:snapToGrid w:val="0"/>
          <w:color w:val="auto"/>
          <w:sz w:val="30"/>
          <w:szCs w:val="30"/>
        </w:rPr>
      </w:pPr>
      <w:r>
        <w:rPr>
          <w:rFonts w:ascii="Times New Roman" w:hAnsi="Times New Roman" w:eastAsia="宋体"/>
          <w:b/>
          <w:bCs/>
          <w:color w:val="auto"/>
        </w:rPr>
        <w:br w:type="page"/>
      </w:r>
      <w:bookmarkStart w:id="22" w:name="_Toc80363683"/>
      <w:bookmarkStart w:id="23" w:name="_Toc80288928"/>
      <w:bookmarkStart w:id="24" w:name="_Toc1564"/>
      <w:bookmarkStart w:id="25" w:name="_Toc80363580"/>
      <w:bookmarkStart w:id="26" w:name="_Toc87972513"/>
      <w:bookmarkStart w:id="27" w:name="_Toc87457560"/>
      <w:r>
        <w:rPr>
          <w:rFonts w:hint="eastAsia" w:ascii="Times New Roman" w:hAnsi="Times New Roman" w:eastAsia="宋体"/>
          <w:snapToGrid w:val="0"/>
          <w:color w:val="auto"/>
          <w:sz w:val="30"/>
          <w:szCs w:val="30"/>
        </w:rPr>
        <w:t>三、生态环境现状、保护目标及评价标准</w:t>
      </w:r>
      <w:bookmarkEnd w:id="22"/>
      <w:bookmarkEnd w:id="23"/>
      <w:bookmarkEnd w:id="24"/>
      <w:bookmarkEnd w:id="25"/>
      <w:bookmarkEnd w:id="26"/>
      <w:bookmarkEnd w:id="27"/>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8079"/>
      </w:tblGrid>
      <w:tr w14:paraId="053B8C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0" w:hRule="atLeast"/>
          <w:jc w:val="center"/>
        </w:trPr>
        <w:tc>
          <w:tcPr>
            <w:tcW w:w="748" w:type="dxa"/>
            <w:noWrap w:val="0"/>
            <w:vAlign w:val="center"/>
          </w:tcPr>
          <w:p w14:paraId="46DE4508">
            <w:pPr>
              <w:pStyle w:val="18"/>
              <w:bidi w:val="0"/>
              <w:rPr>
                <w:rFonts w:ascii="Times New Roman" w:hAnsi="Times New Roman" w:eastAsia="宋体" w:cs="宋体"/>
                <w:color w:val="auto"/>
                <w:kern w:val="0"/>
              </w:rPr>
            </w:pPr>
            <w:r>
              <w:rPr>
                <w:rFonts w:hint="eastAsia"/>
                <w:color w:val="auto"/>
              </w:rPr>
              <w:t>生态环境现状</w:t>
            </w:r>
          </w:p>
        </w:tc>
        <w:tc>
          <w:tcPr>
            <w:tcW w:w="7780" w:type="dxa"/>
            <w:noWrap w:val="0"/>
            <w:vAlign w:val="top"/>
          </w:tcPr>
          <w:p w14:paraId="2F2BD3D8">
            <w:pPr>
              <w:bidi w:val="0"/>
              <w:ind w:left="0" w:leftChars="0" w:firstLine="0" w:firstLineChars="0"/>
              <w:rPr>
                <w:rFonts w:hint="eastAsia"/>
                <w:b/>
                <w:bCs/>
                <w:color w:val="auto"/>
              </w:rPr>
            </w:pPr>
            <w:r>
              <w:rPr>
                <w:rFonts w:hint="eastAsia"/>
                <w:b/>
                <w:bCs/>
                <w:color w:val="auto"/>
                <w:lang w:val="en-US" w:eastAsia="zh-CN"/>
              </w:rPr>
              <w:t>1.</w:t>
            </w:r>
            <w:r>
              <w:rPr>
                <w:b/>
                <w:bCs/>
                <w:color w:val="auto"/>
              </w:rPr>
              <w:t>主体功能区</w:t>
            </w:r>
            <w:r>
              <w:rPr>
                <w:rFonts w:hint="eastAsia"/>
                <w:b/>
                <w:bCs/>
                <w:color w:val="auto"/>
              </w:rPr>
              <w:t>规划</w:t>
            </w:r>
          </w:p>
          <w:p w14:paraId="4B6B5B7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rPr>
            </w:pPr>
            <w:r>
              <w:rPr>
                <w:rFonts w:hint="eastAsia"/>
                <w:color w:val="auto"/>
              </w:rPr>
              <w:t>《云南省主体功能区划》</w:t>
            </w:r>
            <w:r>
              <w:rPr>
                <w:rFonts w:hint="eastAsia"/>
                <w:color w:val="auto"/>
                <w:lang w:eastAsia="zh-CN"/>
              </w:rPr>
              <w:t>（</w:t>
            </w:r>
            <w:r>
              <w:rPr>
                <w:rFonts w:hint="eastAsia"/>
                <w:color w:val="auto"/>
              </w:rPr>
              <w:t>云政发</w:t>
            </w:r>
            <w:r>
              <w:rPr>
                <w:rFonts w:hint="eastAsia"/>
                <w:color w:val="auto"/>
                <w:lang w:eastAsia="zh-CN"/>
              </w:rPr>
              <w:t>〔2014〕1号</w:t>
            </w:r>
            <w:r>
              <w:rPr>
                <w:rFonts w:hint="eastAsia"/>
                <w:color w:val="auto"/>
              </w:rPr>
              <w:t>文</w:t>
            </w:r>
            <w:r>
              <w:rPr>
                <w:rFonts w:hint="eastAsia"/>
                <w:color w:val="auto"/>
                <w:lang w:eastAsia="zh-CN"/>
              </w:rPr>
              <w:t>）</w:t>
            </w:r>
            <w:r>
              <w:rPr>
                <w:rFonts w:hint="eastAsia"/>
                <w:color w:val="auto"/>
              </w:rPr>
              <w:t>将云南省国土空间分为重点开发区域、限制开发区域和禁止开发区域三类。</w:t>
            </w:r>
          </w:p>
          <w:p w14:paraId="5F209A9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color w:val="auto"/>
              </w:rPr>
            </w:pPr>
            <w:r>
              <w:rPr>
                <w:rFonts w:hint="eastAsia"/>
                <w:color w:val="auto"/>
              </w:rPr>
              <w:t>西泽风电场（二期）项目位于云南省曲靖市</w:t>
            </w:r>
            <w:r>
              <w:rPr>
                <w:rFonts w:hint="eastAsia"/>
                <w:color w:val="auto"/>
                <w:lang w:val="en-US" w:eastAsia="zh-CN"/>
              </w:rPr>
              <w:t>宣威市热水镇</w:t>
            </w:r>
            <w:r>
              <w:rPr>
                <w:rFonts w:hint="eastAsia"/>
                <w:color w:val="auto"/>
              </w:rPr>
              <w:t>，属于国家级重点开发区域，见图1-2。境内的禁止开发区域有珠江源省级自然保护区。根据上述禁止开发区边界范围叠图分析，西泽风电场（二期）项目不涉及上述禁止开发区。</w:t>
            </w:r>
          </w:p>
          <w:p w14:paraId="785D427A">
            <w:pPr>
              <w:bidi w:val="0"/>
              <w:rPr>
                <w:rFonts w:hint="eastAsia"/>
                <w:color w:val="auto"/>
                <w:lang w:val="en-US" w:eastAsia="zh-CN"/>
              </w:rPr>
            </w:pPr>
            <w:r>
              <w:rPr>
                <w:rFonts w:hint="eastAsia"/>
                <w:color w:val="auto"/>
                <w:lang w:val="en-US" w:eastAsia="zh-CN"/>
              </w:rPr>
              <w:t>根据《云南省主体功能区规划》（云政发〔2014〕1号），宣威市属于国家级集中连片重点开发区域，该区域的功能定位为我国面向西南开放重要桥头堡建设的核心区，连接东南亚、南亚国家的陆路交通枢纽，面向东南亚、南亚对外开放的重要门户；全国重要的烟草、旅游、文化、能源和商贸物流基地，以化工、有色冶炼加工、生物为重点的区域性资源深加工基地，承接产业转移基地和外向型特色优势产业基地。本项目为风力发电项目，符合本区“全国重要的烟草、旅游、文化、能源和商贸物流基地”的定位，符合云南省主体功能区规划要求。</w:t>
            </w:r>
          </w:p>
          <w:p w14:paraId="0CA7745C">
            <w:pPr>
              <w:bidi w:val="0"/>
              <w:rPr>
                <w:rFonts w:hint="eastAsia"/>
                <w:color w:val="auto"/>
                <w:lang w:val="en-US" w:eastAsia="zh-CN"/>
              </w:rPr>
            </w:pPr>
            <w:r>
              <w:rPr>
                <w:rFonts w:hint="eastAsia"/>
                <w:color w:val="auto"/>
                <w:lang w:val="en-US" w:eastAsia="zh-CN"/>
              </w:rPr>
              <w:t>主体功能区划对风电能源开发的原则为“妥善处理好风电开发与环境保护的关系，规范风电有序发展，严格按照规划环评要求，取消位于鸟类通道和生物多样性丰富区的风电场，科学合理确定风电开发规划”。</w:t>
            </w:r>
          </w:p>
          <w:p w14:paraId="306EAA93">
            <w:pPr>
              <w:bidi w:val="0"/>
              <w:rPr>
                <w:rFonts w:hint="eastAsia"/>
                <w:color w:val="auto"/>
                <w:lang w:val="en-US" w:eastAsia="zh-CN"/>
              </w:rPr>
            </w:pPr>
            <w:r>
              <w:rPr>
                <w:rFonts w:hint="eastAsia"/>
                <w:color w:val="auto"/>
                <w:lang w:val="en-US" w:eastAsia="zh-CN"/>
              </w:rPr>
              <w:t>经调查，本项目不涉及云南省候鸟迁徙通道重点区域及生物多样性丰富区。由于施工区范围狭小，所以主要是一些在该生境为主要活动区域的小型鸟类。鹰隼类等中型鸟类分布较少。从整体上讲，无论施工区还是整个评价区，因为空间范围较小，工程建设对鸟类的整体影响不十分显著。</w:t>
            </w:r>
          </w:p>
          <w:p w14:paraId="1D909733">
            <w:pPr>
              <w:bidi w:val="0"/>
              <w:rPr>
                <w:rFonts w:hint="eastAsia"/>
                <w:color w:val="auto"/>
                <w:lang w:val="en-US" w:eastAsia="zh-CN"/>
              </w:rPr>
            </w:pPr>
            <w:r>
              <w:rPr>
                <w:rFonts w:hint="eastAsia"/>
                <w:color w:val="auto"/>
                <w:lang w:val="en-US" w:eastAsia="zh-CN"/>
              </w:rPr>
              <w:t>综上所述，本工程与主体功能区划对风电开发要求相符合。</w:t>
            </w:r>
          </w:p>
          <w:p w14:paraId="33497206">
            <w:pPr>
              <w:bidi w:val="0"/>
              <w:ind w:left="0" w:leftChars="0" w:firstLine="0" w:firstLineChars="0"/>
              <w:rPr>
                <w:b/>
                <w:bCs/>
                <w:color w:val="auto"/>
              </w:rPr>
            </w:pPr>
            <w:r>
              <w:rPr>
                <w:rFonts w:hint="eastAsia"/>
                <w:b/>
                <w:bCs/>
                <w:color w:val="auto"/>
                <w:lang w:val="en-US" w:eastAsia="zh-CN"/>
              </w:rPr>
              <w:t>2.</w:t>
            </w:r>
            <w:r>
              <w:rPr>
                <w:b/>
                <w:bCs/>
                <w:color w:val="auto"/>
              </w:rPr>
              <w:t>生态功能区划</w:t>
            </w:r>
          </w:p>
          <w:p w14:paraId="031DE131">
            <w:pPr>
              <w:pageBreakBefore w:val="0"/>
              <w:kinsoku/>
              <w:wordWrap/>
              <w:overflowPunct/>
              <w:bidi w:val="0"/>
              <w:adjustRightInd w:val="0"/>
              <w:snapToGrid w:val="0"/>
              <w:spacing w:line="360" w:lineRule="auto"/>
              <w:ind w:firstLine="480"/>
              <w:rPr>
                <w:rFonts w:hint="eastAsia"/>
                <w:color w:val="auto"/>
                <w:lang w:eastAsia="zh-CN"/>
              </w:rPr>
            </w:pPr>
            <w:r>
              <w:rPr>
                <w:rFonts w:hint="eastAsia"/>
                <w:color w:val="auto"/>
              </w:rPr>
              <w:t>根据《</w:t>
            </w:r>
            <w:r>
              <w:rPr>
                <w:color w:val="auto"/>
              </w:rPr>
              <w:t>云南省</w:t>
            </w:r>
            <w:r>
              <w:rPr>
                <w:rFonts w:hint="eastAsia"/>
                <w:color w:val="auto"/>
              </w:rPr>
              <w:t>生态功能区划》，本项目位于属于Ⅲ4-4牛栏江、南盘江上游岩溶山原水源涵养生态功能区，</w:t>
            </w:r>
            <w:r>
              <w:rPr>
                <w:rFonts w:hint="eastAsia"/>
                <w:color w:val="auto"/>
                <w:lang w:eastAsia="zh-CN"/>
              </w:rPr>
              <w:t>该生态功能区详情如下表所示。</w:t>
            </w:r>
          </w:p>
          <w:p w14:paraId="398C03B4">
            <w:pPr>
              <w:pStyle w:val="27"/>
              <w:pageBreakBefore w:val="0"/>
              <w:kinsoku/>
              <w:wordWrap/>
              <w:overflowPunct/>
              <w:bidi w:val="0"/>
              <w:rPr>
                <w:rFonts w:hint="eastAsia"/>
                <w:color w:val="auto"/>
              </w:rPr>
            </w:pPr>
            <w:r>
              <w:rPr>
                <w:rFonts w:hint="eastAsia"/>
                <w:color w:val="auto"/>
              </w:rPr>
              <w:t>表3-1</w:t>
            </w:r>
            <w:r>
              <w:rPr>
                <w:rFonts w:hint="eastAsia"/>
                <w:color w:val="auto"/>
                <w:lang w:val="en-US" w:eastAsia="zh-CN"/>
              </w:rPr>
              <w:t xml:space="preserve">  </w:t>
            </w:r>
            <w:r>
              <w:rPr>
                <w:rFonts w:hint="eastAsia"/>
                <w:color w:val="auto"/>
              </w:rPr>
              <w:t>项目所在区域生态功能区划</w:t>
            </w:r>
          </w:p>
          <w:tbl>
            <w:tblPr>
              <w:tblStyle w:val="20"/>
              <w:tblW w:w="4996"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923"/>
              <w:gridCol w:w="1087"/>
              <w:gridCol w:w="783"/>
              <w:gridCol w:w="996"/>
              <w:gridCol w:w="1463"/>
              <w:gridCol w:w="675"/>
              <w:gridCol w:w="488"/>
              <w:gridCol w:w="692"/>
              <w:gridCol w:w="750"/>
            </w:tblGrid>
            <w:tr w14:paraId="7B01AB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91" w:hRule="atLeast"/>
              </w:trPr>
              <w:tc>
                <w:tcPr>
                  <w:tcW w:w="1278" w:type="pct"/>
                  <w:gridSpan w:val="2"/>
                  <w:tcBorders>
                    <w:tl2br w:val="nil"/>
                    <w:tr2bl w:val="nil"/>
                  </w:tcBorders>
                  <w:shd w:val="clear" w:color="auto" w:fill="auto"/>
                  <w:noWrap/>
                  <w:vAlign w:val="center"/>
                </w:tcPr>
                <w:p w14:paraId="5C80E5BA">
                  <w:pPr>
                    <w:pStyle w:val="37"/>
                    <w:bidi w:val="0"/>
                    <w:rPr>
                      <w:rFonts w:hint="eastAsia"/>
                      <w:color w:val="auto"/>
                    </w:rPr>
                  </w:pPr>
                  <w:r>
                    <w:rPr>
                      <w:rFonts w:hint="eastAsia"/>
                      <w:color w:val="auto"/>
                      <w:lang w:val="en-US" w:eastAsia="zh-CN"/>
                    </w:rPr>
                    <w:t>生态功能分区单元</w:t>
                  </w:r>
                </w:p>
              </w:tc>
              <w:tc>
                <w:tcPr>
                  <w:tcW w:w="498" w:type="pct"/>
                  <w:vMerge w:val="restart"/>
                  <w:tcBorders>
                    <w:tl2br w:val="nil"/>
                    <w:tr2bl w:val="nil"/>
                  </w:tcBorders>
                  <w:shd w:val="clear" w:color="auto" w:fill="auto"/>
                  <w:vAlign w:val="center"/>
                </w:tcPr>
                <w:p w14:paraId="419B256D">
                  <w:pPr>
                    <w:pStyle w:val="37"/>
                    <w:bidi w:val="0"/>
                    <w:rPr>
                      <w:rFonts w:hint="eastAsia"/>
                      <w:color w:val="auto"/>
                    </w:rPr>
                  </w:pPr>
                  <w:r>
                    <w:rPr>
                      <w:rFonts w:hint="eastAsia"/>
                      <w:color w:val="auto"/>
                      <w:lang w:val="en-US" w:eastAsia="zh-CN"/>
                    </w:rPr>
                    <w:t>所在区域与面积</w:t>
                  </w:r>
                </w:p>
              </w:tc>
              <w:tc>
                <w:tcPr>
                  <w:tcW w:w="633" w:type="pct"/>
                  <w:vMerge w:val="restart"/>
                  <w:tcBorders>
                    <w:tl2br w:val="nil"/>
                    <w:tr2bl w:val="nil"/>
                  </w:tcBorders>
                  <w:shd w:val="clear" w:color="auto" w:fill="auto"/>
                  <w:vAlign w:val="center"/>
                </w:tcPr>
                <w:p w14:paraId="268706E0">
                  <w:pPr>
                    <w:pStyle w:val="37"/>
                    <w:bidi w:val="0"/>
                    <w:rPr>
                      <w:rFonts w:hint="eastAsia"/>
                      <w:color w:val="auto"/>
                    </w:rPr>
                  </w:pPr>
                  <w:r>
                    <w:rPr>
                      <w:rFonts w:hint="eastAsia"/>
                      <w:color w:val="auto"/>
                      <w:lang w:val="en-US" w:eastAsia="zh-CN"/>
                    </w:rPr>
                    <w:t>生态功能区</w:t>
                  </w:r>
                </w:p>
              </w:tc>
              <w:tc>
                <w:tcPr>
                  <w:tcW w:w="930" w:type="pct"/>
                  <w:vMerge w:val="restart"/>
                  <w:tcBorders>
                    <w:tl2br w:val="nil"/>
                    <w:tr2bl w:val="nil"/>
                  </w:tcBorders>
                  <w:shd w:val="clear" w:color="auto" w:fill="auto"/>
                  <w:vAlign w:val="center"/>
                </w:tcPr>
                <w:p w14:paraId="70AE8743">
                  <w:pPr>
                    <w:pStyle w:val="37"/>
                    <w:bidi w:val="0"/>
                    <w:rPr>
                      <w:rFonts w:hint="eastAsia"/>
                      <w:color w:val="auto"/>
                    </w:rPr>
                  </w:pPr>
                  <w:r>
                    <w:rPr>
                      <w:rFonts w:hint="eastAsia"/>
                      <w:color w:val="auto"/>
                      <w:lang w:val="en-US" w:eastAsia="zh-CN"/>
                    </w:rPr>
                    <w:t>主要生态特征</w:t>
                  </w:r>
                </w:p>
              </w:tc>
              <w:tc>
                <w:tcPr>
                  <w:tcW w:w="429" w:type="pct"/>
                  <w:vMerge w:val="restart"/>
                  <w:tcBorders>
                    <w:tl2br w:val="nil"/>
                    <w:tr2bl w:val="nil"/>
                  </w:tcBorders>
                  <w:shd w:val="clear" w:color="auto" w:fill="auto"/>
                  <w:vAlign w:val="center"/>
                </w:tcPr>
                <w:p w14:paraId="50A704C9">
                  <w:pPr>
                    <w:pStyle w:val="37"/>
                    <w:bidi w:val="0"/>
                    <w:rPr>
                      <w:rFonts w:hint="eastAsia"/>
                      <w:color w:val="auto"/>
                    </w:rPr>
                  </w:pPr>
                  <w:r>
                    <w:rPr>
                      <w:rFonts w:hint="eastAsia"/>
                      <w:color w:val="auto"/>
                      <w:lang w:val="en-US" w:eastAsia="zh-CN"/>
                    </w:rPr>
                    <w:t>主要生态环境问题</w:t>
                  </w:r>
                </w:p>
              </w:tc>
              <w:tc>
                <w:tcPr>
                  <w:tcW w:w="310" w:type="pct"/>
                  <w:vMerge w:val="restart"/>
                  <w:tcBorders>
                    <w:tl2br w:val="nil"/>
                    <w:tr2bl w:val="nil"/>
                  </w:tcBorders>
                  <w:shd w:val="clear" w:color="auto" w:fill="auto"/>
                  <w:vAlign w:val="center"/>
                </w:tcPr>
                <w:p w14:paraId="24C439C6">
                  <w:pPr>
                    <w:pStyle w:val="37"/>
                    <w:bidi w:val="0"/>
                    <w:rPr>
                      <w:rFonts w:hint="eastAsia"/>
                      <w:color w:val="auto"/>
                    </w:rPr>
                  </w:pPr>
                  <w:r>
                    <w:rPr>
                      <w:rFonts w:hint="eastAsia"/>
                      <w:color w:val="auto"/>
                      <w:lang w:val="en-US" w:eastAsia="zh-CN"/>
                    </w:rPr>
                    <w:t>生态环境敏感性</w:t>
                  </w:r>
                </w:p>
              </w:tc>
              <w:tc>
                <w:tcPr>
                  <w:tcW w:w="440" w:type="pct"/>
                  <w:vMerge w:val="restart"/>
                  <w:tcBorders>
                    <w:tl2br w:val="nil"/>
                    <w:tr2bl w:val="nil"/>
                  </w:tcBorders>
                  <w:shd w:val="clear" w:color="auto" w:fill="auto"/>
                  <w:vAlign w:val="center"/>
                </w:tcPr>
                <w:p w14:paraId="0F9FE79A">
                  <w:pPr>
                    <w:pStyle w:val="37"/>
                    <w:bidi w:val="0"/>
                    <w:rPr>
                      <w:rFonts w:hint="eastAsia"/>
                      <w:color w:val="auto"/>
                    </w:rPr>
                  </w:pPr>
                  <w:r>
                    <w:rPr>
                      <w:rFonts w:hint="eastAsia"/>
                      <w:color w:val="auto"/>
                      <w:lang w:val="en-US" w:eastAsia="zh-CN"/>
                    </w:rPr>
                    <w:t>主要生态系统服务功能</w:t>
                  </w:r>
                </w:p>
              </w:tc>
              <w:tc>
                <w:tcPr>
                  <w:tcW w:w="477" w:type="pct"/>
                  <w:vMerge w:val="restart"/>
                  <w:tcBorders>
                    <w:tl2br w:val="nil"/>
                    <w:tr2bl w:val="nil"/>
                  </w:tcBorders>
                  <w:shd w:val="clear" w:color="auto" w:fill="auto"/>
                  <w:vAlign w:val="center"/>
                </w:tcPr>
                <w:p w14:paraId="1345933A">
                  <w:pPr>
                    <w:pStyle w:val="37"/>
                    <w:bidi w:val="0"/>
                    <w:rPr>
                      <w:rFonts w:hint="eastAsia"/>
                      <w:color w:val="auto"/>
                    </w:rPr>
                  </w:pPr>
                  <w:r>
                    <w:rPr>
                      <w:rFonts w:hint="eastAsia"/>
                      <w:color w:val="auto"/>
                      <w:lang w:val="en-US" w:eastAsia="zh-CN"/>
                    </w:rPr>
                    <w:t>保护措施与发展方向</w:t>
                  </w:r>
                </w:p>
              </w:tc>
            </w:tr>
            <w:tr w14:paraId="7D0D771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097" w:hRule="atLeast"/>
              </w:trPr>
              <w:tc>
                <w:tcPr>
                  <w:tcW w:w="587" w:type="pct"/>
                  <w:tcBorders>
                    <w:tl2br w:val="nil"/>
                    <w:tr2bl w:val="nil"/>
                  </w:tcBorders>
                  <w:shd w:val="clear" w:color="auto" w:fill="auto"/>
                  <w:vAlign w:val="center"/>
                </w:tcPr>
                <w:p w14:paraId="5071DDA6">
                  <w:pPr>
                    <w:pStyle w:val="37"/>
                    <w:bidi w:val="0"/>
                    <w:rPr>
                      <w:rFonts w:hint="eastAsia"/>
                      <w:color w:val="auto"/>
                    </w:rPr>
                  </w:pPr>
                  <w:r>
                    <w:rPr>
                      <w:rFonts w:hint="eastAsia"/>
                      <w:color w:val="auto"/>
                      <w:lang w:val="en-US" w:eastAsia="zh-CN"/>
                    </w:rPr>
                    <w:t>生态区</w:t>
                  </w:r>
                </w:p>
              </w:tc>
              <w:tc>
                <w:tcPr>
                  <w:tcW w:w="691" w:type="pct"/>
                  <w:tcBorders>
                    <w:tl2br w:val="nil"/>
                    <w:tr2bl w:val="nil"/>
                  </w:tcBorders>
                  <w:shd w:val="clear" w:color="auto" w:fill="auto"/>
                  <w:vAlign w:val="center"/>
                </w:tcPr>
                <w:p w14:paraId="7E245066">
                  <w:pPr>
                    <w:pStyle w:val="37"/>
                    <w:bidi w:val="0"/>
                    <w:rPr>
                      <w:rFonts w:hint="eastAsia"/>
                      <w:color w:val="auto"/>
                    </w:rPr>
                  </w:pPr>
                  <w:r>
                    <w:rPr>
                      <w:rFonts w:hint="eastAsia"/>
                      <w:color w:val="auto"/>
                      <w:lang w:val="en-US" w:eastAsia="zh-CN"/>
                    </w:rPr>
                    <w:t>生态亚区</w:t>
                  </w:r>
                </w:p>
              </w:tc>
              <w:tc>
                <w:tcPr>
                  <w:tcW w:w="498" w:type="pct"/>
                  <w:vMerge w:val="continue"/>
                  <w:tcBorders>
                    <w:tl2br w:val="nil"/>
                    <w:tr2bl w:val="nil"/>
                  </w:tcBorders>
                  <w:shd w:val="clear" w:color="auto" w:fill="auto"/>
                  <w:vAlign w:val="center"/>
                </w:tcPr>
                <w:p w14:paraId="7745B82D">
                  <w:pPr>
                    <w:bidi w:val="0"/>
                    <w:rPr>
                      <w:rFonts w:hint="eastAsia"/>
                      <w:color w:val="auto"/>
                    </w:rPr>
                  </w:pPr>
                </w:p>
              </w:tc>
              <w:tc>
                <w:tcPr>
                  <w:tcW w:w="633" w:type="pct"/>
                  <w:vMerge w:val="continue"/>
                  <w:tcBorders>
                    <w:tl2br w:val="nil"/>
                    <w:tr2bl w:val="nil"/>
                  </w:tcBorders>
                  <w:shd w:val="clear" w:color="auto" w:fill="auto"/>
                  <w:vAlign w:val="center"/>
                </w:tcPr>
                <w:p w14:paraId="2F5FC7CB">
                  <w:pPr>
                    <w:bidi w:val="0"/>
                    <w:rPr>
                      <w:rFonts w:hint="eastAsia"/>
                      <w:color w:val="auto"/>
                    </w:rPr>
                  </w:pPr>
                </w:p>
              </w:tc>
              <w:tc>
                <w:tcPr>
                  <w:tcW w:w="930" w:type="pct"/>
                  <w:vMerge w:val="continue"/>
                  <w:tcBorders>
                    <w:tl2br w:val="nil"/>
                    <w:tr2bl w:val="nil"/>
                  </w:tcBorders>
                  <w:shd w:val="clear" w:color="auto" w:fill="auto"/>
                  <w:vAlign w:val="center"/>
                </w:tcPr>
                <w:p w14:paraId="0778BBAE">
                  <w:pPr>
                    <w:bidi w:val="0"/>
                    <w:rPr>
                      <w:rFonts w:hint="eastAsia"/>
                      <w:color w:val="auto"/>
                    </w:rPr>
                  </w:pPr>
                </w:p>
              </w:tc>
              <w:tc>
                <w:tcPr>
                  <w:tcW w:w="429" w:type="pct"/>
                  <w:vMerge w:val="continue"/>
                  <w:tcBorders>
                    <w:tl2br w:val="nil"/>
                    <w:tr2bl w:val="nil"/>
                  </w:tcBorders>
                  <w:shd w:val="clear" w:color="auto" w:fill="auto"/>
                  <w:vAlign w:val="center"/>
                </w:tcPr>
                <w:p w14:paraId="55807E6E">
                  <w:pPr>
                    <w:bidi w:val="0"/>
                    <w:rPr>
                      <w:rFonts w:hint="eastAsia"/>
                      <w:color w:val="auto"/>
                    </w:rPr>
                  </w:pPr>
                </w:p>
              </w:tc>
              <w:tc>
                <w:tcPr>
                  <w:tcW w:w="310" w:type="pct"/>
                  <w:vMerge w:val="continue"/>
                  <w:tcBorders>
                    <w:tl2br w:val="nil"/>
                    <w:tr2bl w:val="nil"/>
                  </w:tcBorders>
                  <w:shd w:val="clear" w:color="auto" w:fill="auto"/>
                  <w:vAlign w:val="center"/>
                </w:tcPr>
                <w:p w14:paraId="128A16A2">
                  <w:pPr>
                    <w:bidi w:val="0"/>
                    <w:rPr>
                      <w:rFonts w:hint="eastAsia"/>
                      <w:color w:val="auto"/>
                    </w:rPr>
                  </w:pPr>
                </w:p>
              </w:tc>
              <w:tc>
                <w:tcPr>
                  <w:tcW w:w="440" w:type="pct"/>
                  <w:vMerge w:val="continue"/>
                  <w:tcBorders>
                    <w:tl2br w:val="nil"/>
                    <w:tr2bl w:val="nil"/>
                  </w:tcBorders>
                  <w:shd w:val="clear" w:color="auto" w:fill="auto"/>
                  <w:vAlign w:val="center"/>
                </w:tcPr>
                <w:p w14:paraId="1E6382F7">
                  <w:pPr>
                    <w:bidi w:val="0"/>
                    <w:rPr>
                      <w:rFonts w:hint="eastAsia"/>
                      <w:color w:val="auto"/>
                    </w:rPr>
                  </w:pPr>
                </w:p>
              </w:tc>
              <w:tc>
                <w:tcPr>
                  <w:tcW w:w="477" w:type="pct"/>
                  <w:vMerge w:val="continue"/>
                  <w:tcBorders>
                    <w:tl2br w:val="nil"/>
                    <w:tr2bl w:val="nil"/>
                  </w:tcBorders>
                  <w:shd w:val="clear" w:color="auto" w:fill="auto"/>
                  <w:vAlign w:val="center"/>
                </w:tcPr>
                <w:p w14:paraId="55540F3D">
                  <w:pPr>
                    <w:bidi w:val="0"/>
                    <w:rPr>
                      <w:rFonts w:hint="eastAsia"/>
                      <w:color w:val="auto"/>
                    </w:rPr>
                  </w:pPr>
                </w:p>
              </w:tc>
            </w:tr>
            <w:tr w14:paraId="1E38EA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491" w:hRule="atLeast"/>
              </w:trPr>
              <w:tc>
                <w:tcPr>
                  <w:tcW w:w="587" w:type="pct"/>
                  <w:tcBorders>
                    <w:tl2br w:val="nil"/>
                    <w:tr2bl w:val="nil"/>
                  </w:tcBorders>
                  <w:shd w:val="clear" w:color="auto" w:fill="auto"/>
                  <w:vAlign w:val="center"/>
                </w:tcPr>
                <w:p w14:paraId="081B88F1">
                  <w:pPr>
                    <w:pStyle w:val="37"/>
                    <w:bidi w:val="0"/>
                    <w:rPr>
                      <w:rFonts w:hint="eastAsia"/>
                      <w:color w:val="auto"/>
                    </w:rPr>
                  </w:pPr>
                  <w:r>
                    <w:rPr>
                      <w:rFonts w:hint="eastAsia"/>
                      <w:color w:val="auto"/>
                      <w:lang w:val="en-US" w:eastAsia="zh-CN"/>
                    </w:rPr>
                    <w:t>Ⅲ高原亚热带北部常绿阔叶林生态区</w:t>
                  </w:r>
                </w:p>
              </w:tc>
              <w:tc>
                <w:tcPr>
                  <w:tcW w:w="691" w:type="pct"/>
                  <w:tcBorders>
                    <w:tl2br w:val="nil"/>
                    <w:tr2bl w:val="nil"/>
                  </w:tcBorders>
                  <w:shd w:val="clear" w:color="auto" w:fill="auto"/>
                  <w:vAlign w:val="center"/>
                </w:tcPr>
                <w:p w14:paraId="036CA27A">
                  <w:pPr>
                    <w:pStyle w:val="37"/>
                    <w:bidi w:val="0"/>
                    <w:rPr>
                      <w:rFonts w:hint="eastAsia"/>
                      <w:color w:val="auto"/>
                    </w:rPr>
                  </w:pPr>
                  <w:r>
                    <w:rPr>
                      <w:rFonts w:hint="eastAsia"/>
                      <w:color w:val="auto"/>
                      <w:lang w:val="en-US" w:eastAsia="zh-CN"/>
                    </w:rPr>
                    <w:t>Ⅲ</w:t>
                  </w:r>
                  <w:r>
                    <w:rPr>
                      <w:color w:val="auto"/>
                      <w:lang w:val="en-US" w:eastAsia="zh-CN"/>
                    </w:rPr>
                    <w:t>4滇东北高中山暖性针叶林、亚高山草甸生态亚区</w:t>
                  </w:r>
                </w:p>
              </w:tc>
              <w:tc>
                <w:tcPr>
                  <w:tcW w:w="498" w:type="pct"/>
                  <w:tcBorders>
                    <w:tl2br w:val="nil"/>
                    <w:tr2bl w:val="nil"/>
                  </w:tcBorders>
                  <w:shd w:val="clear" w:color="auto" w:fill="auto"/>
                  <w:vAlign w:val="center"/>
                </w:tcPr>
                <w:p w14:paraId="251D708E">
                  <w:pPr>
                    <w:pStyle w:val="37"/>
                    <w:bidi w:val="0"/>
                    <w:rPr>
                      <w:rFonts w:hint="eastAsia"/>
                      <w:color w:val="auto"/>
                    </w:rPr>
                  </w:pPr>
                  <w:r>
                    <w:rPr>
                      <w:rFonts w:hint="eastAsia"/>
                      <w:color w:val="auto"/>
                      <w:lang w:val="en-US" w:eastAsia="zh-CN"/>
                    </w:rPr>
                    <w:t>Ⅲ</w:t>
                  </w:r>
                  <w:r>
                    <w:rPr>
                      <w:color w:val="auto"/>
                      <w:lang w:val="en-US" w:eastAsia="zh-CN"/>
                    </w:rPr>
                    <w:t>4-4牛栏江、南盘江上游岩溶山原水源涵养生态功能区</w:t>
                  </w:r>
                </w:p>
              </w:tc>
              <w:tc>
                <w:tcPr>
                  <w:tcW w:w="633" w:type="pct"/>
                  <w:tcBorders>
                    <w:tl2br w:val="nil"/>
                    <w:tr2bl w:val="nil"/>
                  </w:tcBorders>
                  <w:shd w:val="clear" w:color="auto" w:fill="auto"/>
                  <w:vAlign w:val="center"/>
                </w:tcPr>
                <w:p w14:paraId="02B37EB1">
                  <w:pPr>
                    <w:pStyle w:val="37"/>
                    <w:bidi w:val="0"/>
                    <w:rPr>
                      <w:rFonts w:hint="eastAsia"/>
                      <w:color w:val="auto"/>
                    </w:rPr>
                  </w:pPr>
                  <w:r>
                    <w:rPr>
                      <w:rFonts w:hint="eastAsia"/>
                      <w:color w:val="auto"/>
                      <w:lang w:val="en-US" w:eastAsia="zh-CN"/>
                    </w:rPr>
                    <w:t>沾益县北部，宣威市西部以及会泽县南部地区，面积</w:t>
                  </w:r>
                  <w:r>
                    <w:rPr>
                      <w:color w:val="auto"/>
                      <w:lang w:val="en-US" w:eastAsia="zh-CN"/>
                    </w:rPr>
                    <w:t>5628.93平方公里</w:t>
                  </w:r>
                </w:p>
              </w:tc>
              <w:tc>
                <w:tcPr>
                  <w:tcW w:w="930" w:type="pct"/>
                  <w:tcBorders>
                    <w:tl2br w:val="nil"/>
                    <w:tr2bl w:val="nil"/>
                  </w:tcBorders>
                  <w:shd w:val="clear" w:color="auto" w:fill="auto"/>
                  <w:vAlign w:val="center"/>
                </w:tcPr>
                <w:p w14:paraId="4505CA69">
                  <w:pPr>
                    <w:pStyle w:val="37"/>
                    <w:bidi w:val="0"/>
                    <w:rPr>
                      <w:rFonts w:hint="eastAsia"/>
                      <w:color w:val="auto"/>
                    </w:rPr>
                  </w:pPr>
                  <w:r>
                    <w:rPr>
                      <w:rFonts w:hint="eastAsia"/>
                      <w:color w:val="auto"/>
                      <w:lang w:val="en-US" w:eastAsia="zh-CN"/>
                    </w:rPr>
                    <w:t>地貌以石灰岩山原为主，大部分地区的年降雨量在</w:t>
                  </w:r>
                  <w:r>
                    <w:rPr>
                      <w:color w:val="auto"/>
                      <w:lang w:val="en-US" w:eastAsia="zh-CN"/>
                    </w:rPr>
                    <w:t>1000</w:t>
                  </w:r>
                  <w:r>
                    <w:rPr>
                      <w:rFonts w:hint="eastAsia"/>
                      <w:color w:val="auto"/>
                      <w:lang w:val="en-US" w:eastAsia="zh-CN"/>
                    </w:rPr>
                    <w:t>—</w:t>
                  </w:r>
                  <w:r>
                    <w:rPr>
                      <w:color w:val="auto"/>
                      <w:lang w:val="en-US" w:eastAsia="zh-CN"/>
                    </w:rPr>
                    <w:t>1200毫米，主要植被类型为云南松林，生长较差。主要土壤类型为黄棕壤和红壤</w:t>
                  </w:r>
                </w:p>
              </w:tc>
              <w:tc>
                <w:tcPr>
                  <w:tcW w:w="429" w:type="pct"/>
                  <w:tcBorders>
                    <w:tl2br w:val="nil"/>
                    <w:tr2bl w:val="nil"/>
                  </w:tcBorders>
                  <w:shd w:val="clear" w:color="auto" w:fill="auto"/>
                  <w:vAlign w:val="center"/>
                </w:tcPr>
                <w:p w14:paraId="3205B52E">
                  <w:pPr>
                    <w:pStyle w:val="37"/>
                    <w:bidi w:val="0"/>
                    <w:rPr>
                      <w:rFonts w:hint="eastAsia"/>
                      <w:color w:val="auto"/>
                    </w:rPr>
                  </w:pPr>
                  <w:r>
                    <w:rPr>
                      <w:rFonts w:hint="eastAsia"/>
                      <w:color w:val="auto"/>
                      <w:lang w:val="en-US" w:eastAsia="zh-CN"/>
                    </w:rPr>
                    <w:t>土地垦殖过度、森林退化严重</w:t>
                  </w:r>
                </w:p>
              </w:tc>
              <w:tc>
                <w:tcPr>
                  <w:tcW w:w="310" w:type="pct"/>
                  <w:tcBorders>
                    <w:tl2br w:val="nil"/>
                    <w:tr2bl w:val="nil"/>
                  </w:tcBorders>
                  <w:shd w:val="clear" w:color="auto" w:fill="auto"/>
                  <w:vAlign w:val="center"/>
                </w:tcPr>
                <w:p w14:paraId="4976BC19">
                  <w:pPr>
                    <w:pStyle w:val="37"/>
                    <w:bidi w:val="0"/>
                    <w:rPr>
                      <w:rFonts w:hint="eastAsia"/>
                      <w:color w:val="auto"/>
                    </w:rPr>
                  </w:pPr>
                  <w:r>
                    <w:rPr>
                      <w:rFonts w:hint="eastAsia"/>
                      <w:color w:val="auto"/>
                      <w:lang w:val="en-US" w:eastAsia="zh-CN"/>
                    </w:rPr>
                    <w:t>城乡生态交错带和水陆交错带的生态脆弱性</w:t>
                  </w:r>
                </w:p>
              </w:tc>
              <w:tc>
                <w:tcPr>
                  <w:tcW w:w="440" w:type="pct"/>
                  <w:tcBorders>
                    <w:tl2br w:val="nil"/>
                    <w:tr2bl w:val="nil"/>
                  </w:tcBorders>
                  <w:shd w:val="clear" w:color="auto" w:fill="auto"/>
                  <w:vAlign w:val="center"/>
                </w:tcPr>
                <w:p w14:paraId="3D85651E">
                  <w:pPr>
                    <w:pStyle w:val="37"/>
                    <w:bidi w:val="0"/>
                    <w:rPr>
                      <w:rFonts w:hint="eastAsia"/>
                      <w:color w:val="auto"/>
                    </w:rPr>
                  </w:pPr>
                  <w:r>
                    <w:rPr>
                      <w:rFonts w:hint="eastAsia"/>
                      <w:color w:val="auto"/>
                      <w:lang w:val="en-US" w:eastAsia="zh-CN"/>
                    </w:rPr>
                    <w:t>牛栏江、南盘江上游岩溶地区的水源涵养</w:t>
                  </w:r>
                </w:p>
              </w:tc>
              <w:tc>
                <w:tcPr>
                  <w:tcW w:w="477" w:type="pct"/>
                  <w:tcBorders>
                    <w:tl2br w:val="nil"/>
                    <w:tr2bl w:val="nil"/>
                  </w:tcBorders>
                  <w:shd w:val="clear" w:color="auto" w:fill="auto"/>
                  <w:vAlign w:val="center"/>
                </w:tcPr>
                <w:p w14:paraId="53EC197F">
                  <w:pPr>
                    <w:pStyle w:val="37"/>
                    <w:bidi w:val="0"/>
                    <w:rPr>
                      <w:rFonts w:hint="eastAsia"/>
                      <w:color w:val="auto"/>
                    </w:rPr>
                  </w:pPr>
                  <w:r>
                    <w:rPr>
                      <w:rFonts w:hint="eastAsia"/>
                      <w:color w:val="auto"/>
                      <w:lang w:val="en-US" w:eastAsia="zh-CN"/>
                    </w:rPr>
                    <w:t>严格退耕还林，加大封山育林的力度，调整产业结构，提高森林的数量和质量</w:t>
                  </w:r>
                </w:p>
              </w:tc>
            </w:tr>
          </w:tbl>
          <w:p w14:paraId="3D6CA401">
            <w:pPr>
              <w:pStyle w:val="37"/>
              <w:bidi w:val="0"/>
              <w:rPr>
                <w:rFonts w:hint="eastAsia"/>
                <w:color w:val="auto"/>
              </w:rPr>
            </w:pPr>
          </w:p>
          <w:p w14:paraId="0FA1A1EA">
            <w:pPr>
              <w:bidi w:val="0"/>
              <w:rPr>
                <w:rFonts w:hint="eastAsia"/>
                <w:color w:val="auto"/>
                <w:lang w:val="en-US" w:eastAsia="zh-CN"/>
              </w:rPr>
            </w:pPr>
            <w:r>
              <w:rPr>
                <w:rFonts w:hint="eastAsia"/>
                <w:color w:val="auto"/>
                <w:lang w:val="en-US" w:eastAsia="zh-CN"/>
              </w:rPr>
              <w:t>本项目施工结束后临时用地将得到恢复，永久设施附近将进行一定面积的绿化，对区域生态环境不会造成大的影响。项目建成后对区域电力能源保障等方面均能起到一定正面影响，从长远看，对防治区域石漠化、保护生态环境有益。工程建设符合《云南省生态功能区划》中该区域的相关要求和发展方向。</w:t>
            </w:r>
          </w:p>
          <w:p w14:paraId="5CAA5812">
            <w:pPr>
              <w:bidi w:val="0"/>
              <w:ind w:left="0" w:leftChars="0" w:firstLine="0" w:firstLineChars="0"/>
              <w:rPr>
                <w:b/>
                <w:bCs/>
                <w:color w:val="auto"/>
              </w:rPr>
            </w:pPr>
            <w:r>
              <w:rPr>
                <w:rFonts w:hint="eastAsia"/>
                <w:b/>
                <w:bCs/>
                <w:color w:val="auto"/>
                <w:lang w:val="en-US" w:eastAsia="zh-CN"/>
              </w:rPr>
              <w:t>3.</w:t>
            </w:r>
            <w:r>
              <w:rPr>
                <w:rFonts w:hint="eastAsia"/>
                <w:b/>
                <w:bCs/>
                <w:color w:val="auto"/>
              </w:rPr>
              <w:t>土地利用现状</w:t>
            </w:r>
          </w:p>
          <w:p w14:paraId="04D9A611">
            <w:pPr>
              <w:bidi w:val="0"/>
              <w:rPr>
                <w:rFonts w:hint="default"/>
                <w:color w:val="auto"/>
                <w:highlight w:val="none"/>
                <w:lang w:val="en-US" w:eastAsia="zh-CN"/>
              </w:rPr>
            </w:pPr>
            <w:r>
              <w:rPr>
                <w:rFonts w:hint="eastAsia"/>
                <w:color w:val="auto"/>
                <w:highlight w:val="none"/>
              </w:rPr>
              <w:t>项目区</w:t>
            </w:r>
            <w:r>
              <w:rPr>
                <w:rFonts w:hint="eastAsia"/>
                <w:color w:val="auto"/>
                <w:highlight w:val="none"/>
                <w:lang w:eastAsia="zh-CN"/>
              </w:rPr>
              <w:t>总</w:t>
            </w:r>
            <w:r>
              <w:rPr>
                <w:color w:val="auto"/>
                <w:highlight w:val="none"/>
              </w:rPr>
              <w:t>占地面积</w:t>
            </w:r>
            <w:r>
              <w:rPr>
                <w:rFonts w:hint="eastAsia"/>
                <w:color w:val="auto"/>
                <w:highlight w:val="none"/>
                <w:lang w:val="en-US" w:eastAsia="zh-CN"/>
              </w:rPr>
              <w:t>2.9347</w:t>
            </w:r>
            <w:r>
              <w:rPr>
                <w:color w:val="auto"/>
                <w:highlight w:val="none"/>
              </w:rPr>
              <w:t>hm</w:t>
            </w:r>
            <w:r>
              <w:rPr>
                <w:color w:val="auto"/>
                <w:highlight w:val="none"/>
                <w:vertAlign w:val="superscript"/>
              </w:rPr>
              <w:t>2</w:t>
            </w:r>
            <w:r>
              <w:rPr>
                <w:rFonts w:hint="eastAsia"/>
                <w:color w:val="auto"/>
                <w:highlight w:val="none"/>
                <w:lang w:eastAsia="zh-CN"/>
              </w:rPr>
              <w:t>，工程永久占地主要为风机基础，合计</w:t>
            </w:r>
            <w:r>
              <w:rPr>
                <w:rFonts w:hint="eastAsia"/>
                <w:color w:val="auto"/>
                <w:highlight w:val="none"/>
                <w:lang w:val="en-US" w:eastAsia="zh-CN"/>
              </w:rPr>
              <w:t>0.1596</w:t>
            </w:r>
            <w:r>
              <w:rPr>
                <w:rFonts w:hint="eastAsia"/>
                <w:color w:val="auto"/>
                <w:highlight w:val="none"/>
                <w:lang w:eastAsia="zh-CN"/>
              </w:rPr>
              <w:t>hm</w:t>
            </w:r>
            <w:r>
              <w:rPr>
                <w:rFonts w:hint="eastAsia"/>
                <w:color w:val="auto"/>
                <w:highlight w:val="none"/>
                <w:vertAlign w:val="superscript"/>
                <w:lang w:eastAsia="zh-CN"/>
              </w:rPr>
              <w:t>2</w:t>
            </w:r>
            <w:r>
              <w:rPr>
                <w:rFonts w:hint="eastAsia"/>
                <w:color w:val="auto"/>
                <w:highlight w:val="none"/>
                <w:lang w:eastAsia="zh-CN"/>
              </w:rPr>
              <w:t>，临时占地主要为风电机组吊装平台、</w:t>
            </w:r>
            <w:r>
              <w:rPr>
                <w:rFonts w:hint="eastAsia"/>
                <w:color w:val="auto"/>
                <w:highlight w:val="none"/>
                <w:lang w:val="en-US" w:eastAsia="zh-CN"/>
              </w:rPr>
              <w:t>地埋电缆</w:t>
            </w:r>
            <w:r>
              <w:rPr>
                <w:rFonts w:hint="eastAsia"/>
                <w:color w:val="auto"/>
                <w:highlight w:val="none"/>
                <w:lang w:eastAsia="zh-CN"/>
              </w:rPr>
              <w:t>沟、场内道路等，合计</w:t>
            </w:r>
            <w:r>
              <w:rPr>
                <w:rFonts w:hint="eastAsia"/>
                <w:color w:val="auto"/>
                <w:highlight w:val="none"/>
                <w:lang w:val="en-US" w:eastAsia="zh-CN"/>
              </w:rPr>
              <w:t>2.7751</w:t>
            </w:r>
            <w:r>
              <w:rPr>
                <w:rFonts w:hint="eastAsia"/>
                <w:color w:val="auto"/>
                <w:highlight w:val="none"/>
                <w:lang w:eastAsia="zh-CN"/>
              </w:rPr>
              <w:t>hm</w:t>
            </w:r>
            <w:r>
              <w:rPr>
                <w:rFonts w:hint="eastAsia"/>
                <w:color w:val="auto"/>
                <w:highlight w:val="none"/>
                <w:vertAlign w:val="superscript"/>
                <w:lang w:eastAsia="zh-CN"/>
              </w:rPr>
              <w:t>2</w:t>
            </w:r>
            <w:r>
              <w:rPr>
                <w:rFonts w:hint="eastAsia"/>
                <w:color w:val="auto"/>
                <w:highlight w:val="none"/>
                <w:lang w:eastAsia="zh-CN"/>
              </w:rPr>
              <w:t>。</w:t>
            </w:r>
            <w:r>
              <w:rPr>
                <w:rFonts w:hint="eastAsia"/>
                <w:color w:val="auto"/>
                <w:highlight w:val="none"/>
                <w:lang w:val="en-US" w:eastAsia="zh-CN"/>
              </w:rPr>
              <w:t>土地利用现状主要为耕地、林地、草地和村庄道路用地。</w:t>
            </w:r>
          </w:p>
          <w:p w14:paraId="08A49657">
            <w:pPr>
              <w:bidi w:val="0"/>
              <w:rPr>
                <w:rFonts w:hint="eastAsia"/>
                <w:color w:val="auto"/>
                <w:highlight w:val="none"/>
                <w:lang w:eastAsia="zh-CN"/>
              </w:rPr>
            </w:pPr>
            <w:r>
              <w:rPr>
                <w:rFonts w:hint="eastAsia"/>
                <w:color w:val="auto"/>
                <w:highlight w:val="none"/>
                <w:lang w:eastAsia="zh-CN"/>
              </w:rPr>
              <w:t>项目占地全部为租用当地流转的土地，服务期满恢复至原有土地性质后交还。</w:t>
            </w:r>
          </w:p>
          <w:p w14:paraId="31E1E63F">
            <w:pPr>
              <w:pStyle w:val="27"/>
              <w:bidi w:val="0"/>
              <w:rPr>
                <w:rFonts w:hint="eastAsia"/>
                <w:color w:val="auto"/>
                <w:highlight w:val="none"/>
                <w:vertAlign w:val="superscript"/>
                <w:lang w:val="en-US" w:eastAsia="zh-CN"/>
              </w:rPr>
            </w:pPr>
            <w:r>
              <w:rPr>
                <w:rFonts w:hint="eastAsia"/>
                <w:color w:val="auto"/>
                <w:highlight w:val="none"/>
                <w:lang w:val="en-US" w:eastAsia="zh-CN"/>
              </w:rPr>
              <w:t>表3-2  项目占地类型一览表单位hm</w:t>
            </w:r>
            <w:r>
              <w:rPr>
                <w:rFonts w:hint="eastAsia"/>
                <w:color w:val="auto"/>
                <w:highlight w:val="none"/>
                <w:vertAlign w:val="superscript"/>
                <w:lang w:val="en-US" w:eastAsia="zh-CN"/>
              </w:rPr>
              <w:t>2</w:t>
            </w:r>
          </w:p>
          <w:tbl>
            <w:tblPr>
              <w:tblStyle w:val="20"/>
              <w:tblW w:w="4999"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814"/>
              <w:gridCol w:w="1299"/>
              <w:gridCol w:w="975"/>
              <w:gridCol w:w="975"/>
              <w:gridCol w:w="1815"/>
              <w:gridCol w:w="983"/>
            </w:tblGrid>
            <w:tr w14:paraId="0A596E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18" w:hRule="atLeast"/>
                <w:jc w:val="center"/>
              </w:trPr>
              <w:tc>
                <w:tcPr>
                  <w:tcW w:w="1154" w:type="pct"/>
                  <w:vMerge w:val="restart"/>
                  <w:tcBorders>
                    <w:tl2br w:val="nil"/>
                    <w:tr2bl w:val="nil"/>
                  </w:tcBorders>
                  <w:shd w:val="clear" w:color="auto" w:fill="auto"/>
                  <w:noWrap/>
                  <w:vAlign w:val="center"/>
                </w:tcPr>
                <w:p w14:paraId="5761F670">
                  <w:pPr>
                    <w:pStyle w:val="37"/>
                    <w:bidi w:val="0"/>
                    <w:rPr>
                      <w:rFonts w:hint="eastAsia"/>
                      <w:color w:val="auto"/>
                    </w:rPr>
                  </w:pPr>
                  <w:r>
                    <w:rPr>
                      <w:rFonts w:hint="eastAsia"/>
                      <w:color w:val="auto"/>
                      <w:lang w:val="en-US" w:eastAsia="zh-CN"/>
                    </w:rPr>
                    <w:t>工程内容</w:t>
                  </w:r>
                </w:p>
              </w:tc>
              <w:tc>
                <w:tcPr>
                  <w:tcW w:w="3845" w:type="pct"/>
                  <w:gridSpan w:val="5"/>
                  <w:tcBorders>
                    <w:tl2br w:val="nil"/>
                    <w:tr2bl w:val="nil"/>
                  </w:tcBorders>
                  <w:shd w:val="clear" w:color="auto" w:fill="auto"/>
                  <w:noWrap/>
                  <w:vAlign w:val="center"/>
                </w:tcPr>
                <w:p w14:paraId="04AC8DD7">
                  <w:pPr>
                    <w:pStyle w:val="37"/>
                    <w:bidi w:val="0"/>
                    <w:rPr>
                      <w:rFonts w:hint="eastAsia"/>
                      <w:color w:val="auto"/>
                      <w:lang w:val="en-US" w:eastAsia="zh-CN"/>
                    </w:rPr>
                  </w:pPr>
                  <w:r>
                    <w:rPr>
                      <w:rFonts w:hint="eastAsia"/>
                      <w:color w:val="auto"/>
                      <w:lang w:val="en-US" w:eastAsia="zh-CN"/>
                    </w:rPr>
                    <w:t>占地类型</w:t>
                  </w:r>
                </w:p>
              </w:tc>
            </w:tr>
            <w:tr w14:paraId="21C2B39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154" w:type="pct"/>
                  <w:vMerge w:val="continue"/>
                  <w:tcBorders>
                    <w:tl2br w:val="nil"/>
                    <w:tr2bl w:val="nil"/>
                  </w:tcBorders>
                  <w:shd w:val="clear" w:color="auto" w:fill="auto"/>
                  <w:noWrap/>
                  <w:vAlign w:val="center"/>
                </w:tcPr>
                <w:p w14:paraId="013EFF46">
                  <w:pPr>
                    <w:pStyle w:val="37"/>
                    <w:bidi w:val="0"/>
                    <w:rPr>
                      <w:rFonts w:hint="eastAsia"/>
                      <w:color w:val="auto"/>
                    </w:rPr>
                  </w:pPr>
                </w:p>
              </w:tc>
              <w:tc>
                <w:tcPr>
                  <w:tcW w:w="826" w:type="pct"/>
                  <w:tcBorders>
                    <w:tl2br w:val="nil"/>
                    <w:tr2bl w:val="nil"/>
                  </w:tcBorders>
                  <w:shd w:val="clear" w:color="auto" w:fill="auto"/>
                  <w:noWrap/>
                  <w:vAlign w:val="center"/>
                </w:tcPr>
                <w:p w14:paraId="4A857931">
                  <w:pPr>
                    <w:pStyle w:val="37"/>
                    <w:bidi w:val="0"/>
                    <w:rPr>
                      <w:rFonts w:hint="eastAsia"/>
                      <w:color w:val="auto"/>
                    </w:rPr>
                  </w:pPr>
                  <w:r>
                    <w:rPr>
                      <w:rFonts w:hint="eastAsia"/>
                      <w:color w:val="auto"/>
                      <w:lang w:val="en-US" w:eastAsia="zh-CN"/>
                    </w:rPr>
                    <w:t>乔木林地</w:t>
                  </w:r>
                </w:p>
              </w:tc>
              <w:tc>
                <w:tcPr>
                  <w:tcW w:w="620" w:type="pct"/>
                  <w:tcBorders>
                    <w:tl2br w:val="nil"/>
                    <w:tr2bl w:val="nil"/>
                  </w:tcBorders>
                  <w:shd w:val="clear" w:color="auto" w:fill="auto"/>
                  <w:noWrap/>
                  <w:vAlign w:val="center"/>
                </w:tcPr>
                <w:p w14:paraId="4E730AD9">
                  <w:pPr>
                    <w:pStyle w:val="37"/>
                    <w:bidi w:val="0"/>
                    <w:rPr>
                      <w:rFonts w:hint="eastAsia"/>
                      <w:color w:val="auto"/>
                    </w:rPr>
                  </w:pPr>
                  <w:r>
                    <w:rPr>
                      <w:rFonts w:hint="eastAsia"/>
                      <w:color w:val="auto"/>
                      <w:lang w:val="en-US" w:eastAsia="zh-CN"/>
                    </w:rPr>
                    <w:t>草地</w:t>
                  </w:r>
                </w:p>
              </w:tc>
              <w:tc>
                <w:tcPr>
                  <w:tcW w:w="620" w:type="pct"/>
                  <w:tcBorders>
                    <w:tl2br w:val="nil"/>
                    <w:tr2bl w:val="nil"/>
                  </w:tcBorders>
                  <w:shd w:val="clear" w:color="auto" w:fill="auto"/>
                  <w:noWrap/>
                  <w:vAlign w:val="center"/>
                </w:tcPr>
                <w:p w14:paraId="33130383">
                  <w:pPr>
                    <w:pStyle w:val="37"/>
                    <w:bidi w:val="0"/>
                    <w:rPr>
                      <w:rFonts w:hint="eastAsia"/>
                      <w:color w:val="auto"/>
                    </w:rPr>
                  </w:pPr>
                  <w:r>
                    <w:rPr>
                      <w:rFonts w:hint="eastAsia"/>
                      <w:color w:val="auto"/>
                      <w:lang w:val="en-US" w:eastAsia="zh-CN"/>
                    </w:rPr>
                    <w:t>耕地</w:t>
                  </w:r>
                </w:p>
              </w:tc>
              <w:tc>
                <w:tcPr>
                  <w:tcW w:w="1154" w:type="pct"/>
                  <w:tcBorders>
                    <w:tl2br w:val="nil"/>
                    <w:tr2bl w:val="nil"/>
                  </w:tcBorders>
                  <w:shd w:val="clear" w:color="auto" w:fill="auto"/>
                  <w:vAlign w:val="center"/>
                </w:tcPr>
                <w:p w14:paraId="4D8DFF9E">
                  <w:pPr>
                    <w:pStyle w:val="37"/>
                    <w:bidi w:val="0"/>
                    <w:rPr>
                      <w:rFonts w:hint="eastAsia"/>
                      <w:color w:val="auto"/>
                    </w:rPr>
                  </w:pPr>
                  <w:r>
                    <w:rPr>
                      <w:rFonts w:hint="eastAsia"/>
                      <w:color w:val="auto"/>
                      <w:lang w:val="en-US" w:eastAsia="zh-CN"/>
                    </w:rPr>
                    <w:t>农村道路用地</w:t>
                  </w:r>
                </w:p>
              </w:tc>
              <w:tc>
                <w:tcPr>
                  <w:tcW w:w="622" w:type="pct"/>
                  <w:tcBorders>
                    <w:tl2br w:val="nil"/>
                    <w:tr2bl w:val="nil"/>
                  </w:tcBorders>
                  <w:shd w:val="clear" w:color="auto" w:fill="auto"/>
                  <w:vAlign w:val="center"/>
                </w:tcPr>
                <w:p w14:paraId="04C0A04B">
                  <w:pPr>
                    <w:pStyle w:val="37"/>
                    <w:bidi w:val="0"/>
                    <w:rPr>
                      <w:rFonts w:hint="eastAsia"/>
                      <w:color w:val="auto"/>
                      <w:lang w:val="en-US" w:eastAsia="zh-CN"/>
                    </w:rPr>
                  </w:pPr>
                  <w:r>
                    <w:rPr>
                      <w:rFonts w:hint="eastAsia"/>
                      <w:color w:val="auto"/>
                      <w:lang w:val="en-US" w:eastAsia="zh-CN"/>
                    </w:rPr>
                    <w:t>小计</w:t>
                  </w:r>
                </w:p>
              </w:tc>
            </w:tr>
            <w:tr w14:paraId="4E421B3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1154" w:type="pct"/>
                  <w:tcBorders>
                    <w:tl2br w:val="nil"/>
                    <w:tr2bl w:val="nil"/>
                  </w:tcBorders>
                  <w:shd w:val="clear" w:color="auto" w:fill="auto"/>
                  <w:noWrap/>
                  <w:vAlign w:val="center"/>
                </w:tcPr>
                <w:p w14:paraId="21755E47">
                  <w:pPr>
                    <w:pStyle w:val="37"/>
                    <w:bidi w:val="0"/>
                    <w:rPr>
                      <w:rFonts w:hint="eastAsia"/>
                      <w:color w:val="auto"/>
                    </w:rPr>
                  </w:pPr>
                  <w:r>
                    <w:rPr>
                      <w:rFonts w:hint="eastAsia"/>
                      <w:color w:val="auto"/>
                      <w:lang w:val="en-US" w:eastAsia="zh-CN"/>
                    </w:rPr>
                    <w:t>风机基础</w:t>
                  </w:r>
                </w:p>
              </w:tc>
              <w:tc>
                <w:tcPr>
                  <w:tcW w:w="1299" w:type="dxa"/>
                  <w:tcBorders>
                    <w:tl2br w:val="nil"/>
                    <w:tr2bl w:val="nil"/>
                  </w:tcBorders>
                  <w:shd w:val="clear" w:color="auto" w:fill="auto"/>
                  <w:noWrap/>
                  <w:vAlign w:val="center"/>
                </w:tcPr>
                <w:p w14:paraId="38655FAD">
                  <w:pPr>
                    <w:pStyle w:val="34"/>
                    <w:bidi w:val="0"/>
                    <w:rPr>
                      <w:rFonts w:hint="eastAsia"/>
                      <w:color w:val="auto"/>
                    </w:rPr>
                  </w:pPr>
                </w:p>
              </w:tc>
              <w:tc>
                <w:tcPr>
                  <w:tcW w:w="975" w:type="dxa"/>
                  <w:tcBorders>
                    <w:tl2br w:val="nil"/>
                    <w:tr2bl w:val="nil"/>
                  </w:tcBorders>
                  <w:shd w:val="clear" w:color="auto" w:fill="auto"/>
                  <w:noWrap/>
                  <w:vAlign w:val="center"/>
                </w:tcPr>
                <w:p w14:paraId="43BA0C51">
                  <w:pPr>
                    <w:pStyle w:val="34"/>
                    <w:bidi w:val="0"/>
                    <w:rPr>
                      <w:rFonts w:hint="eastAsia"/>
                      <w:color w:val="auto"/>
                    </w:rPr>
                  </w:pPr>
                  <w:r>
                    <w:rPr>
                      <w:rFonts w:hint="eastAsia"/>
                      <w:color w:val="auto"/>
                      <w:lang w:val="en-US" w:eastAsia="zh-CN"/>
                    </w:rPr>
                    <w:t>0.0557</w:t>
                  </w:r>
                </w:p>
              </w:tc>
              <w:tc>
                <w:tcPr>
                  <w:tcW w:w="975" w:type="dxa"/>
                  <w:tcBorders>
                    <w:tl2br w:val="nil"/>
                    <w:tr2bl w:val="nil"/>
                  </w:tcBorders>
                  <w:shd w:val="clear" w:color="auto" w:fill="auto"/>
                  <w:noWrap/>
                  <w:vAlign w:val="center"/>
                </w:tcPr>
                <w:p w14:paraId="709CF811">
                  <w:pPr>
                    <w:pStyle w:val="34"/>
                    <w:bidi w:val="0"/>
                    <w:rPr>
                      <w:rFonts w:hint="eastAsia"/>
                      <w:color w:val="auto"/>
                    </w:rPr>
                  </w:pPr>
                  <w:r>
                    <w:rPr>
                      <w:rFonts w:hint="eastAsia"/>
                      <w:color w:val="auto"/>
                      <w:lang w:val="en-US" w:eastAsia="zh-CN"/>
                    </w:rPr>
                    <w:t>0.1039</w:t>
                  </w:r>
                </w:p>
              </w:tc>
              <w:tc>
                <w:tcPr>
                  <w:tcW w:w="1814" w:type="dxa"/>
                  <w:tcBorders>
                    <w:tl2br w:val="nil"/>
                    <w:tr2bl w:val="nil"/>
                  </w:tcBorders>
                  <w:shd w:val="clear" w:color="auto" w:fill="auto"/>
                  <w:noWrap/>
                  <w:vAlign w:val="center"/>
                </w:tcPr>
                <w:p w14:paraId="1779B312">
                  <w:pPr>
                    <w:pStyle w:val="34"/>
                    <w:bidi w:val="0"/>
                    <w:rPr>
                      <w:rFonts w:hint="eastAsia"/>
                      <w:color w:val="auto"/>
                    </w:rPr>
                  </w:pPr>
                </w:p>
              </w:tc>
              <w:tc>
                <w:tcPr>
                  <w:tcW w:w="622" w:type="pct"/>
                  <w:tcBorders>
                    <w:tl2br w:val="nil"/>
                    <w:tr2bl w:val="nil"/>
                  </w:tcBorders>
                  <w:shd w:val="clear" w:color="auto" w:fill="auto"/>
                  <w:noWrap/>
                  <w:vAlign w:val="center"/>
                </w:tcPr>
                <w:p w14:paraId="096A398E">
                  <w:pPr>
                    <w:pStyle w:val="37"/>
                    <w:bidi w:val="0"/>
                    <w:rPr>
                      <w:rFonts w:hint="eastAsia"/>
                      <w:color w:val="auto"/>
                    </w:rPr>
                  </w:pPr>
                  <w:r>
                    <w:rPr>
                      <w:rFonts w:hint="eastAsia"/>
                      <w:color w:val="auto"/>
                      <w:lang w:val="en-US" w:eastAsia="zh-CN"/>
                    </w:rPr>
                    <w:t>0.1596</w:t>
                  </w:r>
                </w:p>
              </w:tc>
            </w:tr>
            <w:tr w14:paraId="2B39042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1154" w:type="pct"/>
                  <w:tcBorders>
                    <w:tl2br w:val="nil"/>
                    <w:tr2bl w:val="nil"/>
                  </w:tcBorders>
                  <w:shd w:val="clear" w:color="auto" w:fill="auto"/>
                  <w:noWrap/>
                  <w:vAlign w:val="center"/>
                </w:tcPr>
                <w:p w14:paraId="79FC87EC">
                  <w:pPr>
                    <w:pStyle w:val="37"/>
                    <w:bidi w:val="0"/>
                    <w:rPr>
                      <w:rFonts w:hint="eastAsia"/>
                      <w:color w:val="auto"/>
                    </w:rPr>
                  </w:pPr>
                  <w:r>
                    <w:rPr>
                      <w:rFonts w:hint="eastAsia"/>
                      <w:color w:val="auto"/>
                      <w:lang w:val="en-US" w:eastAsia="zh-CN"/>
                    </w:rPr>
                    <w:t>风机吊装平台</w:t>
                  </w:r>
                </w:p>
              </w:tc>
              <w:tc>
                <w:tcPr>
                  <w:tcW w:w="1299" w:type="dxa"/>
                  <w:tcBorders>
                    <w:tl2br w:val="nil"/>
                    <w:tr2bl w:val="nil"/>
                  </w:tcBorders>
                  <w:shd w:val="clear" w:color="auto" w:fill="auto"/>
                  <w:noWrap/>
                  <w:vAlign w:val="center"/>
                </w:tcPr>
                <w:p w14:paraId="02BC8D17">
                  <w:pPr>
                    <w:pStyle w:val="34"/>
                    <w:bidi w:val="0"/>
                    <w:rPr>
                      <w:rFonts w:hint="eastAsia"/>
                      <w:color w:val="auto"/>
                    </w:rPr>
                  </w:pPr>
                  <w:r>
                    <w:rPr>
                      <w:rFonts w:hint="eastAsia"/>
                      <w:color w:val="auto"/>
                      <w:lang w:val="en-US" w:eastAsia="zh-CN"/>
                    </w:rPr>
                    <w:t>0.2080</w:t>
                  </w:r>
                </w:p>
              </w:tc>
              <w:tc>
                <w:tcPr>
                  <w:tcW w:w="975" w:type="dxa"/>
                  <w:tcBorders>
                    <w:tl2br w:val="nil"/>
                    <w:tr2bl w:val="nil"/>
                  </w:tcBorders>
                  <w:shd w:val="clear" w:color="auto" w:fill="auto"/>
                  <w:noWrap/>
                  <w:vAlign w:val="center"/>
                </w:tcPr>
                <w:p w14:paraId="49907041">
                  <w:pPr>
                    <w:pStyle w:val="34"/>
                    <w:bidi w:val="0"/>
                    <w:rPr>
                      <w:rFonts w:hint="eastAsia"/>
                      <w:color w:val="auto"/>
                    </w:rPr>
                  </w:pPr>
                  <w:r>
                    <w:rPr>
                      <w:rFonts w:hint="eastAsia"/>
                      <w:color w:val="auto"/>
                      <w:lang w:val="en-US" w:eastAsia="zh-CN"/>
                    </w:rPr>
                    <w:t>0.3683</w:t>
                  </w:r>
                </w:p>
              </w:tc>
              <w:tc>
                <w:tcPr>
                  <w:tcW w:w="975" w:type="dxa"/>
                  <w:tcBorders>
                    <w:tl2br w:val="nil"/>
                    <w:tr2bl w:val="nil"/>
                  </w:tcBorders>
                  <w:shd w:val="clear" w:color="auto" w:fill="auto"/>
                  <w:noWrap/>
                  <w:vAlign w:val="center"/>
                </w:tcPr>
                <w:p w14:paraId="5999A18B">
                  <w:pPr>
                    <w:pStyle w:val="34"/>
                    <w:bidi w:val="0"/>
                    <w:rPr>
                      <w:rFonts w:hint="eastAsia"/>
                      <w:color w:val="auto"/>
                    </w:rPr>
                  </w:pPr>
                  <w:r>
                    <w:rPr>
                      <w:rFonts w:hint="eastAsia"/>
                      <w:color w:val="auto"/>
                      <w:lang w:val="en-US" w:eastAsia="zh-CN"/>
                    </w:rPr>
                    <w:t>0.6130</w:t>
                  </w:r>
                </w:p>
              </w:tc>
              <w:tc>
                <w:tcPr>
                  <w:tcW w:w="1814" w:type="dxa"/>
                  <w:tcBorders>
                    <w:tl2br w:val="nil"/>
                    <w:tr2bl w:val="nil"/>
                  </w:tcBorders>
                  <w:shd w:val="clear" w:color="auto" w:fill="auto"/>
                  <w:noWrap/>
                  <w:vAlign w:val="center"/>
                </w:tcPr>
                <w:p w14:paraId="3A381123">
                  <w:pPr>
                    <w:pStyle w:val="34"/>
                    <w:bidi w:val="0"/>
                    <w:rPr>
                      <w:rFonts w:hint="eastAsia"/>
                      <w:color w:val="auto"/>
                    </w:rPr>
                  </w:pPr>
                  <w:r>
                    <w:rPr>
                      <w:rFonts w:hint="eastAsia"/>
                      <w:color w:val="auto"/>
                      <w:lang w:val="en-US" w:eastAsia="zh-CN"/>
                    </w:rPr>
                    <w:t>0.0385</w:t>
                  </w:r>
                </w:p>
              </w:tc>
              <w:tc>
                <w:tcPr>
                  <w:tcW w:w="622" w:type="pct"/>
                  <w:tcBorders>
                    <w:tl2br w:val="nil"/>
                    <w:tr2bl w:val="nil"/>
                  </w:tcBorders>
                  <w:shd w:val="clear" w:color="auto" w:fill="auto"/>
                  <w:noWrap/>
                  <w:vAlign w:val="center"/>
                </w:tcPr>
                <w:p w14:paraId="27151E56">
                  <w:pPr>
                    <w:pStyle w:val="37"/>
                    <w:bidi w:val="0"/>
                    <w:rPr>
                      <w:rFonts w:hint="eastAsia"/>
                      <w:color w:val="auto"/>
                      <w:lang w:val="en-US" w:eastAsia="zh-CN"/>
                    </w:rPr>
                  </w:pPr>
                  <w:r>
                    <w:rPr>
                      <w:rFonts w:hint="eastAsia"/>
                      <w:color w:val="auto"/>
                      <w:lang w:val="en-US" w:eastAsia="zh-CN"/>
                    </w:rPr>
                    <w:t>1.2278</w:t>
                  </w:r>
                </w:p>
              </w:tc>
            </w:tr>
            <w:tr w14:paraId="4B6161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18" w:hRule="atLeast"/>
                <w:jc w:val="center"/>
              </w:trPr>
              <w:tc>
                <w:tcPr>
                  <w:tcW w:w="1154" w:type="pct"/>
                  <w:tcBorders>
                    <w:tl2br w:val="nil"/>
                    <w:tr2bl w:val="nil"/>
                  </w:tcBorders>
                  <w:shd w:val="clear" w:color="auto" w:fill="auto"/>
                  <w:noWrap/>
                  <w:vAlign w:val="center"/>
                </w:tcPr>
                <w:p w14:paraId="6C483198">
                  <w:pPr>
                    <w:pStyle w:val="37"/>
                    <w:bidi w:val="0"/>
                    <w:rPr>
                      <w:rFonts w:hint="eastAsia"/>
                      <w:color w:val="auto"/>
                    </w:rPr>
                  </w:pPr>
                  <w:r>
                    <w:rPr>
                      <w:rFonts w:hint="eastAsia"/>
                      <w:color w:val="auto"/>
                      <w:lang w:val="en-US" w:eastAsia="zh-CN"/>
                    </w:rPr>
                    <w:t>集电线路</w:t>
                  </w:r>
                </w:p>
              </w:tc>
              <w:tc>
                <w:tcPr>
                  <w:tcW w:w="1299" w:type="dxa"/>
                  <w:tcBorders>
                    <w:tl2br w:val="nil"/>
                    <w:tr2bl w:val="nil"/>
                  </w:tcBorders>
                  <w:shd w:val="clear" w:color="auto" w:fill="auto"/>
                  <w:noWrap/>
                  <w:vAlign w:val="center"/>
                </w:tcPr>
                <w:p w14:paraId="61D267AC">
                  <w:pPr>
                    <w:pStyle w:val="34"/>
                    <w:bidi w:val="0"/>
                    <w:rPr>
                      <w:rFonts w:hint="eastAsia"/>
                      <w:color w:val="auto"/>
                    </w:rPr>
                  </w:pPr>
                </w:p>
              </w:tc>
              <w:tc>
                <w:tcPr>
                  <w:tcW w:w="975" w:type="dxa"/>
                  <w:tcBorders>
                    <w:tl2br w:val="nil"/>
                    <w:tr2bl w:val="nil"/>
                  </w:tcBorders>
                  <w:shd w:val="clear" w:color="auto" w:fill="auto"/>
                  <w:noWrap/>
                  <w:vAlign w:val="center"/>
                </w:tcPr>
                <w:p w14:paraId="670B41B3">
                  <w:pPr>
                    <w:pStyle w:val="34"/>
                    <w:bidi w:val="0"/>
                    <w:rPr>
                      <w:rFonts w:hint="eastAsia"/>
                      <w:color w:val="auto"/>
                    </w:rPr>
                  </w:pPr>
                  <w:r>
                    <w:rPr>
                      <w:rFonts w:hint="eastAsia"/>
                      <w:color w:val="auto"/>
                      <w:lang w:val="en-US" w:eastAsia="zh-CN"/>
                    </w:rPr>
                    <w:t>0.4303</w:t>
                  </w:r>
                </w:p>
              </w:tc>
              <w:tc>
                <w:tcPr>
                  <w:tcW w:w="975" w:type="dxa"/>
                  <w:tcBorders>
                    <w:tl2br w:val="nil"/>
                    <w:tr2bl w:val="nil"/>
                  </w:tcBorders>
                  <w:shd w:val="clear" w:color="auto" w:fill="auto"/>
                  <w:noWrap/>
                  <w:vAlign w:val="center"/>
                </w:tcPr>
                <w:p w14:paraId="46CC2B1F">
                  <w:pPr>
                    <w:pStyle w:val="34"/>
                    <w:bidi w:val="0"/>
                    <w:rPr>
                      <w:rFonts w:hint="eastAsia"/>
                      <w:color w:val="auto"/>
                    </w:rPr>
                  </w:pPr>
                  <w:r>
                    <w:rPr>
                      <w:rFonts w:hint="eastAsia"/>
                      <w:color w:val="auto"/>
                      <w:lang w:val="en-US" w:eastAsia="zh-CN"/>
                    </w:rPr>
                    <w:t>0.6651</w:t>
                  </w:r>
                </w:p>
              </w:tc>
              <w:tc>
                <w:tcPr>
                  <w:tcW w:w="1814" w:type="dxa"/>
                  <w:tcBorders>
                    <w:tl2br w:val="nil"/>
                    <w:tr2bl w:val="nil"/>
                  </w:tcBorders>
                  <w:shd w:val="clear" w:color="auto" w:fill="auto"/>
                  <w:noWrap/>
                  <w:vAlign w:val="center"/>
                </w:tcPr>
                <w:p w14:paraId="23456AE9">
                  <w:pPr>
                    <w:pStyle w:val="34"/>
                    <w:bidi w:val="0"/>
                    <w:rPr>
                      <w:rFonts w:hint="eastAsia"/>
                      <w:color w:val="auto"/>
                    </w:rPr>
                  </w:pPr>
                  <w:r>
                    <w:rPr>
                      <w:rFonts w:hint="eastAsia"/>
                      <w:color w:val="auto"/>
                      <w:lang w:val="en-US" w:eastAsia="zh-CN"/>
                    </w:rPr>
                    <w:t>0.1340</w:t>
                  </w:r>
                </w:p>
              </w:tc>
              <w:tc>
                <w:tcPr>
                  <w:tcW w:w="622" w:type="pct"/>
                  <w:tcBorders>
                    <w:tl2br w:val="nil"/>
                    <w:tr2bl w:val="nil"/>
                  </w:tcBorders>
                  <w:shd w:val="clear" w:color="auto" w:fill="auto"/>
                  <w:noWrap/>
                  <w:vAlign w:val="center"/>
                </w:tcPr>
                <w:p w14:paraId="588ABFCB">
                  <w:pPr>
                    <w:pStyle w:val="37"/>
                    <w:bidi w:val="0"/>
                    <w:rPr>
                      <w:rFonts w:hint="eastAsia"/>
                      <w:color w:val="auto"/>
                    </w:rPr>
                  </w:pPr>
                  <w:r>
                    <w:rPr>
                      <w:rFonts w:hint="eastAsia"/>
                      <w:color w:val="auto"/>
                      <w:lang w:val="en-US" w:eastAsia="zh-CN"/>
                    </w:rPr>
                    <w:t>1.2294</w:t>
                  </w:r>
                </w:p>
              </w:tc>
            </w:tr>
            <w:tr w14:paraId="52F78B0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1154" w:type="pct"/>
                  <w:tcBorders>
                    <w:tl2br w:val="nil"/>
                    <w:tr2bl w:val="nil"/>
                  </w:tcBorders>
                  <w:shd w:val="clear" w:color="auto" w:fill="auto"/>
                  <w:noWrap/>
                  <w:vAlign w:val="center"/>
                </w:tcPr>
                <w:p w14:paraId="1A763F1B">
                  <w:pPr>
                    <w:pStyle w:val="37"/>
                    <w:bidi w:val="0"/>
                    <w:rPr>
                      <w:rFonts w:hint="eastAsia"/>
                      <w:color w:val="auto"/>
                    </w:rPr>
                  </w:pPr>
                  <w:r>
                    <w:rPr>
                      <w:rFonts w:hint="eastAsia"/>
                      <w:color w:val="auto"/>
                      <w:lang w:val="en-US" w:eastAsia="zh-CN"/>
                    </w:rPr>
                    <w:t>新建道路</w:t>
                  </w:r>
                </w:p>
              </w:tc>
              <w:tc>
                <w:tcPr>
                  <w:tcW w:w="1299" w:type="dxa"/>
                  <w:tcBorders>
                    <w:tl2br w:val="nil"/>
                    <w:tr2bl w:val="nil"/>
                  </w:tcBorders>
                  <w:shd w:val="clear" w:color="auto" w:fill="auto"/>
                  <w:noWrap/>
                  <w:vAlign w:val="center"/>
                </w:tcPr>
                <w:p w14:paraId="6CED8C9B">
                  <w:pPr>
                    <w:pStyle w:val="34"/>
                    <w:bidi w:val="0"/>
                    <w:rPr>
                      <w:rFonts w:hint="eastAsia"/>
                      <w:color w:val="auto"/>
                    </w:rPr>
                  </w:pPr>
                  <w:r>
                    <w:rPr>
                      <w:rFonts w:hint="eastAsia"/>
                      <w:color w:val="auto"/>
                      <w:lang w:val="en-US" w:eastAsia="zh-CN"/>
                    </w:rPr>
                    <w:t>0.0055</w:t>
                  </w:r>
                </w:p>
              </w:tc>
              <w:tc>
                <w:tcPr>
                  <w:tcW w:w="975" w:type="dxa"/>
                  <w:tcBorders>
                    <w:tl2br w:val="nil"/>
                    <w:tr2bl w:val="nil"/>
                  </w:tcBorders>
                  <w:shd w:val="clear" w:color="auto" w:fill="auto"/>
                  <w:noWrap/>
                  <w:vAlign w:val="center"/>
                </w:tcPr>
                <w:p w14:paraId="32B60CF9">
                  <w:pPr>
                    <w:pStyle w:val="34"/>
                    <w:bidi w:val="0"/>
                    <w:rPr>
                      <w:rFonts w:hint="eastAsia"/>
                      <w:color w:val="auto"/>
                    </w:rPr>
                  </w:pPr>
                </w:p>
              </w:tc>
              <w:tc>
                <w:tcPr>
                  <w:tcW w:w="975" w:type="dxa"/>
                  <w:tcBorders>
                    <w:tl2br w:val="nil"/>
                    <w:tr2bl w:val="nil"/>
                  </w:tcBorders>
                  <w:shd w:val="clear" w:color="auto" w:fill="auto"/>
                  <w:noWrap/>
                  <w:vAlign w:val="center"/>
                </w:tcPr>
                <w:p w14:paraId="08C67B35">
                  <w:pPr>
                    <w:pStyle w:val="34"/>
                    <w:bidi w:val="0"/>
                    <w:rPr>
                      <w:rFonts w:hint="eastAsia"/>
                      <w:color w:val="auto"/>
                    </w:rPr>
                  </w:pPr>
                  <w:r>
                    <w:rPr>
                      <w:rFonts w:hint="eastAsia"/>
                      <w:color w:val="auto"/>
                      <w:lang w:val="en-US" w:eastAsia="zh-CN"/>
                    </w:rPr>
                    <w:t>0.3124</w:t>
                  </w:r>
                </w:p>
              </w:tc>
              <w:tc>
                <w:tcPr>
                  <w:tcW w:w="1814" w:type="dxa"/>
                  <w:tcBorders>
                    <w:tl2br w:val="nil"/>
                    <w:tr2bl w:val="nil"/>
                  </w:tcBorders>
                  <w:shd w:val="clear" w:color="auto" w:fill="auto"/>
                  <w:noWrap/>
                  <w:vAlign w:val="center"/>
                </w:tcPr>
                <w:p w14:paraId="28DD95BD">
                  <w:pPr>
                    <w:pStyle w:val="34"/>
                    <w:bidi w:val="0"/>
                    <w:rPr>
                      <w:rFonts w:hint="eastAsia"/>
                      <w:color w:val="auto"/>
                    </w:rPr>
                  </w:pPr>
                </w:p>
              </w:tc>
              <w:tc>
                <w:tcPr>
                  <w:tcW w:w="622" w:type="pct"/>
                  <w:tcBorders>
                    <w:tl2br w:val="nil"/>
                    <w:tr2bl w:val="nil"/>
                  </w:tcBorders>
                  <w:shd w:val="clear" w:color="auto" w:fill="auto"/>
                  <w:noWrap/>
                  <w:vAlign w:val="center"/>
                </w:tcPr>
                <w:p w14:paraId="738509B5">
                  <w:pPr>
                    <w:pStyle w:val="37"/>
                    <w:bidi w:val="0"/>
                    <w:rPr>
                      <w:rFonts w:hint="eastAsia"/>
                      <w:color w:val="auto"/>
                    </w:rPr>
                  </w:pPr>
                  <w:r>
                    <w:rPr>
                      <w:rFonts w:hint="eastAsia"/>
                      <w:color w:val="auto"/>
                      <w:lang w:val="en-US" w:eastAsia="zh-CN"/>
                    </w:rPr>
                    <w:t>0.3179</w:t>
                  </w:r>
                </w:p>
              </w:tc>
            </w:tr>
            <w:tr w14:paraId="396CE2E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38" w:hRule="atLeast"/>
                <w:jc w:val="center"/>
              </w:trPr>
              <w:tc>
                <w:tcPr>
                  <w:tcW w:w="1154" w:type="pct"/>
                  <w:tcBorders>
                    <w:tl2br w:val="nil"/>
                    <w:tr2bl w:val="nil"/>
                  </w:tcBorders>
                  <w:shd w:val="clear" w:color="auto" w:fill="auto"/>
                  <w:noWrap/>
                  <w:vAlign w:val="center"/>
                </w:tcPr>
                <w:p w14:paraId="45ED0E98">
                  <w:pPr>
                    <w:pStyle w:val="37"/>
                    <w:bidi w:val="0"/>
                    <w:rPr>
                      <w:rFonts w:hint="eastAsia"/>
                      <w:color w:val="auto"/>
                    </w:rPr>
                  </w:pPr>
                  <w:r>
                    <w:rPr>
                      <w:rFonts w:hint="eastAsia"/>
                      <w:color w:val="auto"/>
                      <w:lang w:val="en-US" w:eastAsia="zh-CN"/>
                    </w:rPr>
                    <w:t>合计</w:t>
                  </w:r>
                </w:p>
              </w:tc>
              <w:tc>
                <w:tcPr>
                  <w:tcW w:w="1299" w:type="dxa"/>
                  <w:tcBorders>
                    <w:tl2br w:val="nil"/>
                    <w:tr2bl w:val="nil"/>
                  </w:tcBorders>
                  <w:shd w:val="clear" w:color="auto" w:fill="auto"/>
                  <w:noWrap/>
                  <w:vAlign w:val="center"/>
                </w:tcPr>
                <w:p w14:paraId="18B4821F">
                  <w:pPr>
                    <w:pStyle w:val="34"/>
                    <w:bidi w:val="0"/>
                    <w:rPr>
                      <w:rFonts w:hint="eastAsia"/>
                      <w:color w:val="auto"/>
                    </w:rPr>
                  </w:pPr>
                  <w:r>
                    <w:rPr>
                      <w:rFonts w:hint="eastAsia"/>
                      <w:color w:val="auto"/>
                      <w:lang w:val="en-US" w:eastAsia="zh-CN"/>
                    </w:rPr>
                    <w:t>0.2135</w:t>
                  </w:r>
                </w:p>
              </w:tc>
              <w:tc>
                <w:tcPr>
                  <w:tcW w:w="975" w:type="dxa"/>
                  <w:tcBorders>
                    <w:tl2br w:val="nil"/>
                    <w:tr2bl w:val="nil"/>
                  </w:tcBorders>
                  <w:shd w:val="clear" w:color="auto" w:fill="auto"/>
                  <w:noWrap/>
                  <w:vAlign w:val="center"/>
                </w:tcPr>
                <w:p w14:paraId="5AD38EEA">
                  <w:pPr>
                    <w:pStyle w:val="34"/>
                    <w:bidi w:val="0"/>
                    <w:rPr>
                      <w:rFonts w:hint="eastAsia"/>
                      <w:color w:val="auto"/>
                    </w:rPr>
                  </w:pPr>
                  <w:r>
                    <w:rPr>
                      <w:rFonts w:hint="eastAsia"/>
                      <w:color w:val="auto"/>
                      <w:lang w:val="en-US" w:eastAsia="zh-CN"/>
                    </w:rPr>
                    <w:t>0.8543</w:t>
                  </w:r>
                </w:p>
              </w:tc>
              <w:tc>
                <w:tcPr>
                  <w:tcW w:w="975" w:type="dxa"/>
                  <w:tcBorders>
                    <w:tl2br w:val="nil"/>
                    <w:tr2bl w:val="nil"/>
                  </w:tcBorders>
                  <w:shd w:val="clear" w:color="auto" w:fill="auto"/>
                  <w:noWrap/>
                  <w:vAlign w:val="center"/>
                </w:tcPr>
                <w:p w14:paraId="7D2BE579">
                  <w:pPr>
                    <w:pStyle w:val="34"/>
                    <w:bidi w:val="0"/>
                    <w:rPr>
                      <w:rFonts w:hint="eastAsia"/>
                      <w:color w:val="auto"/>
                    </w:rPr>
                  </w:pPr>
                  <w:r>
                    <w:rPr>
                      <w:rFonts w:hint="eastAsia"/>
                      <w:color w:val="auto"/>
                      <w:lang w:val="en-US" w:eastAsia="zh-CN"/>
                    </w:rPr>
                    <w:t>1.6944</w:t>
                  </w:r>
                </w:p>
              </w:tc>
              <w:tc>
                <w:tcPr>
                  <w:tcW w:w="1814" w:type="dxa"/>
                  <w:tcBorders>
                    <w:tl2br w:val="nil"/>
                    <w:tr2bl w:val="nil"/>
                  </w:tcBorders>
                  <w:shd w:val="clear" w:color="auto" w:fill="auto"/>
                  <w:noWrap/>
                  <w:vAlign w:val="center"/>
                </w:tcPr>
                <w:p w14:paraId="56CD42C9">
                  <w:pPr>
                    <w:pStyle w:val="34"/>
                    <w:bidi w:val="0"/>
                    <w:rPr>
                      <w:rFonts w:hint="eastAsia"/>
                      <w:color w:val="auto"/>
                    </w:rPr>
                  </w:pPr>
                  <w:r>
                    <w:rPr>
                      <w:rFonts w:hint="eastAsia"/>
                      <w:color w:val="auto"/>
                      <w:lang w:val="en-US" w:eastAsia="zh-CN"/>
                    </w:rPr>
                    <w:t>0.1725</w:t>
                  </w:r>
                </w:p>
              </w:tc>
              <w:tc>
                <w:tcPr>
                  <w:tcW w:w="622" w:type="pct"/>
                  <w:tcBorders>
                    <w:tl2br w:val="nil"/>
                    <w:tr2bl w:val="nil"/>
                  </w:tcBorders>
                  <w:shd w:val="clear" w:color="auto" w:fill="auto"/>
                  <w:noWrap/>
                  <w:vAlign w:val="center"/>
                </w:tcPr>
                <w:p w14:paraId="344068F1">
                  <w:pPr>
                    <w:pStyle w:val="37"/>
                    <w:bidi w:val="0"/>
                    <w:rPr>
                      <w:rFonts w:hint="eastAsia"/>
                      <w:color w:val="auto"/>
                    </w:rPr>
                  </w:pPr>
                  <w:r>
                    <w:rPr>
                      <w:rFonts w:hint="eastAsia"/>
                      <w:color w:val="auto"/>
                      <w:lang w:val="en-US" w:eastAsia="zh-CN"/>
                    </w:rPr>
                    <w:t>2.9347</w:t>
                  </w:r>
                </w:p>
              </w:tc>
            </w:tr>
          </w:tbl>
          <w:p w14:paraId="3100FFB3">
            <w:pPr>
              <w:bidi w:val="0"/>
              <w:ind w:left="0" w:leftChars="0" w:firstLine="0" w:firstLineChars="0"/>
              <w:rPr>
                <w:rFonts w:hint="default"/>
                <w:b/>
                <w:bCs/>
                <w:color w:val="auto"/>
                <w:lang w:val="en-US" w:eastAsia="zh-CN"/>
              </w:rPr>
            </w:pPr>
            <w:r>
              <w:rPr>
                <w:rFonts w:hint="eastAsia"/>
                <w:b/>
                <w:bCs/>
                <w:color w:val="auto"/>
                <w:lang w:val="en-US" w:eastAsia="zh-CN"/>
              </w:rPr>
              <w:t>4.环境质量现状</w:t>
            </w:r>
          </w:p>
          <w:p w14:paraId="0BB731EF">
            <w:pPr>
              <w:bidi w:val="0"/>
              <w:rPr>
                <w:rFonts w:hint="default" w:ascii="Times New Roman" w:hAnsi="Times New Roman" w:cs="Times New Roman"/>
                <w:b/>
                <w:bCs/>
                <w:color w:val="auto"/>
                <w:highlight w:val="none"/>
                <w:lang w:val="en-US" w:eastAsia="zh-CN"/>
              </w:rPr>
            </w:pPr>
            <w:r>
              <w:rPr>
                <w:rFonts w:hint="eastAsia" w:cs="Times New Roman"/>
                <w:b/>
                <w:bCs/>
                <w:color w:val="auto"/>
                <w:highlight w:val="none"/>
                <w:lang w:val="en-US" w:eastAsia="zh-CN"/>
              </w:rPr>
              <w:t>4</w:t>
            </w:r>
            <w:r>
              <w:rPr>
                <w:rFonts w:hint="default" w:ascii="Times New Roman" w:hAnsi="Times New Roman" w:cs="Times New Roman"/>
                <w:b/>
                <w:bCs/>
                <w:color w:val="auto"/>
                <w:highlight w:val="none"/>
                <w:lang w:val="en-US" w:eastAsia="zh-CN"/>
              </w:rPr>
              <w:t>.1环境空气质量现状</w:t>
            </w:r>
          </w:p>
          <w:p w14:paraId="6ED67068">
            <w:pPr>
              <w:pStyle w:val="6"/>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西泽风电场（二期）工程位于云南省曲靖市宣威市，所在区域属于环境空气二类功能区，环境空气执行</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环境空气质量标准</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（GB3095-20</w:t>
            </w:r>
            <w:r>
              <w:rPr>
                <w:rFonts w:hint="eastAsia" w:cs="Times New Roman"/>
                <w:color w:val="auto"/>
                <w:highlight w:val="none"/>
                <w:lang w:val="en-US" w:eastAsia="zh-CN"/>
              </w:rPr>
              <w:t>26</w:t>
            </w:r>
            <w:r>
              <w:rPr>
                <w:rFonts w:hint="default" w:ascii="Times New Roman" w:hAnsi="Times New Roman" w:cs="Times New Roman"/>
                <w:color w:val="auto"/>
                <w:highlight w:val="none"/>
                <w:lang w:val="en-US" w:eastAsia="zh-CN"/>
              </w:rPr>
              <w:t>）二级标准。根据曲靖市生态环境局发布的2025年曲靖市环境空气质量成果</w:t>
            </w:r>
            <w:r>
              <w:rPr>
                <w:rFonts w:hint="eastAsia" w:cs="Times New Roman"/>
                <w:color w:val="auto"/>
                <w:highlight w:val="none"/>
                <w:lang w:val="en-US" w:eastAsia="zh-CN"/>
              </w:rPr>
              <w:t>（https://www.qj.gov.cn/html/2026/hjzl_0224/275899.html）</w:t>
            </w:r>
            <w:r>
              <w:rPr>
                <w:rFonts w:hint="default" w:ascii="Times New Roman" w:hAnsi="Times New Roman" w:cs="Times New Roman"/>
                <w:color w:val="auto"/>
                <w:highlight w:val="none"/>
                <w:lang w:val="en-US" w:eastAsia="zh-CN"/>
              </w:rPr>
              <w:t>，中心城区（麒麟区、经开区）空气质量优良率为99.7%，城市空气质量综合指数为2.4，城市细颗粒物（PM2.5）平均浓度为18μg/m</w:t>
            </w:r>
            <w:r>
              <w:rPr>
                <w:rFonts w:hint="default" w:ascii="Times New Roman" w:hAnsi="Times New Roman" w:cs="Times New Roman"/>
                <w:color w:val="auto"/>
                <w:highlight w:val="none"/>
                <w:vertAlign w:val="superscript"/>
                <w:lang w:val="en-US" w:eastAsia="zh-CN"/>
              </w:rPr>
              <w:t>3</w:t>
            </w:r>
            <w:r>
              <w:rPr>
                <w:rFonts w:hint="eastAsia" w:cs="Times New Roman"/>
                <w:color w:val="auto"/>
                <w:highlight w:val="none"/>
                <w:lang w:val="en-US" w:eastAsia="zh-CN"/>
              </w:rPr>
              <w:t>，项目位于环境空气质量达标区。</w:t>
            </w:r>
            <w:r>
              <w:rPr>
                <w:rFonts w:hint="default" w:ascii="Times New Roman" w:hAnsi="Times New Roman" w:cs="Times New Roman"/>
                <w:color w:val="auto"/>
                <w:highlight w:val="none"/>
                <w:lang w:val="en-US" w:eastAsia="zh-CN"/>
              </w:rPr>
              <w:t>宣威市空气质量优良率为99.2%，城市空气质量综合指数为2.69，城市细颗粒物（PM2.5）平均浓度为22μg/m</w:t>
            </w:r>
            <w:r>
              <w:rPr>
                <w:rFonts w:hint="default" w:ascii="Times New Roman" w:hAnsi="Times New Roman" w:cs="Times New Roman"/>
                <w:color w:val="auto"/>
                <w:highlight w:val="none"/>
                <w:vertAlign w:val="superscript"/>
                <w:lang w:val="en-US" w:eastAsia="zh-CN"/>
              </w:rPr>
              <w:t>3</w:t>
            </w:r>
            <w:r>
              <w:rPr>
                <w:rFonts w:hint="default" w:ascii="Times New Roman" w:hAnsi="Times New Roman" w:cs="Times New Roman"/>
                <w:color w:val="auto"/>
                <w:highlight w:val="none"/>
                <w:lang w:val="en-US" w:eastAsia="zh-CN"/>
              </w:rPr>
              <w:t>，宣威市整体环境空气质量现状</w:t>
            </w:r>
            <w:r>
              <w:rPr>
                <w:rFonts w:hint="eastAsia" w:cs="Times New Roman"/>
                <w:color w:val="auto"/>
                <w:highlight w:val="none"/>
                <w:lang w:val="en-US" w:eastAsia="zh-CN"/>
              </w:rPr>
              <w:t>能达到2025年间执行的</w:t>
            </w:r>
            <w:r>
              <w:rPr>
                <w:rFonts w:hint="default" w:ascii="Times New Roman" w:hAnsi="Times New Roman" w:cs="Times New Roman"/>
                <w:color w:val="auto"/>
                <w:highlight w:val="none"/>
                <w:lang w:val="en-US" w:eastAsia="zh-CN"/>
              </w:rPr>
              <w:t>《环境空气质量标准》（GB3095-2012）二级标准</w:t>
            </w:r>
            <w:r>
              <w:rPr>
                <w:rFonts w:hint="eastAsia" w:cs="Times New Roman"/>
                <w:color w:val="auto"/>
                <w:highlight w:val="none"/>
                <w:lang w:val="en-US" w:eastAsia="zh-CN"/>
              </w:rPr>
              <w:t>，同时达到现阶段执行的《</w:t>
            </w:r>
            <w:r>
              <w:rPr>
                <w:rFonts w:hint="default" w:ascii="Times New Roman" w:hAnsi="Times New Roman" w:cs="Times New Roman"/>
                <w:color w:val="auto"/>
                <w:highlight w:val="none"/>
                <w:lang w:val="en-US" w:eastAsia="zh-CN"/>
              </w:rPr>
              <w:t>环境空气质量标准</w:t>
            </w:r>
            <w:r>
              <w:rPr>
                <w:rFonts w:hint="eastAsia" w:cs="Times New Roman"/>
                <w:color w:val="auto"/>
                <w:highlight w:val="none"/>
                <w:lang w:val="en-US" w:eastAsia="zh-CN"/>
              </w:rPr>
              <w:t>》</w:t>
            </w:r>
            <w:r>
              <w:rPr>
                <w:rFonts w:hint="default" w:ascii="Times New Roman" w:hAnsi="Times New Roman" w:cs="Times New Roman"/>
                <w:color w:val="auto"/>
                <w:highlight w:val="none"/>
                <w:lang w:val="en-US" w:eastAsia="zh-CN"/>
              </w:rPr>
              <w:t>（GB3095-20</w:t>
            </w:r>
            <w:r>
              <w:rPr>
                <w:rFonts w:hint="eastAsia" w:cs="Times New Roman"/>
                <w:color w:val="auto"/>
                <w:highlight w:val="none"/>
                <w:lang w:val="en-US" w:eastAsia="zh-CN"/>
              </w:rPr>
              <w:t>26</w:t>
            </w:r>
            <w:r>
              <w:rPr>
                <w:rFonts w:hint="default" w:ascii="Times New Roman" w:hAnsi="Times New Roman" w:cs="Times New Roman"/>
                <w:color w:val="auto"/>
                <w:highlight w:val="none"/>
                <w:lang w:val="en-US" w:eastAsia="zh-CN"/>
              </w:rPr>
              <w:t>）</w:t>
            </w:r>
            <w:r>
              <w:rPr>
                <w:rFonts w:hint="eastAsia" w:cs="Times New Roman"/>
                <w:color w:val="auto"/>
                <w:highlight w:val="none"/>
                <w:lang w:val="en-US" w:eastAsia="zh-CN"/>
              </w:rPr>
              <w:t>过渡期</w:t>
            </w:r>
            <w:r>
              <w:rPr>
                <w:rFonts w:hint="default" w:ascii="Times New Roman" w:hAnsi="Times New Roman" w:cs="Times New Roman"/>
                <w:color w:val="auto"/>
                <w:highlight w:val="none"/>
                <w:lang w:val="en-US" w:eastAsia="zh-CN"/>
              </w:rPr>
              <w:t>二级标准。</w:t>
            </w:r>
          </w:p>
          <w:p w14:paraId="795385EE">
            <w:pPr>
              <w:bidi w:val="0"/>
              <w:rPr>
                <w:rFonts w:hint="eastAsia"/>
                <w:b/>
                <w:bCs/>
                <w:color w:val="auto"/>
                <w:highlight w:val="none"/>
                <w:lang w:val="en-US" w:eastAsia="zh-CN"/>
              </w:rPr>
            </w:pPr>
            <w:r>
              <w:rPr>
                <w:rFonts w:hint="eastAsia"/>
                <w:b/>
                <w:bCs/>
                <w:color w:val="auto"/>
                <w:highlight w:val="none"/>
                <w:lang w:val="en-US" w:eastAsia="zh-CN"/>
              </w:rPr>
              <w:t>4.2地表水环境质量现状</w:t>
            </w:r>
          </w:p>
          <w:p w14:paraId="264B5C21">
            <w:pPr>
              <w:bidi w:val="0"/>
              <w:rPr>
                <w:rFonts w:hint="default"/>
                <w:color w:val="auto"/>
                <w:highlight w:val="none"/>
                <w:lang w:val="en-US" w:eastAsia="zh-CN"/>
              </w:rPr>
            </w:pPr>
            <w:r>
              <w:rPr>
                <w:rFonts w:hint="eastAsia"/>
                <w:color w:val="auto"/>
                <w:highlight w:val="none"/>
                <w:lang w:val="en-US" w:eastAsia="zh-CN"/>
              </w:rPr>
              <w:t>本项目位于德泽水库汇流区，属于金沙江流域牛栏江水系，</w:t>
            </w:r>
            <w:r>
              <w:rPr>
                <w:rFonts w:hint="eastAsia"/>
                <w:color w:val="auto"/>
                <w:lang w:val="en-US" w:eastAsia="zh-CN"/>
              </w:rPr>
              <w:t>根据《云南省水功能区划》（2014年5月），本项目属于牛栏江－滇池补水水源保护区，2030年水质目标为Ⅲ类。</w:t>
            </w:r>
            <w:r>
              <w:rPr>
                <w:rFonts w:hint="eastAsia"/>
                <w:color w:val="auto"/>
                <w:highlight w:val="none"/>
                <w:lang w:val="en-US" w:eastAsia="zh-CN"/>
              </w:rPr>
              <w:t>根据曲靖市生态环境局发布的2024年1月至12月曲靖市水环境质量公报，德泽水库监测断面现状水质达到《地表水环境质量标准》（GB3838-2002）</w:t>
            </w:r>
            <w:r>
              <w:rPr>
                <w:rFonts w:hint="eastAsia"/>
                <w:color w:val="auto"/>
                <w:lang w:val="en-US" w:eastAsia="zh-CN"/>
              </w:rPr>
              <w:t>Ⅲ</w:t>
            </w:r>
            <w:r>
              <w:rPr>
                <w:rFonts w:hint="eastAsia"/>
                <w:color w:val="auto"/>
                <w:highlight w:val="none"/>
                <w:lang w:val="en-US" w:eastAsia="zh-CN"/>
              </w:rPr>
              <w:t>类标准</w:t>
            </w:r>
            <w:r>
              <w:rPr>
                <w:rStyle w:val="35"/>
                <w:rFonts w:hint="eastAsia"/>
                <w:color w:val="auto"/>
                <w:highlight w:val="none"/>
                <w:lang w:val="en-US" w:eastAsia="zh-CN"/>
              </w:rPr>
              <w:t>，水质状况优，项目位于水环境功能达标区。</w:t>
            </w:r>
          </w:p>
          <w:p w14:paraId="233D5946">
            <w:pPr>
              <w:bidi w:val="0"/>
              <w:rPr>
                <w:rFonts w:hint="default"/>
                <w:color w:val="auto"/>
                <w:highlight w:val="none"/>
                <w:lang w:val="en-US" w:eastAsia="zh-CN"/>
              </w:rPr>
            </w:pPr>
          </w:p>
          <w:p w14:paraId="50B22B31">
            <w:pPr>
              <w:bidi w:val="0"/>
              <w:rPr>
                <w:rFonts w:hint="eastAsia"/>
                <w:b/>
                <w:bCs/>
                <w:color w:val="auto"/>
                <w:highlight w:val="none"/>
                <w:lang w:val="en-US" w:eastAsia="zh-CN"/>
              </w:rPr>
            </w:pPr>
            <w:r>
              <w:rPr>
                <w:rFonts w:hint="eastAsia"/>
                <w:b/>
                <w:bCs/>
                <w:color w:val="auto"/>
                <w:highlight w:val="none"/>
                <w:lang w:val="en-US" w:eastAsia="zh-CN"/>
              </w:rPr>
              <w:t>4.3声环境质量现状</w:t>
            </w:r>
          </w:p>
          <w:p w14:paraId="6BBF329C">
            <w:pPr>
              <w:bidi w:val="0"/>
              <w:rPr>
                <w:rFonts w:hint="default"/>
                <w:color w:val="auto"/>
                <w:highlight w:val="none"/>
                <w:lang w:val="en-US" w:eastAsia="zh-CN"/>
              </w:rPr>
            </w:pPr>
            <w:r>
              <w:rPr>
                <w:rFonts w:hint="default"/>
                <w:color w:val="auto"/>
                <w:highlight w:val="none"/>
                <w:lang w:val="en-US" w:eastAsia="zh-CN"/>
              </w:rPr>
              <w:t>项目所在区域为农村地区，属于《声环境质量标准》（GB3096-2008）中的1类区，执行《声环境质量标准》（GB3096-2008）中的1类标准。</w:t>
            </w:r>
          </w:p>
          <w:p w14:paraId="00B4D15D">
            <w:pPr>
              <w:bidi w:val="0"/>
              <w:rPr>
                <w:rFonts w:hint="default"/>
                <w:color w:val="auto"/>
                <w:lang w:val="en-US" w:eastAsia="zh-CN"/>
              </w:rPr>
            </w:pPr>
            <w:r>
              <w:rPr>
                <w:rFonts w:hint="default"/>
                <w:color w:val="auto"/>
                <w:lang w:val="en-US" w:eastAsia="zh-CN"/>
              </w:rPr>
              <w:t>为了解项目区声环境质量现状，建设单位委托云南科环环境工程咨询有限公司对项目进行了声环境质量监测，监测情况如下：</w:t>
            </w:r>
          </w:p>
          <w:p w14:paraId="69ED1BF7">
            <w:pPr>
              <w:bidi w:val="0"/>
              <w:rPr>
                <w:rFonts w:hint="default"/>
                <w:color w:val="auto"/>
                <w:lang w:val="en-US" w:eastAsia="zh-CN"/>
              </w:rPr>
            </w:pPr>
            <w:r>
              <w:rPr>
                <w:rFonts w:hint="default"/>
                <w:color w:val="auto"/>
                <w:lang w:val="en-US" w:eastAsia="zh-CN"/>
              </w:rPr>
              <w:t>监测项目：等效连续A声级</w:t>
            </w:r>
            <w:r>
              <w:rPr>
                <w:rFonts w:hint="eastAsia"/>
                <w:color w:val="auto"/>
                <w:lang w:val="en-US" w:eastAsia="zh-CN"/>
              </w:rPr>
              <w:t>；</w:t>
            </w:r>
          </w:p>
          <w:p w14:paraId="08F0CF33">
            <w:pPr>
              <w:bidi w:val="0"/>
              <w:rPr>
                <w:rFonts w:hint="eastAsia"/>
                <w:color w:val="auto"/>
                <w:lang w:val="en-US" w:eastAsia="zh-CN"/>
              </w:rPr>
            </w:pPr>
            <w:r>
              <w:rPr>
                <w:rFonts w:hint="eastAsia"/>
                <w:color w:val="auto"/>
                <w:lang w:val="en-US" w:eastAsia="zh-CN"/>
              </w:rPr>
              <w:t>监测点位：变电站北厂界外1m处、变电站西厂界外1m处、变电站南厂界外1m处、变电站东厂界外1m处；项目建设4台风机，其中</w:t>
            </w:r>
            <w:r>
              <w:rPr>
                <w:rFonts w:hint="default"/>
                <w:color w:val="auto"/>
                <w:lang w:val="en-US" w:eastAsia="zh-CN"/>
              </w:rPr>
              <w:t>XZB02号风机</w:t>
            </w:r>
            <w:r>
              <w:rPr>
                <w:rFonts w:hint="eastAsia"/>
                <w:color w:val="auto"/>
                <w:lang w:val="en-US" w:eastAsia="zh-CN"/>
              </w:rPr>
              <w:t>位于</w:t>
            </w:r>
            <w:r>
              <w:rPr>
                <w:rFonts w:hint="default"/>
                <w:color w:val="auto"/>
                <w:lang w:val="en-US" w:eastAsia="zh-CN"/>
              </w:rPr>
              <w:t>XZB0</w:t>
            </w:r>
            <w:r>
              <w:rPr>
                <w:rFonts w:hint="eastAsia"/>
                <w:color w:val="auto"/>
                <w:lang w:val="en-US" w:eastAsia="zh-CN"/>
              </w:rPr>
              <w:t>1</w:t>
            </w:r>
            <w:r>
              <w:rPr>
                <w:rFonts w:hint="default"/>
                <w:color w:val="auto"/>
                <w:lang w:val="en-US" w:eastAsia="zh-CN"/>
              </w:rPr>
              <w:t>号风机</w:t>
            </w:r>
            <w:r>
              <w:rPr>
                <w:rFonts w:hint="eastAsia"/>
                <w:color w:val="auto"/>
                <w:lang w:val="en-US" w:eastAsia="zh-CN"/>
              </w:rPr>
              <w:t>和</w:t>
            </w:r>
            <w:r>
              <w:rPr>
                <w:rFonts w:hint="default"/>
                <w:color w:val="auto"/>
                <w:lang w:val="en-US" w:eastAsia="zh-CN"/>
              </w:rPr>
              <w:t>XZB0</w:t>
            </w:r>
            <w:r>
              <w:rPr>
                <w:rFonts w:hint="eastAsia"/>
                <w:color w:val="auto"/>
                <w:lang w:val="en-US" w:eastAsia="zh-CN"/>
              </w:rPr>
              <w:t>4</w:t>
            </w:r>
            <w:r>
              <w:rPr>
                <w:rFonts w:hint="default"/>
                <w:color w:val="auto"/>
                <w:lang w:val="en-US" w:eastAsia="zh-CN"/>
              </w:rPr>
              <w:t>号风机</w:t>
            </w:r>
            <w:r>
              <w:rPr>
                <w:rFonts w:hint="eastAsia"/>
                <w:color w:val="auto"/>
                <w:lang w:val="en-US" w:eastAsia="zh-CN"/>
              </w:rPr>
              <w:t>之间，且西南侧650m处有一村庄叠水箐，以</w:t>
            </w:r>
            <w:r>
              <w:rPr>
                <w:rFonts w:hint="default"/>
                <w:color w:val="auto"/>
                <w:lang w:val="en-US" w:eastAsia="zh-CN"/>
              </w:rPr>
              <w:t>XZB02号风机</w:t>
            </w:r>
            <w:r>
              <w:rPr>
                <w:rFonts w:hint="eastAsia"/>
                <w:color w:val="auto"/>
                <w:lang w:val="en-US" w:eastAsia="zh-CN"/>
              </w:rPr>
              <w:t>作为背景点监测声环境背景值便于研判项目建成后对周边环境和村庄的影响，故本次在</w:t>
            </w:r>
            <w:r>
              <w:rPr>
                <w:rFonts w:hint="default"/>
                <w:color w:val="auto"/>
                <w:lang w:val="en-US" w:eastAsia="zh-CN"/>
              </w:rPr>
              <w:t>XZB02号风机处</w:t>
            </w:r>
            <w:r>
              <w:rPr>
                <w:rFonts w:hint="eastAsia"/>
                <w:color w:val="auto"/>
                <w:lang w:val="en-US" w:eastAsia="zh-CN"/>
              </w:rPr>
              <w:t>设置一个监测点。</w:t>
            </w:r>
          </w:p>
          <w:p w14:paraId="45F8F0E4">
            <w:pPr>
              <w:bidi w:val="0"/>
              <w:rPr>
                <w:rFonts w:hint="default"/>
                <w:color w:val="auto"/>
                <w:lang w:val="en-US" w:eastAsia="zh-CN"/>
              </w:rPr>
            </w:pPr>
            <w:r>
              <w:rPr>
                <w:rFonts w:hint="default"/>
                <w:color w:val="auto"/>
                <w:lang w:val="en-US" w:eastAsia="zh-CN"/>
              </w:rPr>
              <w:t>监测频率：昼间、夜间各1次，监测1天</w:t>
            </w:r>
            <w:r>
              <w:rPr>
                <w:rFonts w:hint="eastAsia"/>
                <w:color w:val="auto"/>
                <w:lang w:val="en-US" w:eastAsia="zh-CN"/>
              </w:rPr>
              <w:t>；</w:t>
            </w:r>
          </w:p>
          <w:p w14:paraId="337D0956">
            <w:pPr>
              <w:bidi w:val="0"/>
              <w:rPr>
                <w:rFonts w:hint="eastAsia"/>
                <w:color w:val="auto"/>
                <w:lang w:val="en-US" w:eastAsia="zh-CN"/>
              </w:rPr>
            </w:pPr>
            <w:r>
              <w:rPr>
                <w:rFonts w:hint="default"/>
                <w:color w:val="auto"/>
                <w:lang w:val="en-US" w:eastAsia="zh-CN"/>
              </w:rPr>
              <w:t>执行标准：《声环境质量标准》（GB3096-2008）1类区标准</w:t>
            </w:r>
            <w:r>
              <w:rPr>
                <w:rFonts w:hint="eastAsia"/>
                <w:color w:val="auto"/>
                <w:lang w:val="en-US" w:eastAsia="zh-CN"/>
              </w:rPr>
              <w:t>；</w:t>
            </w:r>
          </w:p>
          <w:p w14:paraId="3855B38F">
            <w:pPr>
              <w:pStyle w:val="27"/>
              <w:bidi w:val="0"/>
              <w:rPr>
                <w:rFonts w:hint="eastAsia"/>
                <w:color w:val="auto"/>
                <w:lang w:val="en-US" w:eastAsia="zh-CN"/>
              </w:rPr>
            </w:pPr>
            <w:r>
              <w:rPr>
                <w:rFonts w:hint="eastAsia"/>
                <w:color w:val="auto"/>
                <w:lang w:val="en-US" w:eastAsia="zh-CN"/>
              </w:rPr>
              <w:t>表3-3  环境噪声检测结果单位：dB（A）</w:t>
            </w:r>
          </w:p>
          <w:tbl>
            <w:tblPr>
              <w:tblStyle w:val="21"/>
              <w:tblW w:w="495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3"/>
              <w:gridCol w:w="1531"/>
              <w:gridCol w:w="1478"/>
              <w:gridCol w:w="740"/>
              <w:gridCol w:w="1375"/>
              <w:gridCol w:w="766"/>
              <w:gridCol w:w="1164"/>
            </w:tblGrid>
            <w:tr w14:paraId="0FAE85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7" w:hRule="atLeast"/>
                <w:tblHeader/>
                <w:jc w:val="center"/>
              </w:trPr>
              <w:tc>
                <w:tcPr>
                  <w:tcW w:w="476" w:type="pct"/>
                  <w:tcBorders>
                    <w:tl2br w:val="nil"/>
                    <w:tr2bl w:val="nil"/>
                  </w:tcBorders>
                  <w:vAlign w:val="center"/>
                </w:tcPr>
                <w:p w14:paraId="6E4E9F2B">
                  <w:pPr>
                    <w:pStyle w:val="37"/>
                    <w:bidi w:val="0"/>
                    <w:rPr>
                      <w:color w:val="auto"/>
                    </w:rPr>
                  </w:pPr>
                  <w:r>
                    <w:rPr>
                      <w:rFonts w:hint="eastAsia"/>
                      <w:color w:val="auto"/>
                    </w:rPr>
                    <w:t>序号</w:t>
                  </w:r>
                </w:p>
              </w:tc>
              <w:tc>
                <w:tcPr>
                  <w:tcW w:w="981" w:type="pct"/>
                  <w:tcBorders>
                    <w:tl2br w:val="nil"/>
                    <w:tr2bl w:val="nil"/>
                  </w:tcBorders>
                  <w:vAlign w:val="center"/>
                </w:tcPr>
                <w:p w14:paraId="782D2011">
                  <w:pPr>
                    <w:pStyle w:val="37"/>
                    <w:bidi w:val="0"/>
                    <w:rPr>
                      <w:color w:val="auto"/>
                    </w:rPr>
                  </w:pPr>
                  <w:r>
                    <w:rPr>
                      <w:rFonts w:hint="eastAsia"/>
                      <w:color w:val="auto"/>
                    </w:rPr>
                    <w:t>检测点位</w:t>
                  </w:r>
                </w:p>
              </w:tc>
              <w:tc>
                <w:tcPr>
                  <w:tcW w:w="947" w:type="pct"/>
                  <w:tcBorders>
                    <w:tl2br w:val="nil"/>
                    <w:tr2bl w:val="nil"/>
                  </w:tcBorders>
                  <w:vAlign w:val="center"/>
                </w:tcPr>
                <w:p w14:paraId="7AB72721">
                  <w:pPr>
                    <w:pStyle w:val="37"/>
                    <w:bidi w:val="0"/>
                    <w:rPr>
                      <w:color w:val="auto"/>
                    </w:rPr>
                  </w:pPr>
                  <w:r>
                    <w:rPr>
                      <w:rFonts w:hint="eastAsia"/>
                      <w:color w:val="auto"/>
                    </w:rPr>
                    <w:t>检测日期</w:t>
                  </w:r>
                </w:p>
              </w:tc>
              <w:tc>
                <w:tcPr>
                  <w:tcW w:w="1355" w:type="pct"/>
                  <w:gridSpan w:val="2"/>
                  <w:tcBorders>
                    <w:tl2br w:val="nil"/>
                    <w:tr2bl w:val="nil"/>
                  </w:tcBorders>
                  <w:vAlign w:val="center"/>
                </w:tcPr>
                <w:p w14:paraId="579FCB8D">
                  <w:pPr>
                    <w:pStyle w:val="37"/>
                    <w:bidi w:val="0"/>
                    <w:rPr>
                      <w:color w:val="auto"/>
                    </w:rPr>
                  </w:pPr>
                  <w:r>
                    <w:rPr>
                      <w:rFonts w:hint="eastAsia"/>
                      <w:color w:val="auto"/>
                    </w:rPr>
                    <w:t>采样时段</w:t>
                  </w:r>
                </w:p>
              </w:tc>
              <w:tc>
                <w:tcPr>
                  <w:tcW w:w="491" w:type="pct"/>
                  <w:tcBorders>
                    <w:tl2br w:val="nil"/>
                    <w:tr2bl w:val="nil"/>
                  </w:tcBorders>
                  <w:vAlign w:val="center"/>
                </w:tcPr>
                <w:p w14:paraId="2F2DCE51">
                  <w:pPr>
                    <w:pStyle w:val="37"/>
                    <w:bidi w:val="0"/>
                    <w:rPr>
                      <w:color w:val="auto"/>
                    </w:rPr>
                  </w:pPr>
                  <w:r>
                    <w:rPr>
                      <w:rFonts w:hint="eastAsia"/>
                      <w:color w:val="auto"/>
                    </w:rPr>
                    <w:t>噪声值Leq</w:t>
                  </w:r>
                </w:p>
              </w:tc>
              <w:tc>
                <w:tcPr>
                  <w:tcW w:w="746" w:type="pct"/>
                  <w:tcBorders>
                    <w:tl2br w:val="nil"/>
                    <w:tr2bl w:val="nil"/>
                  </w:tcBorders>
                  <w:vAlign w:val="center"/>
                </w:tcPr>
                <w:p w14:paraId="78D5E3F3">
                  <w:pPr>
                    <w:pStyle w:val="37"/>
                    <w:bidi w:val="0"/>
                    <w:rPr>
                      <w:color w:val="auto"/>
                    </w:rPr>
                  </w:pPr>
                  <w:r>
                    <w:rPr>
                      <w:rFonts w:hint="eastAsia"/>
                      <w:color w:val="auto"/>
                    </w:rPr>
                    <w:t>主要声源</w:t>
                  </w:r>
                </w:p>
              </w:tc>
            </w:tr>
            <w:tr w14:paraId="5EFD17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exact"/>
                <w:jc w:val="center"/>
              </w:trPr>
              <w:tc>
                <w:tcPr>
                  <w:tcW w:w="476" w:type="pct"/>
                  <w:vMerge w:val="restart"/>
                  <w:tcBorders>
                    <w:tl2br w:val="nil"/>
                    <w:tr2bl w:val="nil"/>
                  </w:tcBorders>
                  <w:vAlign w:val="center"/>
                </w:tcPr>
                <w:p w14:paraId="2CDF6F58">
                  <w:pPr>
                    <w:pStyle w:val="37"/>
                    <w:bidi w:val="0"/>
                    <w:rPr>
                      <w:rFonts w:hint="default"/>
                      <w:color w:val="auto"/>
                      <w:lang w:val="en-US" w:eastAsia="zh-CN"/>
                    </w:rPr>
                  </w:pPr>
                  <w:r>
                    <w:rPr>
                      <w:rFonts w:hint="eastAsia"/>
                      <w:color w:val="auto"/>
                      <w:lang w:val="en-US" w:eastAsia="zh-CN"/>
                    </w:rPr>
                    <w:t>1</w:t>
                  </w:r>
                </w:p>
              </w:tc>
              <w:tc>
                <w:tcPr>
                  <w:tcW w:w="981" w:type="pct"/>
                  <w:vMerge w:val="restart"/>
                  <w:tcBorders>
                    <w:tl2br w:val="nil"/>
                    <w:tr2bl w:val="nil"/>
                  </w:tcBorders>
                  <w:vAlign w:val="center"/>
                </w:tcPr>
                <w:p w14:paraId="775629B6">
                  <w:pPr>
                    <w:pStyle w:val="37"/>
                    <w:bidi w:val="0"/>
                    <w:rPr>
                      <w:rFonts w:hint="default"/>
                      <w:color w:val="auto"/>
                      <w:lang w:val="en-US" w:eastAsia="zh-CN"/>
                    </w:rPr>
                  </w:pPr>
                  <w:r>
                    <w:rPr>
                      <w:rFonts w:hint="eastAsia"/>
                      <w:color w:val="auto"/>
                      <w:lang w:val="en-US" w:eastAsia="zh-CN"/>
                    </w:rPr>
                    <w:t>变电站北厂界外1m处</w:t>
                  </w:r>
                </w:p>
              </w:tc>
              <w:tc>
                <w:tcPr>
                  <w:tcW w:w="947" w:type="pct"/>
                  <w:tcBorders>
                    <w:tl2br w:val="nil"/>
                    <w:tr2bl w:val="nil"/>
                  </w:tcBorders>
                  <w:vAlign w:val="center"/>
                </w:tcPr>
                <w:p w14:paraId="3F23EB2B">
                  <w:pPr>
                    <w:pStyle w:val="37"/>
                    <w:bidi w:val="0"/>
                    <w:rPr>
                      <w:rFonts w:hint="default"/>
                      <w:color w:val="auto"/>
                      <w:lang w:val="en-US" w:eastAsia="zh-CN"/>
                    </w:rPr>
                  </w:pPr>
                  <w:r>
                    <w:rPr>
                      <w:rFonts w:hint="eastAsia"/>
                      <w:color w:val="auto"/>
                      <w:lang w:val="en-US" w:eastAsia="zh-CN"/>
                    </w:rPr>
                    <w:t>2025.03.21</w:t>
                  </w:r>
                </w:p>
              </w:tc>
              <w:tc>
                <w:tcPr>
                  <w:tcW w:w="474" w:type="pct"/>
                  <w:tcBorders>
                    <w:tl2br w:val="nil"/>
                    <w:tr2bl w:val="nil"/>
                  </w:tcBorders>
                  <w:vAlign w:val="center"/>
                </w:tcPr>
                <w:p w14:paraId="40370087">
                  <w:pPr>
                    <w:pStyle w:val="37"/>
                    <w:bidi w:val="0"/>
                    <w:rPr>
                      <w:rFonts w:hint="eastAsia"/>
                      <w:color w:val="auto"/>
                      <w:lang w:val="en-US" w:eastAsia="zh-CN"/>
                    </w:rPr>
                  </w:pPr>
                  <w:r>
                    <w:rPr>
                      <w:rFonts w:hint="eastAsia"/>
                      <w:color w:val="auto"/>
                      <w:lang w:val="en-US" w:eastAsia="zh-CN"/>
                    </w:rPr>
                    <w:t>昼间</w:t>
                  </w:r>
                </w:p>
              </w:tc>
              <w:tc>
                <w:tcPr>
                  <w:tcW w:w="881" w:type="pct"/>
                  <w:tcBorders>
                    <w:tl2br w:val="nil"/>
                    <w:tr2bl w:val="nil"/>
                  </w:tcBorders>
                  <w:vAlign w:val="center"/>
                </w:tcPr>
                <w:p w14:paraId="140CAD9A">
                  <w:pPr>
                    <w:pStyle w:val="37"/>
                    <w:bidi w:val="0"/>
                    <w:rPr>
                      <w:rFonts w:hint="default"/>
                      <w:color w:val="auto"/>
                      <w:lang w:val="en-US" w:eastAsia="zh-CN"/>
                    </w:rPr>
                  </w:pPr>
                  <w:r>
                    <w:rPr>
                      <w:rFonts w:hint="eastAsia"/>
                      <w:color w:val="auto"/>
                      <w:lang w:val="en-US" w:eastAsia="zh-CN"/>
                    </w:rPr>
                    <w:t>13:00-13:10</w:t>
                  </w:r>
                </w:p>
              </w:tc>
              <w:tc>
                <w:tcPr>
                  <w:tcW w:w="491" w:type="pct"/>
                  <w:tcBorders>
                    <w:tl2br w:val="nil"/>
                    <w:tr2bl w:val="nil"/>
                  </w:tcBorders>
                  <w:shd w:val="clear" w:color="auto" w:fill="auto"/>
                  <w:vAlign w:val="center"/>
                </w:tcPr>
                <w:p w14:paraId="7EF6B1C9">
                  <w:pPr>
                    <w:pStyle w:val="37"/>
                    <w:bidi w:val="0"/>
                    <w:rPr>
                      <w:rFonts w:hint="default"/>
                      <w:color w:val="auto"/>
                      <w:lang w:val="en-US" w:eastAsia="zh-CN"/>
                    </w:rPr>
                  </w:pPr>
                  <w:r>
                    <w:rPr>
                      <w:rFonts w:hint="eastAsia"/>
                      <w:color w:val="auto"/>
                      <w:lang w:val="en-US" w:eastAsia="zh-CN"/>
                    </w:rPr>
                    <w:t>43</w:t>
                  </w:r>
                </w:p>
              </w:tc>
              <w:tc>
                <w:tcPr>
                  <w:tcW w:w="746" w:type="pct"/>
                  <w:vMerge w:val="restart"/>
                  <w:tcBorders>
                    <w:tl2br w:val="nil"/>
                    <w:tr2bl w:val="nil"/>
                  </w:tcBorders>
                  <w:vAlign w:val="center"/>
                </w:tcPr>
                <w:p w14:paraId="3F8D4FA0">
                  <w:pPr>
                    <w:pStyle w:val="37"/>
                    <w:bidi w:val="0"/>
                    <w:rPr>
                      <w:color w:val="auto"/>
                    </w:rPr>
                  </w:pPr>
                  <w:r>
                    <w:rPr>
                      <w:rFonts w:hint="eastAsia"/>
                      <w:color w:val="auto"/>
                      <w:lang w:val="en-US" w:eastAsia="zh-CN"/>
                    </w:rPr>
                    <w:t>环境噪声</w:t>
                  </w:r>
                </w:p>
              </w:tc>
            </w:tr>
            <w:tr w14:paraId="2E874BA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exact"/>
                <w:jc w:val="center"/>
              </w:trPr>
              <w:tc>
                <w:tcPr>
                  <w:tcW w:w="476" w:type="pct"/>
                  <w:vMerge w:val="continue"/>
                  <w:tcBorders>
                    <w:tl2br w:val="nil"/>
                    <w:tr2bl w:val="nil"/>
                  </w:tcBorders>
                  <w:vAlign w:val="center"/>
                </w:tcPr>
                <w:p w14:paraId="30C6AEB0">
                  <w:pPr>
                    <w:pStyle w:val="34"/>
                    <w:bidi w:val="0"/>
                    <w:rPr>
                      <w:rFonts w:hint="eastAsia"/>
                      <w:color w:val="auto"/>
                      <w:lang w:val="en-US" w:eastAsia="zh-CN"/>
                    </w:rPr>
                  </w:pPr>
                </w:p>
              </w:tc>
              <w:tc>
                <w:tcPr>
                  <w:tcW w:w="981" w:type="pct"/>
                  <w:vMerge w:val="continue"/>
                  <w:tcBorders>
                    <w:tl2br w:val="nil"/>
                    <w:tr2bl w:val="nil"/>
                  </w:tcBorders>
                  <w:vAlign w:val="center"/>
                </w:tcPr>
                <w:p w14:paraId="0A25EB3D">
                  <w:pPr>
                    <w:pStyle w:val="34"/>
                    <w:bidi w:val="0"/>
                    <w:rPr>
                      <w:rFonts w:hint="eastAsia"/>
                      <w:color w:val="auto"/>
                      <w:lang w:val="en-US" w:eastAsia="zh-CN"/>
                    </w:rPr>
                  </w:pPr>
                </w:p>
              </w:tc>
              <w:tc>
                <w:tcPr>
                  <w:tcW w:w="947" w:type="pct"/>
                  <w:tcBorders>
                    <w:tl2br w:val="nil"/>
                    <w:tr2bl w:val="nil"/>
                  </w:tcBorders>
                  <w:vAlign w:val="center"/>
                </w:tcPr>
                <w:p w14:paraId="56F27AB4">
                  <w:pPr>
                    <w:pStyle w:val="37"/>
                    <w:bidi w:val="0"/>
                    <w:rPr>
                      <w:rFonts w:hint="default"/>
                      <w:color w:val="auto"/>
                      <w:lang w:val="en-US" w:eastAsia="zh-CN"/>
                    </w:rPr>
                  </w:pPr>
                  <w:r>
                    <w:rPr>
                      <w:rFonts w:hint="eastAsia"/>
                      <w:color w:val="auto"/>
                      <w:lang w:val="en-US" w:eastAsia="zh-CN"/>
                    </w:rPr>
                    <w:t>2025.03.21</w:t>
                  </w:r>
                </w:p>
              </w:tc>
              <w:tc>
                <w:tcPr>
                  <w:tcW w:w="474" w:type="pct"/>
                  <w:tcBorders>
                    <w:tl2br w:val="nil"/>
                    <w:tr2bl w:val="nil"/>
                  </w:tcBorders>
                  <w:vAlign w:val="center"/>
                </w:tcPr>
                <w:p w14:paraId="4E0E4CE9">
                  <w:pPr>
                    <w:pStyle w:val="37"/>
                    <w:bidi w:val="0"/>
                    <w:rPr>
                      <w:rFonts w:hint="eastAsia"/>
                      <w:color w:val="auto"/>
                      <w:lang w:val="en-US" w:eastAsia="zh-CN"/>
                    </w:rPr>
                  </w:pPr>
                  <w:r>
                    <w:rPr>
                      <w:rFonts w:hint="eastAsia"/>
                      <w:color w:val="auto"/>
                      <w:lang w:val="en-US" w:eastAsia="zh-CN"/>
                    </w:rPr>
                    <w:t>夜间</w:t>
                  </w:r>
                </w:p>
              </w:tc>
              <w:tc>
                <w:tcPr>
                  <w:tcW w:w="881" w:type="pct"/>
                  <w:tcBorders>
                    <w:tl2br w:val="nil"/>
                    <w:tr2bl w:val="nil"/>
                  </w:tcBorders>
                  <w:vAlign w:val="center"/>
                </w:tcPr>
                <w:p w14:paraId="3A04545D">
                  <w:pPr>
                    <w:pStyle w:val="37"/>
                    <w:bidi w:val="0"/>
                    <w:rPr>
                      <w:rFonts w:hint="default"/>
                      <w:color w:val="auto"/>
                      <w:lang w:val="en-US" w:eastAsia="zh-CN"/>
                    </w:rPr>
                  </w:pPr>
                  <w:r>
                    <w:rPr>
                      <w:rFonts w:hint="eastAsia"/>
                      <w:color w:val="auto"/>
                      <w:lang w:val="en-US" w:eastAsia="zh-CN"/>
                    </w:rPr>
                    <w:t>22:01-22:11</w:t>
                  </w:r>
                </w:p>
              </w:tc>
              <w:tc>
                <w:tcPr>
                  <w:tcW w:w="491" w:type="pct"/>
                  <w:tcBorders>
                    <w:tl2br w:val="nil"/>
                    <w:tr2bl w:val="nil"/>
                  </w:tcBorders>
                  <w:vAlign w:val="center"/>
                </w:tcPr>
                <w:p w14:paraId="70BED11E">
                  <w:pPr>
                    <w:pStyle w:val="37"/>
                    <w:bidi w:val="0"/>
                    <w:rPr>
                      <w:rFonts w:hint="default"/>
                      <w:color w:val="auto"/>
                      <w:lang w:val="en-US" w:eastAsia="zh-CN"/>
                    </w:rPr>
                  </w:pPr>
                  <w:r>
                    <w:rPr>
                      <w:rFonts w:hint="eastAsia"/>
                      <w:color w:val="auto"/>
                      <w:lang w:val="en-US" w:eastAsia="zh-CN"/>
                    </w:rPr>
                    <w:t>38</w:t>
                  </w:r>
                </w:p>
              </w:tc>
              <w:tc>
                <w:tcPr>
                  <w:tcW w:w="746" w:type="pct"/>
                  <w:vMerge w:val="continue"/>
                  <w:tcBorders>
                    <w:tl2br w:val="nil"/>
                    <w:tr2bl w:val="nil"/>
                  </w:tcBorders>
                  <w:vAlign w:val="center"/>
                </w:tcPr>
                <w:p w14:paraId="23077FEC">
                  <w:pPr>
                    <w:pStyle w:val="34"/>
                    <w:bidi w:val="0"/>
                    <w:rPr>
                      <w:color w:val="auto"/>
                    </w:rPr>
                  </w:pPr>
                </w:p>
              </w:tc>
            </w:tr>
            <w:tr w14:paraId="1DAE73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exact"/>
                <w:jc w:val="center"/>
              </w:trPr>
              <w:tc>
                <w:tcPr>
                  <w:tcW w:w="476" w:type="pct"/>
                  <w:vMerge w:val="restart"/>
                  <w:tcBorders>
                    <w:tl2br w:val="nil"/>
                    <w:tr2bl w:val="nil"/>
                  </w:tcBorders>
                  <w:vAlign w:val="center"/>
                </w:tcPr>
                <w:p w14:paraId="361A38B2">
                  <w:pPr>
                    <w:pStyle w:val="37"/>
                    <w:bidi w:val="0"/>
                    <w:rPr>
                      <w:rFonts w:hint="eastAsia"/>
                      <w:color w:val="auto"/>
                      <w:lang w:val="en-US" w:eastAsia="zh-CN"/>
                    </w:rPr>
                  </w:pPr>
                  <w:r>
                    <w:rPr>
                      <w:rFonts w:hint="eastAsia"/>
                      <w:color w:val="auto"/>
                      <w:lang w:val="en-US" w:eastAsia="zh-CN"/>
                    </w:rPr>
                    <w:t>2</w:t>
                  </w:r>
                </w:p>
              </w:tc>
              <w:tc>
                <w:tcPr>
                  <w:tcW w:w="981" w:type="pct"/>
                  <w:vMerge w:val="restart"/>
                  <w:tcBorders>
                    <w:tl2br w:val="nil"/>
                    <w:tr2bl w:val="nil"/>
                  </w:tcBorders>
                  <w:vAlign w:val="center"/>
                </w:tcPr>
                <w:p w14:paraId="63B7640D">
                  <w:pPr>
                    <w:pStyle w:val="37"/>
                    <w:bidi w:val="0"/>
                    <w:rPr>
                      <w:rFonts w:hint="eastAsia"/>
                      <w:color w:val="auto"/>
                      <w:lang w:val="en-US" w:eastAsia="zh-CN"/>
                    </w:rPr>
                  </w:pPr>
                  <w:r>
                    <w:rPr>
                      <w:rFonts w:hint="eastAsia"/>
                      <w:color w:val="auto"/>
                      <w:lang w:val="en-US" w:eastAsia="zh-CN"/>
                    </w:rPr>
                    <w:t>变电站西厂界外1m处</w:t>
                  </w:r>
                </w:p>
              </w:tc>
              <w:tc>
                <w:tcPr>
                  <w:tcW w:w="947" w:type="pct"/>
                  <w:tcBorders>
                    <w:tl2br w:val="nil"/>
                    <w:tr2bl w:val="nil"/>
                  </w:tcBorders>
                  <w:vAlign w:val="center"/>
                </w:tcPr>
                <w:p w14:paraId="1D5F16FD">
                  <w:pPr>
                    <w:pStyle w:val="37"/>
                    <w:bidi w:val="0"/>
                    <w:rPr>
                      <w:rFonts w:hint="default"/>
                      <w:color w:val="auto"/>
                      <w:lang w:val="en-US" w:eastAsia="zh-CN"/>
                    </w:rPr>
                  </w:pPr>
                  <w:r>
                    <w:rPr>
                      <w:rFonts w:hint="eastAsia"/>
                      <w:color w:val="auto"/>
                      <w:lang w:val="en-US" w:eastAsia="zh-CN"/>
                    </w:rPr>
                    <w:t>2025.03.21</w:t>
                  </w:r>
                </w:p>
              </w:tc>
              <w:tc>
                <w:tcPr>
                  <w:tcW w:w="474" w:type="pct"/>
                  <w:tcBorders>
                    <w:tl2br w:val="nil"/>
                    <w:tr2bl w:val="nil"/>
                  </w:tcBorders>
                  <w:vAlign w:val="center"/>
                </w:tcPr>
                <w:p w14:paraId="15878BFD">
                  <w:pPr>
                    <w:pStyle w:val="37"/>
                    <w:bidi w:val="0"/>
                    <w:rPr>
                      <w:rFonts w:hint="eastAsia"/>
                      <w:color w:val="auto"/>
                      <w:lang w:val="en-US" w:eastAsia="zh-CN"/>
                    </w:rPr>
                  </w:pPr>
                  <w:r>
                    <w:rPr>
                      <w:rFonts w:hint="eastAsia"/>
                      <w:color w:val="auto"/>
                      <w:lang w:val="en-US" w:eastAsia="zh-CN"/>
                    </w:rPr>
                    <w:t>昼间</w:t>
                  </w:r>
                </w:p>
              </w:tc>
              <w:tc>
                <w:tcPr>
                  <w:tcW w:w="881" w:type="pct"/>
                  <w:tcBorders>
                    <w:tl2br w:val="nil"/>
                    <w:tr2bl w:val="nil"/>
                  </w:tcBorders>
                  <w:vAlign w:val="center"/>
                </w:tcPr>
                <w:p w14:paraId="0088E184">
                  <w:pPr>
                    <w:pStyle w:val="37"/>
                    <w:bidi w:val="0"/>
                    <w:rPr>
                      <w:rFonts w:hint="default"/>
                      <w:color w:val="auto"/>
                      <w:lang w:val="en-US" w:eastAsia="zh-CN"/>
                    </w:rPr>
                  </w:pPr>
                  <w:r>
                    <w:rPr>
                      <w:rFonts w:hint="eastAsia"/>
                      <w:color w:val="auto"/>
                      <w:lang w:val="en-US" w:eastAsia="zh-CN"/>
                    </w:rPr>
                    <w:t>13:13-13:23</w:t>
                  </w:r>
                </w:p>
              </w:tc>
              <w:tc>
                <w:tcPr>
                  <w:tcW w:w="491" w:type="pct"/>
                  <w:tcBorders>
                    <w:tl2br w:val="nil"/>
                    <w:tr2bl w:val="nil"/>
                  </w:tcBorders>
                  <w:shd w:val="clear" w:color="auto" w:fill="auto"/>
                  <w:vAlign w:val="center"/>
                </w:tcPr>
                <w:p w14:paraId="590A9B60">
                  <w:pPr>
                    <w:pStyle w:val="37"/>
                    <w:bidi w:val="0"/>
                    <w:rPr>
                      <w:rFonts w:hint="default"/>
                      <w:color w:val="auto"/>
                      <w:lang w:val="en-US" w:eastAsia="zh-CN"/>
                    </w:rPr>
                  </w:pPr>
                  <w:r>
                    <w:rPr>
                      <w:rFonts w:hint="eastAsia"/>
                      <w:color w:val="auto"/>
                      <w:lang w:val="en-US" w:eastAsia="zh-CN"/>
                    </w:rPr>
                    <w:t>42</w:t>
                  </w:r>
                </w:p>
              </w:tc>
              <w:tc>
                <w:tcPr>
                  <w:tcW w:w="746" w:type="pct"/>
                  <w:vMerge w:val="continue"/>
                  <w:tcBorders>
                    <w:tl2br w:val="nil"/>
                    <w:tr2bl w:val="nil"/>
                  </w:tcBorders>
                  <w:vAlign w:val="center"/>
                </w:tcPr>
                <w:p w14:paraId="042D05FB">
                  <w:pPr>
                    <w:pStyle w:val="34"/>
                    <w:bidi w:val="0"/>
                    <w:rPr>
                      <w:color w:val="auto"/>
                    </w:rPr>
                  </w:pPr>
                </w:p>
              </w:tc>
            </w:tr>
            <w:tr w14:paraId="0ABEF2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exact"/>
                <w:jc w:val="center"/>
              </w:trPr>
              <w:tc>
                <w:tcPr>
                  <w:tcW w:w="476" w:type="pct"/>
                  <w:vMerge w:val="continue"/>
                  <w:tcBorders>
                    <w:tl2br w:val="nil"/>
                    <w:tr2bl w:val="nil"/>
                  </w:tcBorders>
                  <w:vAlign w:val="center"/>
                </w:tcPr>
                <w:p w14:paraId="7D2BC7D7">
                  <w:pPr>
                    <w:pStyle w:val="34"/>
                    <w:bidi w:val="0"/>
                    <w:rPr>
                      <w:rFonts w:hint="eastAsia"/>
                      <w:color w:val="auto"/>
                      <w:lang w:val="en-US" w:eastAsia="zh-CN"/>
                    </w:rPr>
                  </w:pPr>
                </w:p>
              </w:tc>
              <w:tc>
                <w:tcPr>
                  <w:tcW w:w="981" w:type="pct"/>
                  <w:vMerge w:val="continue"/>
                  <w:tcBorders>
                    <w:tl2br w:val="nil"/>
                    <w:tr2bl w:val="nil"/>
                  </w:tcBorders>
                  <w:vAlign w:val="center"/>
                </w:tcPr>
                <w:p w14:paraId="2DF63516">
                  <w:pPr>
                    <w:pStyle w:val="34"/>
                    <w:bidi w:val="0"/>
                    <w:rPr>
                      <w:rFonts w:hint="eastAsia"/>
                      <w:color w:val="auto"/>
                      <w:lang w:val="en-US" w:eastAsia="zh-CN"/>
                    </w:rPr>
                  </w:pPr>
                </w:p>
              </w:tc>
              <w:tc>
                <w:tcPr>
                  <w:tcW w:w="947" w:type="pct"/>
                  <w:tcBorders>
                    <w:tl2br w:val="nil"/>
                    <w:tr2bl w:val="nil"/>
                  </w:tcBorders>
                  <w:vAlign w:val="center"/>
                </w:tcPr>
                <w:p w14:paraId="4751C31A">
                  <w:pPr>
                    <w:pStyle w:val="37"/>
                    <w:bidi w:val="0"/>
                    <w:rPr>
                      <w:rFonts w:hint="eastAsia"/>
                      <w:color w:val="auto"/>
                      <w:lang w:val="en-US" w:eastAsia="zh-CN"/>
                    </w:rPr>
                  </w:pPr>
                  <w:r>
                    <w:rPr>
                      <w:rFonts w:hint="eastAsia"/>
                      <w:color w:val="auto"/>
                      <w:lang w:val="en-US" w:eastAsia="zh-CN"/>
                    </w:rPr>
                    <w:t>2025.03.21</w:t>
                  </w:r>
                </w:p>
              </w:tc>
              <w:tc>
                <w:tcPr>
                  <w:tcW w:w="474" w:type="pct"/>
                  <w:tcBorders>
                    <w:tl2br w:val="nil"/>
                    <w:tr2bl w:val="nil"/>
                  </w:tcBorders>
                  <w:vAlign w:val="center"/>
                </w:tcPr>
                <w:p w14:paraId="410F6795">
                  <w:pPr>
                    <w:pStyle w:val="37"/>
                    <w:bidi w:val="0"/>
                    <w:rPr>
                      <w:rFonts w:hint="eastAsia"/>
                      <w:color w:val="auto"/>
                      <w:lang w:val="en-US" w:eastAsia="zh-CN"/>
                    </w:rPr>
                  </w:pPr>
                  <w:r>
                    <w:rPr>
                      <w:rFonts w:hint="eastAsia"/>
                      <w:color w:val="auto"/>
                      <w:lang w:val="en-US" w:eastAsia="zh-CN"/>
                    </w:rPr>
                    <w:t>夜间</w:t>
                  </w:r>
                </w:p>
              </w:tc>
              <w:tc>
                <w:tcPr>
                  <w:tcW w:w="881" w:type="pct"/>
                  <w:tcBorders>
                    <w:tl2br w:val="nil"/>
                    <w:tr2bl w:val="nil"/>
                  </w:tcBorders>
                  <w:vAlign w:val="center"/>
                </w:tcPr>
                <w:p w14:paraId="71DDB589">
                  <w:pPr>
                    <w:pStyle w:val="37"/>
                    <w:bidi w:val="0"/>
                    <w:rPr>
                      <w:rFonts w:hint="default"/>
                      <w:color w:val="auto"/>
                      <w:lang w:val="en-US" w:eastAsia="zh-CN"/>
                    </w:rPr>
                  </w:pPr>
                  <w:r>
                    <w:rPr>
                      <w:rFonts w:hint="eastAsia"/>
                      <w:color w:val="auto"/>
                      <w:lang w:val="en-US" w:eastAsia="zh-CN"/>
                    </w:rPr>
                    <w:t>22:16-22:26</w:t>
                  </w:r>
                </w:p>
              </w:tc>
              <w:tc>
                <w:tcPr>
                  <w:tcW w:w="491" w:type="pct"/>
                  <w:tcBorders>
                    <w:tl2br w:val="nil"/>
                    <w:tr2bl w:val="nil"/>
                  </w:tcBorders>
                  <w:vAlign w:val="center"/>
                </w:tcPr>
                <w:p w14:paraId="0ADFCC73">
                  <w:pPr>
                    <w:pStyle w:val="37"/>
                    <w:bidi w:val="0"/>
                    <w:rPr>
                      <w:rFonts w:hint="default"/>
                      <w:color w:val="auto"/>
                      <w:lang w:val="en-US" w:eastAsia="zh-CN"/>
                    </w:rPr>
                  </w:pPr>
                  <w:r>
                    <w:rPr>
                      <w:rFonts w:hint="eastAsia"/>
                      <w:color w:val="auto"/>
                      <w:lang w:val="en-US" w:eastAsia="zh-CN"/>
                    </w:rPr>
                    <w:t>38</w:t>
                  </w:r>
                </w:p>
              </w:tc>
              <w:tc>
                <w:tcPr>
                  <w:tcW w:w="746" w:type="pct"/>
                  <w:vMerge w:val="continue"/>
                  <w:tcBorders>
                    <w:tl2br w:val="nil"/>
                    <w:tr2bl w:val="nil"/>
                  </w:tcBorders>
                  <w:vAlign w:val="center"/>
                </w:tcPr>
                <w:p w14:paraId="1958DFDB">
                  <w:pPr>
                    <w:pStyle w:val="34"/>
                    <w:bidi w:val="0"/>
                    <w:rPr>
                      <w:color w:val="auto"/>
                    </w:rPr>
                  </w:pPr>
                </w:p>
              </w:tc>
            </w:tr>
            <w:tr w14:paraId="608263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exact"/>
                <w:jc w:val="center"/>
              </w:trPr>
              <w:tc>
                <w:tcPr>
                  <w:tcW w:w="476" w:type="pct"/>
                  <w:vMerge w:val="restart"/>
                  <w:tcBorders>
                    <w:tl2br w:val="nil"/>
                    <w:tr2bl w:val="nil"/>
                  </w:tcBorders>
                  <w:vAlign w:val="center"/>
                </w:tcPr>
                <w:p w14:paraId="398E24C5">
                  <w:pPr>
                    <w:pStyle w:val="37"/>
                    <w:bidi w:val="0"/>
                    <w:rPr>
                      <w:rFonts w:hint="default"/>
                      <w:color w:val="auto"/>
                      <w:lang w:val="en-US" w:eastAsia="zh-CN"/>
                    </w:rPr>
                  </w:pPr>
                  <w:r>
                    <w:rPr>
                      <w:rFonts w:hint="eastAsia"/>
                      <w:color w:val="auto"/>
                      <w:lang w:val="en-US" w:eastAsia="zh-CN"/>
                    </w:rPr>
                    <w:t>3</w:t>
                  </w:r>
                </w:p>
              </w:tc>
              <w:tc>
                <w:tcPr>
                  <w:tcW w:w="981" w:type="pct"/>
                  <w:vMerge w:val="restart"/>
                  <w:tcBorders>
                    <w:tl2br w:val="nil"/>
                    <w:tr2bl w:val="nil"/>
                  </w:tcBorders>
                  <w:vAlign w:val="center"/>
                </w:tcPr>
                <w:p w14:paraId="45FCD2EC">
                  <w:pPr>
                    <w:pStyle w:val="37"/>
                    <w:bidi w:val="0"/>
                    <w:rPr>
                      <w:rFonts w:hint="eastAsia"/>
                      <w:color w:val="auto"/>
                      <w:lang w:val="en-US" w:eastAsia="zh-CN"/>
                    </w:rPr>
                  </w:pPr>
                  <w:r>
                    <w:rPr>
                      <w:rFonts w:hint="eastAsia"/>
                      <w:color w:val="auto"/>
                      <w:lang w:val="en-US" w:eastAsia="zh-CN"/>
                    </w:rPr>
                    <w:t>变电站南厂界外1m处</w:t>
                  </w:r>
                </w:p>
              </w:tc>
              <w:tc>
                <w:tcPr>
                  <w:tcW w:w="947" w:type="pct"/>
                  <w:tcBorders>
                    <w:tl2br w:val="nil"/>
                    <w:tr2bl w:val="nil"/>
                  </w:tcBorders>
                  <w:vAlign w:val="center"/>
                </w:tcPr>
                <w:p w14:paraId="67DB18A1">
                  <w:pPr>
                    <w:pStyle w:val="37"/>
                    <w:bidi w:val="0"/>
                    <w:rPr>
                      <w:rFonts w:hint="eastAsia"/>
                      <w:color w:val="auto"/>
                      <w:lang w:val="en-US" w:eastAsia="zh-CN"/>
                    </w:rPr>
                  </w:pPr>
                  <w:r>
                    <w:rPr>
                      <w:rFonts w:hint="eastAsia"/>
                      <w:color w:val="auto"/>
                      <w:lang w:val="en-US" w:eastAsia="zh-CN"/>
                    </w:rPr>
                    <w:t>2025.03.21</w:t>
                  </w:r>
                </w:p>
              </w:tc>
              <w:tc>
                <w:tcPr>
                  <w:tcW w:w="474" w:type="pct"/>
                  <w:tcBorders>
                    <w:tl2br w:val="nil"/>
                    <w:tr2bl w:val="nil"/>
                  </w:tcBorders>
                  <w:vAlign w:val="center"/>
                </w:tcPr>
                <w:p w14:paraId="656DB561">
                  <w:pPr>
                    <w:pStyle w:val="37"/>
                    <w:bidi w:val="0"/>
                    <w:rPr>
                      <w:rFonts w:hint="eastAsia"/>
                      <w:color w:val="auto"/>
                      <w:lang w:val="en-US" w:eastAsia="zh-CN"/>
                    </w:rPr>
                  </w:pPr>
                  <w:r>
                    <w:rPr>
                      <w:rFonts w:hint="eastAsia"/>
                      <w:color w:val="auto"/>
                      <w:lang w:val="en-US" w:eastAsia="zh-CN"/>
                    </w:rPr>
                    <w:t>昼间</w:t>
                  </w:r>
                </w:p>
              </w:tc>
              <w:tc>
                <w:tcPr>
                  <w:tcW w:w="881" w:type="pct"/>
                  <w:tcBorders>
                    <w:tl2br w:val="nil"/>
                    <w:tr2bl w:val="nil"/>
                  </w:tcBorders>
                  <w:vAlign w:val="center"/>
                </w:tcPr>
                <w:p w14:paraId="4C6F36D7">
                  <w:pPr>
                    <w:pStyle w:val="37"/>
                    <w:bidi w:val="0"/>
                    <w:rPr>
                      <w:rFonts w:hint="default"/>
                      <w:color w:val="auto"/>
                      <w:lang w:val="en-US" w:eastAsia="zh-CN"/>
                    </w:rPr>
                  </w:pPr>
                  <w:r>
                    <w:rPr>
                      <w:rFonts w:hint="eastAsia"/>
                      <w:color w:val="auto"/>
                      <w:lang w:val="en-US" w:eastAsia="zh-CN"/>
                    </w:rPr>
                    <w:t>13:26-13:36</w:t>
                  </w:r>
                </w:p>
              </w:tc>
              <w:tc>
                <w:tcPr>
                  <w:tcW w:w="491" w:type="pct"/>
                  <w:tcBorders>
                    <w:tl2br w:val="nil"/>
                    <w:tr2bl w:val="nil"/>
                  </w:tcBorders>
                  <w:shd w:val="clear" w:color="auto" w:fill="auto"/>
                  <w:vAlign w:val="center"/>
                </w:tcPr>
                <w:p w14:paraId="56AE27FD">
                  <w:pPr>
                    <w:pStyle w:val="37"/>
                    <w:bidi w:val="0"/>
                    <w:rPr>
                      <w:rFonts w:hint="default"/>
                      <w:color w:val="auto"/>
                      <w:lang w:val="en-US" w:eastAsia="zh-CN"/>
                    </w:rPr>
                  </w:pPr>
                  <w:r>
                    <w:rPr>
                      <w:rFonts w:hint="eastAsia"/>
                      <w:color w:val="auto"/>
                      <w:lang w:val="en-US" w:eastAsia="zh-CN"/>
                    </w:rPr>
                    <w:t>42</w:t>
                  </w:r>
                </w:p>
              </w:tc>
              <w:tc>
                <w:tcPr>
                  <w:tcW w:w="746" w:type="pct"/>
                  <w:vMerge w:val="continue"/>
                  <w:tcBorders>
                    <w:tl2br w:val="nil"/>
                    <w:tr2bl w:val="nil"/>
                  </w:tcBorders>
                  <w:vAlign w:val="center"/>
                </w:tcPr>
                <w:p w14:paraId="796D92EA">
                  <w:pPr>
                    <w:pStyle w:val="34"/>
                    <w:bidi w:val="0"/>
                    <w:rPr>
                      <w:color w:val="auto"/>
                    </w:rPr>
                  </w:pPr>
                </w:p>
              </w:tc>
            </w:tr>
            <w:tr w14:paraId="38CFB6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exact"/>
                <w:jc w:val="center"/>
              </w:trPr>
              <w:tc>
                <w:tcPr>
                  <w:tcW w:w="476" w:type="pct"/>
                  <w:vMerge w:val="continue"/>
                  <w:tcBorders>
                    <w:tl2br w:val="nil"/>
                    <w:tr2bl w:val="nil"/>
                  </w:tcBorders>
                  <w:vAlign w:val="center"/>
                </w:tcPr>
                <w:p w14:paraId="17407BD5">
                  <w:pPr>
                    <w:pStyle w:val="34"/>
                    <w:bidi w:val="0"/>
                    <w:rPr>
                      <w:rFonts w:hint="eastAsia"/>
                      <w:color w:val="auto"/>
                      <w:lang w:val="en-US" w:eastAsia="zh-CN"/>
                    </w:rPr>
                  </w:pPr>
                </w:p>
              </w:tc>
              <w:tc>
                <w:tcPr>
                  <w:tcW w:w="981" w:type="pct"/>
                  <w:vMerge w:val="continue"/>
                  <w:tcBorders>
                    <w:tl2br w:val="nil"/>
                    <w:tr2bl w:val="nil"/>
                  </w:tcBorders>
                  <w:vAlign w:val="center"/>
                </w:tcPr>
                <w:p w14:paraId="68F0D99B">
                  <w:pPr>
                    <w:pStyle w:val="34"/>
                    <w:bidi w:val="0"/>
                    <w:rPr>
                      <w:rFonts w:hint="eastAsia"/>
                      <w:color w:val="auto"/>
                      <w:lang w:val="en-US" w:eastAsia="zh-CN"/>
                    </w:rPr>
                  </w:pPr>
                </w:p>
              </w:tc>
              <w:tc>
                <w:tcPr>
                  <w:tcW w:w="947" w:type="pct"/>
                  <w:tcBorders>
                    <w:tl2br w:val="nil"/>
                    <w:tr2bl w:val="nil"/>
                  </w:tcBorders>
                  <w:vAlign w:val="center"/>
                </w:tcPr>
                <w:p w14:paraId="5FA8A331">
                  <w:pPr>
                    <w:pStyle w:val="37"/>
                    <w:bidi w:val="0"/>
                    <w:rPr>
                      <w:rFonts w:hint="eastAsia"/>
                      <w:color w:val="auto"/>
                      <w:lang w:val="en-US" w:eastAsia="zh-CN"/>
                    </w:rPr>
                  </w:pPr>
                  <w:r>
                    <w:rPr>
                      <w:rFonts w:hint="eastAsia"/>
                      <w:color w:val="auto"/>
                      <w:lang w:val="en-US" w:eastAsia="zh-CN"/>
                    </w:rPr>
                    <w:t>2025.03.21</w:t>
                  </w:r>
                </w:p>
              </w:tc>
              <w:tc>
                <w:tcPr>
                  <w:tcW w:w="474" w:type="pct"/>
                  <w:tcBorders>
                    <w:tl2br w:val="nil"/>
                    <w:tr2bl w:val="nil"/>
                  </w:tcBorders>
                  <w:vAlign w:val="center"/>
                </w:tcPr>
                <w:p w14:paraId="65545F95">
                  <w:pPr>
                    <w:pStyle w:val="37"/>
                    <w:bidi w:val="0"/>
                    <w:rPr>
                      <w:rFonts w:hint="eastAsia"/>
                      <w:color w:val="auto"/>
                      <w:lang w:val="en-US" w:eastAsia="zh-CN"/>
                    </w:rPr>
                  </w:pPr>
                  <w:r>
                    <w:rPr>
                      <w:rFonts w:hint="eastAsia"/>
                      <w:color w:val="auto"/>
                      <w:lang w:val="en-US" w:eastAsia="zh-CN"/>
                    </w:rPr>
                    <w:t>夜间</w:t>
                  </w:r>
                </w:p>
              </w:tc>
              <w:tc>
                <w:tcPr>
                  <w:tcW w:w="881" w:type="pct"/>
                  <w:tcBorders>
                    <w:tl2br w:val="nil"/>
                    <w:tr2bl w:val="nil"/>
                  </w:tcBorders>
                  <w:vAlign w:val="center"/>
                </w:tcPr>
                <w:p w14:paraId="1C7178AC">
                  <w:pPr>
                    <w:pStyle w:val="37"/>
                    <w:bidi w:val="0"/>
                    <w:rPr>
                      <w:rFonts w:hint="default"/>
                      <w:color w:val="auto"/>
                      <w:lang w:val="en-US" w:eastAsia="zh-CN"/>
                    </w:rPr>
                  </w:pPr>
                  <w:r>
                    <w:rPr>
                      <w:rFonts w:hint="eastAsia"/>
                      <w:color w:val="auto"/>
                      <w:lang w:val="en-US" w:eastAsia="zh-CN"/>
                    </w:rPr>
                    <w:t>22:29-22:39</w:t>
                  </w:r>
                </w:p>
              </w:tc>
              <w:tc>
                <w:tcPr>
                  <w:tcW w:w="491" w:type="pct"/>
                  <w:tcBorders>
                    <w:tl2br w:val="nil"/>
                    <w:tr2bl w:val="nil"/>
                  </w:tcBorders>
                  <w:vAlign w:val="center"/>
                </w:tcPr>
                <w:p w14:paraId="38116F18">
                  <w:pPr>
                    <w:pStyle w:val="37"/>
                    <w:bidi w:val="0"/>
                    <w:rPr>
                      <w:rFonts w:hint="default"/>
                      <w:color w:val="auto"/>
                      <w:lang w:val="en-US" w:eastAsia="zh-CN"/>
                    </w:rPr>
                  </w:pPr>
                  <w:r>
                    <w:rPr>
                      <w:rFonts w:hint="eastAsia"/>
                      <w:color w:val="auto"/>
                      <w:lang w:val="en-US" w:eastAsia="zh-CN"/>
                    </w:rPr>
                    <w:t>40</w:t>
                  </w:r>
                </w:p>
              </w:tc>
              <w:tc>
                <w:tcPr>
                  <w:tcW w:w="746" w:type="pct"/>
                  <w:vMerge w:val="continue"/>
                  <w:tcBorders>
                    <w:tl2br w:val="nil"/>
                    <w:tr2bl w:val="nil"/>
                  </w:tcBorders>
                  <w:vAlign w:val="center"/>
                </w:tcPr>
                <w:p w14:paraId="37873439">
                  <w:pPr>
                    <w:pStyle w:val="34"/>
                    <w:bidi w:val="0"/>
                    <w:rPr>
                      <w:color w:val="auto"/>
                    </w:rPr>
                  </w:pPr>
                </w:p>
              </w:tc>
            </w:tr>
            <w:tr w14:paraId="2D189B3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exact"/>
                <w:jc w:val="center"/>
              </w:trPr>
              <w:tc>
                <w:tcPr>
                  <w:tcW w:w="476" w:type="pct"/>
                  <w:vMerge w:val="restart"/>
                  <w:tcBorders>
                    <w:tl2br w:val="nil"/>
                    <w:tr2bl w:val="nil"/>
                  </w:tcBorders>
                  <w:vAlign w:val="center"/>
                </w:tcPr>
                <w:p w14:paraId="11FDE54F">
                  <w:pPr>
                    <w:pStyle w:val="37"/>
                    <w:bidi w:val="0"/>
                    <w:rPr>
                      <w:rFonts w:hint="default"/>
                      <w:color w:val="auto"/>
                      <w:lang w:val="en-US" w:eastAsia="zh-CN"/>
                    </w:rPr>
                  </w:pPr>
                  <w:r>
                    <w:rPr>
                      <w:rFonts w:hint="eastAsia"/>
                      <w:color w:val="auto"/>
                      <w:lang w:val="en-US" w:eastAsia="zh-CN"/>
                    </w:rPr>
                    <w:t>4</w:t>
                  </w:r>
                </w:p>
              </w:tc>
              <w:tc>
                <w:tcPr>
                  <w:tcW w:w="981" w:type="pct"/>
                  <w:vMerge w:val="restart"/>
                  <w:tcBorders>
                    <w:tl2br w:val="nil"/>
                    <w:tr2bl w:val="nil"/>
                  </w:tcBorders>
                  <w:vAlign w:val="center"/>
                </w:tcPr>
                <w:p w14:paraId="653BEE3D">
                  <w:pPr>
                    <w:pStyle w:val="37"/>
                    <w:bidi w:val="0"/>
                    <w:rPr>
                      <w:rFonts w:hint="eastAsia"/>
                      <w:color w:val="auto"/>
                      <w:lang w:val="en-US" w:eastAsia="zh-CN"/>
                    </w:rPr>
                  </w:pPr>
                  <w:r>
                    <w:rPr>
                      <w:rFonts w:hint="eastAsia"/>
                      <w:color w:val="auto"/>
                      <w:lang w:val="en-US" w:eastAsia="zh-CN"/>
                    </w:rPr>
                    <w:t>变电站东厂界外1m处</w:t>
                  </w:r>
                </w:p>
              </w:tc>
              <w:tc>
                <w:tcPr>
                  <w:tcW w:w="947" w:type="pct"/>
                  <w:tcBorders>
                    <w:tl2br w:val="nil"/>
                    <w:tr2bl w:val="nil"/>
                  </w:tcBorders>
                  <w:shd w:val="clear" w:color="auto" w:fill="auto"/>
                  <w:vAlign w:val="center"/>
                </w:tcPr>
                <w:p w14:paraId="37489EBF">
                  <w:pPr>
                    <w:pStyle w:val="37"/>
                    <w:bidi w:val="0"/>
                    <w:rPr>
                      <w:rFonts w:hint="eastAsia"/>
                      <w:color w:val="auto"/>
                      <w:lang w:val="en-US" w:eastAsia="zh-CN"/>
                    </w:rPr>
                  </w:pPr>
                  <w:r>
                    <w:rPr>
                      <w:rFonts w:hint="eastAsia"/>
                      <w:color w:val="auto"/>
                      <w:lang w:val="en-US" w:eastAsia="zh-CN"/>
                    </w:rPr>
                    <w:t>2025.03.21</w:t>
                  </w:r>
                </w:p>
              </w:tc>
              <w:tc>
                <w:tcPr>
                  <w:tcW w:w="474" w:type="pct"/>
                  <w:tcBorders>
                    <w:tl2br w:val="nil"/>
                    <w:tr2bl w:val="nil"/>
                  </w:tcBorders>
                  <w:vAlign w:val="center"/>
                </w:tcPr>
                <w:p w14:paraId="507E2450">
                  <w:pPr>
                    <w:pStyle w:val="37"/>
                    <w:bidi w:val="0"/>
                    <w:rPr>
                      <w:rFonts w:hint="eastAsia"/>
                      <w:color w:val="auto"/>
                      <w:lang w:val="en-US" w:eastAsia="zh-CN"/>
                    </w:rPr>
                  </w:pPr>
                  <w:r>
                    <w:rPr>
                      <w:rFonts w:hint="eastAsia"/>
                      <w:color w:val="auto"/>
                      <w:lang w:val="en-US" w:eastAsia="zh-CN"/>
                    </w:rPr>
                    <w:t>昼间</w:t>
                  </w:r>
                </w:p>
              </w:tc>
              <w:tc>
                <w:tcPr>
                  <w:tcW w:w="881" w:type="pct"/>
                  <w:tcBorders>
                    <w:tl2br w:val="nil"/>
                    <w:tr2bl w:val="nil"/>
                  </w:tcBorders>
                  <w:shd w:val="clear" w:color="auto" w:fill="auto"/>
                  <w:vAlign w:val="center"/>
                </w:tcPr>
                <w:p w14:paraId="2FC98D70">
                  <w:pPr>
                    <w:pStyle w:val="37"/>
                    <w:bidi w:val="0"/>
                    <w:rPr>
                      <w:rFonts w:hint="default"/>
                      <w:color w:val="auto"/>
                      <w:lang w:val="en-US" w:eastAsia="zh-CN"/>
                    </w:rPr>
                  </w:pPr>
                  <w:r>
                    <w:rPr>
                      <w:rFonts w:hint="eastAsia"/>
                      <w:color w:val="auto"/>
                      <w:lang w:val="en-US" w:eastAsia="zh-CN"/>
                    </w:rPr>
                    <w:t>13:39-13:49</w:t>
                  </w:r>
                </w:p>
              </w:tc>
              <w:tc>
                <w:tcPr>
                  <w:tcW w:w="491" w:type="pct"/>
                  <w:tcBorders>
                    <w:tl2br w:val="nil"/>
                    <w:tr2bl w:val="nil"/>
                  </w:tcBorders>
                  <w:shd w:val="clear" w:color="auto" w:fill="auto"/>
                  <w:vAlign w:val="center"/>
                </w:tcPr>
                <w:p w14:paraId="3F505ABC">
                  <w:pPr>
                    <w:pStyle w:val="37"/>
                    <w:bidi w:val="0"/>
                    <w:rPr>
                      <w:rFonts w:hint="default"/>
                      <w:color w:val="auto"/>
                      <w:lang w:val="en-US" w:eastAsia="zh-CN"/>
                    </w:rPr>
                  </w:pPr>
                  <w:r>
                    <w:rPr>
                      <w:rFonts w:hint="eastAsia"/>
                      <w:color w:val="auto"/>
                      <w:lang w:val="en-US" w:eastAsia="zh-CN"/>
                    </w:rPr>
                    <w:t>44</w:t>
                  </w:r>
                </w:p>
              </w:tc>
              <w:tc>
                <w:tcPr>
                  <w:tcW w:w="746" w:type="pct"/>
                  <w:vMerge w:val="continue"/>
                  <w:tcBorders>
                    <w:tl2br w:val="nil"/>
                    <w:tr2bl w:val="nil"/>
                  </w:tcBorders>
                  <w:vAlign w:val="center"/>
                </w:tcPr>
                <w:p w14:paraId="1EE55702">
                  <w:pPr>
                    <w:pStyle w:val="34"/>
                    <w:bidi w:val="0"/>
                    <w:rPr>
                      <w:color w:val="auto"/>
                    </w:rPr>
                  </w:pPr>
                </w:p>
              </w:tc>
            </w:tr>
            <w:tr w14:paraId="17670F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476" w:type="pct"/>
                  <w:vMerge w:val="continue"/>
                  <w:tcBorders>
                    <w:tl2br w:val="nil"/>
                    <w:tr2bl w:val="nil"/>
                  </w:tcBorders>
                  <w:vAlign w:val="center"/>
                </w:tcPr>
                <w:p w14:paraId="542EDAFB">
                  <w:pPr>
                    <w:pStyle w:val="34"/>
                    <w:bidi w:val="0"/>
                    <w:rPr>
                      <w:rFonts w:hint="eastAsia"/>
                      <w:color w:val="auto"/>
                      <w:lang w:val="en-US" w:eastAsia="zh-CN"/>
                    </w:rPr>
                  </w:pPr>
                </w:p>
              </w:tc>
              <w:tc>
                <w:tcPr>
                  <w:tcW w:w="981" w:type="pct"/>
                  <w:vMerge w:val="continue"/>
                  <w:tcBorders>
                    <w:tl2br w:val="nil"/>
                    <w:tr2bl w:val="nil"/>
                  </w:tcBorders>
                  <w:vAlign w:val="center"/>
                </w:tcPr>
                <w:p w14:paraId="7F9A5FBC">
                  <w:pPr>
                    <w:pStyle w:val="34"/>
                    <w:bidi w:val="0"/>
                    <w:rPr>
                      <w:rFonts w:hint="eastAsia"/>
                      <w:color w:val="auto"/>
                      <w:lang w:val="en-US" w:eastAsia="zh-CN"/>
                    </w:rPr>
                  </w:pPr>
                </w:p>
              </w:tc>
              <w:tc>
                <w:tcPr>
                  <w:tcW w:w="947" w:type="pct"/>
                  <w:tcBorders>
                    <w:tl2br w:val="nil"/>
                    <w:tr2bl w:val="nil"/>
                  </w:tcBorders>
                  <w:shd w:val="clear" w:color="auto" w:fill="auto"/>
                  <w:vAlign w:val="center"/>
                </w:tcPr>
                <w:p w14:paraId="3534AB1E">
                  <w:pPr>
                    <w:pStyle w:val="37"/>
                    <w:bidi w:val="0"/>
                    <w:rPr>
                      <w:rFonts w:hint="eastAsia"/>
                      <w:color w:val="auto"/>
                      <w:lang w:val="en-US" w:eastAsia="zh-CN"/>
                    </w:rPr>
                  </w:pPr>
                  <w:r>
                    <w:rPr>
                      <w:rFonts w:hint="eastAsia"/>
                      <w:color w:val="auto"/>
                      <w:lang w:val="en-US" w:eastAsia="zh-CN"/>
                    </w:rPr>
                    <w:t>2025.03.21</w:t>
                  </w:r>
                </w:p>
              </w:tc>
              <w:tc>
                <w:tcPr>
                  <w:tcW w:w="474" w:type="pct"/>
                  <w:tcBorders>
                    <w:tl2br w:val="nil"/>
                    <w:tr2bl w:val="nil"/>
                  </w:tcBorders>
                  <w:vAlign w:val="center"/>
                </w:tcPr>
                <w:p w14:paraId="58531FFC">
                  <w:pPr>
                    <w:pStyle w:val="37"/>
                    <w:bidi w:val="0"/>
                    <w:rPr>
                      <w:rFonts w:hint="eastAsia"/>
                      <w:color w:val="auto"/>
                      <w:lang w:val="en-US" w:eastAsia="zh-CN"/>
                    </w:rPr>
                  </w:pPr>
                  <w:r>
                    <w:rPr>
                      <w:rFonts w:hint="eastAsia"/>
                      <w:color w:val="auto"/>
                      <w:lang w:val="en-US" w:eastAsia="zh-CN"/>
                    </w:rPr>
                    <w:t>夜间</w:t>
                  </w:r>
                </w:p>
              </w:tc>
              <w:tc>
                <w:tcPr>
                  <w:tcW w:w="881" w:type="pct"/>
                  <w:tcBorders>
                    <w:tl2br w:val="nil"/>
                    <w:tr2bl w:val="nil"/>
                  </w:tcBorders>
                  <w:shd w:val="clear" w:color="auto" w:fill="auto"/>
                  <w:vAlign w:val="center"/>
                </w:tcPr>
                <w:p w14:paraId="3256F58B">
                  <w:pPr>
                    <w:pStyle w:val="37"/>
                    <w:bidi w:val="0"/>
                    <w:rPr>
                      <w:rFonts w:hint="default"/>
                      <w:color w:val="auto"/>
                      <w:lang w:val="en-US" w:eastAsia="zh-CN"/>
                    </w:rPr>
                  </w:pPr>
                  <w:r>
                    <w:rPr>
                      <w:rFonts w:hint="eastAsia"/>
                      <w:color w:val="auto"/>
                      <w:lang w:val="en-US" w:eastAsia="zh-CN"/>
                    </w:rPr>
                    <w:t>22:43-22:53</w:t>
                  </w:r>
                </w:p>
              </w:tc>
              <w:tc>
                <w:tcPr>
                  <w:tcW w:w="491" w:type="pct"/>
                  <w:tcBorders>
                    <w:tl2br w:val="nil"/>
                    <w:tr2bl w:val="nil"/>
                  </w:tcBorders>
                  <w:shd w:val="clear" w:color="auto" w:fill="auto"/>
                  <w:vAlign w:val="center"/>
                </w:tcPr>
                <w:p w14:paraId="41FB9443">
                  <w:pPr>
                    <w:pStyle w:val="37"/>
                    <w:bidi w:val="0"/>
                    <w:rPr>
                      <w:rFonts w:hint="default"/>
                      <w:color w:val="auto"/>
                      <w:lang w:val="en-US" w:eastAsia="zh-CN"/>
                    </w:rPr>
                  </w:pPr>
                  <w:r>
                    <w:rPr>
                      <w:rFonts w:hint="eastAsia"/>
                      <w:color w:val="auto"/>
                      <w:lang w:val="en-US" w:eastAsia="zh-CN"/>
                    </w:rPr>
                    <w:t>39</w:t>
                  </w:r>
                </w:p>
              </w:tc>
              <w:tc>
                <w:tcPr>
                  <w:tcW w:w="746" w:type="pct"/>
                  <w:vMerge w:val="continue"/>
                  <w:tcBorders>
                    <w:tl2br w:val="nil"/>
                    <w:tr2bl w:val="nil"/>
                  </w:tcBorders>
                  <w:vAlign w:val="center"/>
                </w:tcPr>
                <w:p w14:paraId="7552609C">
                  <w:pPr>
                    <w:pStyle w:val="34"/>
                    <w:bidi w:val="0"/>
                    <w:rPr>
                      <w:color w:val="auto"/>
                    </w:rPr>
                  </w:pPr>
                </w:p>
              </w:tc>
            </w:tr>
            <w:tr w14:paraId="01EFCE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476" w:type="pct"/>
                  <w:vMerge w:val="restart"/>
                  <w:tcBorders>
                    <w:tl2br w:val="nil"/>
                    <w:tr2bl w:val="nil"/>
                  </w:tcBorders>
                  <w:vAlign w:val="center"/>
                </w:tcPr>
                <w:p w14:paraId="7D6219A2">
                  <w:pPr>
                    <w:pStyle w:val="37"/>
                    <w:bidi w:val="0"/>
                    <w:rPr>
                      <w:rFonts w:hint="default"/>
                      <w:color w:val="auto"/>
                      <w:lang w:val="en-US" w:eastAsia="zh-CN"/>
                    </w:rPr>
                  </w:pPr>
                  <w:r>
                    <w:rPr>
                      <w:rFonts w:hint="eastAsia"/>
                      <w:color w:val="auto"/>
                      <w:lang w:val="en-US" w:eastAsia="zh-CN"/>
                    </w:rPr>
                    <w:t>5</w:t>
                  </w:r>
                </w:p>
              </w:tc>
              <w:tc>
                <w:tcPr>
                  <w:tcW w:w="981" w:type="pct"/>
                  <w:vMerge w:val="restart"/>
                  <w:tcBorders>
                    <w:tl2br w:val="nil"/>
                    <w:tr2bl w:val="nil"/>
                  </w:tcBorders>
                  <w:vAlign w:val="center"/>
                </w:tcPr>
                <w:p w14:paraId="606F77A5">
                  <w:pPr>
                    <w:pStyle w:val="37"/>
                    <w:bidi w:val="0"/>
                    <w:rPr>
                      <w:rFonts w:hint="eastAsia"/>
                      <w:color w:val="auto"/>
                      <w:lang w:val="en-US" w:eastAsia="zh-CN"/>
                    </w:rPr>
                  </w:pPr>
                  <w:r>
                    <w:rPr>
                      <w:rFonts w:hint="default"/>
                      <w:color w:val="auto"/>
                      <w:lang w:val="en-US" w:eastAsia="zh-CN"/>
                    </w:rPr>
                    <w:t>XZB02号风机处</w:t>
                  </w:r>
                </w:p>
              </w:tc>
              <w:tc>
                <w:tcPr>
                  <w:tcW w:w="947" w:type="pct"/>
                  <w:tcBorders>
                    <w:tl2br w:val="nil"/>
                    <w:tr2bl w:val="nil"/>
                  </w:tcBorders>
                  <w:shd w:val="clear" w:color="auto" w:fill="auto"/>
                  <w:vAlign w:val="center"/>
                </w:tcPr>
                <w:p w14:paraId="12B8D2F5">
                  <w:pPr>
                    <w:pStyle w:val="37"/>
                    <w:bidi w:val="0"/>
                    <w:rPr>
                      <w:rFonts w:hint="eastAsia"/>
                      <w:color w:val="auto"/>
                      <w:lang w:val="en-US" w:eastAsia="zh-CN"/>
                    </w:rPr>
                  </w:pPr>
                  <w:r>
                    <w:rPr>
                      <w:rFonts w:hint="eastAsia"/>
                      <w:color w:val="auto"/>
                      <w:lang w:val="en-US" w:eastAsia="zh-CN"/>
                    </w:rPr>
                    <w:t>2025.03.21</w:t>
                  </w:r>
                </w:p>
              </w:tc>
              <w:tc>
                <w:tcPr>
                  <w:tcW w:w="474" w:type="pct"/>
                  <w:tcBorders>
                    <w:tl2br w:val="nil"/>
                    <w:tr2bl w:val="nil"/>
                  </w:tcBorders>
                  <w:vAlign w:val="center"/>
                </w:tcPr>
                <w:p w14:paraId="762F8B25">
                  <w:pPr>
                    <w:pStyle w:val="37"/>
                    <w:bidi w:val="0"/>
                    <w:rPr>
                      <w:rFonts w:hint="eastAsia"/>
                      <w:color w:val="auto"/>
                      <w:lang w:val="en-US" w:eastAsia="zh-CN"/>
                    </w:rPr>
                  </w:pPr>
                  <w:r>
                    <w:rPr>
                      <w:rFonts w:hint="eastAsia"/>
                      <w:color w:val="auto"/>
                      <w:lang w:val="en-US" w:eastAsia="zh-CN"/>
                    </w:rPr>
                    <w:t>昼间</w:t>
                  </w:r>
                </w:p>
              </w:tc>
              <w:tc>
                <w:tcPr>
                  <w:tcW w:w="881" w:type="pct"/>
                  <w:tcBorders>
                    <w:tl2br w:val="nil"/>
                    <w:tr2bl w:val="nil"/>
                  </w:tcBorders>
                  <w:shd w:val="clear" w:color="auto" w:fill="auto"/>
                  <w:vAlign w:val="center"/>
                </w:tcPr>
                <w:p w14:paraId="4519DFFD">
                  <w:pPr>
                    <w:pStyle w:val="37"/>
                    <w:bidi w:val="0"/>
                    <w:rPr>
                      <w:rFonts w:hint="eastAsia"/>
                      <w:color w:val="auto"/>
                      <w:lang w:val="en-US" w:eastAsia="zh-CN"/>
                    </w:rPr>
                  </w:pPr>
                  <w:r>
                    <w:rPr>
                      <w:rFonts w:hint="eastAsia"/>
                      <w:color w:val="auto"/>
                      <w:lang w:val="en-US" w:eastAsia="zh-CN"/>
                    </w:rPr>
                    <w:t>14:28-14:38</w:t>
                  </w:r>
                </w:p>
              </w:tc>
              <w:tc>
                <w:tcPr>
                  <w:tcW w:w="491" w:type="pct"/>
                  <w:tcBorders>
                    <w:tl2br w:val="nil"/>
                    <w:tr2bl w:val="nil"/>
                  </w:tcBorders>
                  <w:shd w:val="clear" w:color="auto" w:fill="auto"/>
                  <w:vAlign w:val="center"/>
                </w:tcPr>
                <w:p w14:paraId="50714F88">
                  <w:pPr>
                    <w:pStyle w:val="37"/>
                    <w:bidi w:val="0"/>
                    <w:rPr>
                      <w:rFonts w:hint="eastAsia"/>
                      <w:color w:val="auto"/>
                      <w:lang w:val="en-US" w:eastAsia="zh-CN"/>
                    </w:rPr>
                  </w:pPr>
                  <w:r>
                    <w:rPr>
                      <w:rFonts w:hint="eastAsia"/>
                      <w:color w:val="auto"/>
                      <w:lang w:val="en-US" w:eastAsia="zh-CN"/>
                    </w:rPr>
                    <w:t>43</w:t>
                  </w:r>
                </w:p>
              </w:tc>
              <w:tc>
                <w:tcPr>
                  <w:tcW w:w="746" w:type="pct"/>
                  <w:vMerge w:val="continue"/>
                  <w:tcBorders>
                    <w:tl2br w:val="nil"/>
                    <w:tr2bl w:val="nil"/>
                  </w:tcBorders>
                  <w:vAlign w:val="center"/>
                </w:tcPr>
                <w:p w14:paraId="33C32B99">
                  <w:pPr>
                    <w:pStyle w:val="34"/>
                    <w:bidi w:val="0"/>
                    <w:rPr>
                      <w:color w:val="auto"/>
                    </w:rPr>
                  </w:pPr>
                </w:p>
              </w:tc>
            </w:tr>
            <w:tr w14:paraId="3C1F95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8" w:hRule="exact"/>
                <w:jc w:val="center"/>
              </w:trPr>
              <w:tc>
                <w:tcPr>
                  <w:tcW w:w="476" w:type="pct"/>
                  <w:vMerge w:val="continue"/>
                  <w:tcBorders>
                    <w:tl2br w:val="nil"/>
                    <w:tr2bl w:val="nil"/>
                  </w:tcBorders>
                  <w:vAlign w:val="center"/>
                </w:tcPr>
                <w:p w14:paraId="766B3914">
                  <w:pPr>
                    <w:pStyle w:val="34"/>
                    <w:bidi w:val="0"/>
                    <w:rPr>
                      <w:rFonts w:hint="eastAsia"/>
                      <w:color w:val="auto"/>
                      <w:lang w:val="en-US" w:eastAsia="zh-CN"/>
                    </w:rPr>
                  </w:pPr>
                </w:p>
              </w:tc>
              <w:tc>
                <w:tcPr>
                  <w:tcW w:w="981" w:type="pct"/>
                  <w:vMerge w:val="continue"/>
                  <w:tcBorders>
                    <w:tl2br w:val="nil"/>
                    <w:tr2bl w:val="nil"/>
                  </w:tcBorders>
                  <w:vAlign w:val="center"/>
                </w:tcPr>
                <w:p w14:paraId="058F7E06">
                  <w:pPr>
                    <w:pStyle w:val="34"/>
                    <w:bidi w:val="0"/>
                    <w:rPr>
                      <w:rFonts w:hint="eastAsia"/>
                      <w:color w:val="auto"/>
                      <w:lang w:val="en-US" w:eastAsia="zh-CN"/>
                    </w:rPr>
                  </w:pPr>
                </w:p>
              </w:tc>
              <w:tc>
                <w:tcPr>
                  <w:tcW w:w="947" w:type="pct"/>
                  <w:tcBorders>
                    <w:tl2br w:val="nil"/>
                    <w:tr2bl w:val="nil"/>
                  </w:tcBorders>
                  <w:shd w:val="clear" w:color="auto" w:fill="auto"/>
                  <w:vAlign w:val="center"/>
                </w:tcPr>
                <w:p w14:paraId="15826358">
                  <w:pPr>
                    <w:pStyle w:val="37"/>
                    <w:bidi w:val="0"/>
                    <w:rPr>
                      <w:rFonts w:hint="eastAsia"/>
                      <w:color w:val="auto"/>
                      <w:lang w:val="en-US" w:eastAsia="zh-CN"/>
                    </w:rPr>
                  </w:pPr>
                  <w:r>
                    <w:rPr>
                      <w:rFonts w:hint="eastAsia"/>
                      <w:color w:val="auto"/>
                      <w:lang w:val="en-US" w:eastAsia="zh-CN"/>
                    </w:rPr>
                    <w:t>2025.03.21</w:t>
                  </w:r>
                </w:p>
              </w:tc>
              <w:tc>
                <w:tcPr>
                  <w:tcW w:w="474" w:type="pct"/>
                  <w:tcBorders>
                    <w:tl2br w:val="nil"/>
                    <w:tr2bl w:val="nil"/>
                  </w:tcBorders>
                  <w:vAlign w:val="center"/>
                </w:tcPr>
                <w:p w14:paraId="71BBD598">
                  <w:pPr>
                    <w:pStyle w:val="37"/>
                    <w:bidi w:val="0"/>
                    <w:rPr>
                      <w:rFonts w:hint="eastAsia"/>
                      <w:color w:val="auto"/>
                      <w:lang w:val="en-US" w:eastAsia="zh-CN"/>
                    </w:rPr>
                  </w:pPr>
                  <w:r>
                    <w:rPr>
                      <w:rFonts w:hint="eastAsia"/>
                      <w:color w:val="auto"/>
                      <w:lang w:val="en-US" w:eastAsia="zh-CN"/>
                    </w:rPr>
                    <w:t>夜间</w:t>
                  </w:r>
                </w:p>
              </w:tc>
              <w:tc>
                <w:tcPr>
                  <w:tcW w:w="881" w:type="pct"/>
                  <w:tcBorders>
                    <w:tl2br w:val="nil"/>
                    <w:tr2bl w:val="nil"/>
                  </w:tcBorders>
                  <w:shd w:val="clear" w:color="auto" w:fill="auto"/>
                  <w:vAlign w:val="center"/>
                </w:tcPr>
                <w:p w14:paraId="7A6F2252">
                  <w:pPr>
                    <w:pStyle w:val="37"/>
                    <w:bidi w:val="0"/>
                    <w:rPr>
                      <w:rFonts w:hint="eastAsia"/>
                      <w:color w:val="auto"/>
                      <w:lang w:val="en-US" w:eastAsia="zh-CN"/>
                    </w:rPr>
                  </w:pPr>
                  <w:r>
                    <w:rPr>
                      <w:rFonts w:hint="eastAsia"/>
                      <w:color w:val="auto"/>
                      <w:lang w:val="en-US" w:eastAsia="zh-CN"/>
                    </w:rPr>
                    <w:t>23:38-23:48</w:t>
                  </w:r>
                </w:p>
              </w:tc>
              <w:tc>
                <w:tcPr>
                  <w:tcW w:w="491" w:type="pct"/>
                  <w:tcBorders>
                    <w:tl2br w:val="nil"/>
                    <w:tr2bl w:val="nil"/>
                  </w:tcBorders>
                  <w:shd w:val="clear" w:color="auto" w:fill="auto"/>
                  <w:vAlign w:val="center"/>
                </w:tcPr>
                <w:p w14:paraId="1C4A4DB2">
                  <w:pPr>
                    <w:pStyle w:val="37"/>
                    <w:bidi w:val="0"/>
                    <w:rPr>
                      <w:rFonts w:hint="eastAsia"/>
                      <w:color w:val="auto"/>
                      <w:lang w:val="en-US" w:eastAsia="zh-CN"/>
                    </w:rPr>
                  </w:pPr>
                  <w:r>
                    <w:rPr>
                      <w:rFonts w:hint="eastAsia"/>
                      <w:color w:val="auto"/>
                      <w:lang w:val="en-US" w:eastAsia="zh-CN"/>
                    </w:rPr>
                    <w:t>37</w:t>
                  </w:r>
                </w:p>
              </w:tc>
              <w:tc>
                <w:tcPr>
                  <w:tcW w:w="746" w:type="pct"/>
                  <w:vMerge w:val="continue"/>
                  <w:tcBorders>
                    <w:tl2br w:val="nil"/>
                    <w:tr2bl w:val="nil"/>
                  </w:tcBorders>
                  <w:vAlign w:val="center"/>
                </w:tcPr>
                <w:p w14:paraId="753B85CA">
                  <w:pPr>
                    <w:pStyle w:val="34"/>
                    <w:bidi w:val="0"/>
                    <w:rPr>
                      <w:color w:val="auto"/>
                    </w:rPr>
                  </w:pPr>
                </w:p>
              </w:tc>
            </w:tr>
          </w:tbl>
          <w:p w14:paraId="3078BC89">
            <w:pPr>
              <w:pStyle w:val="37"/>
              <w:bidi w:val="0"/>
              <w:rPr>
                <w:rFonts w:hint="default"/>
                <w:color w:val="auto"/>
                <w:lang w:val="en-US" w:eastAsia="zh-CN"/>
              </w:rPr>
            </w:pPr>
          </w:p>
          <w:p w14:paraId="0FB203CB">
            <w:pPr>
              <w:bidi w:val="0"/>
              <w:rPr>
                <w:rFonts w:hint="default"/>
                <w:color w:val="auto"/>
                <w:lang w:val="en-US" w:eastAsia="zh-CN"/>
              </w:rPr>
            </w:pPr>
            <w:r>
              <w:rPr>
                <w:rFonts w:hint="eastAsia"/>
                <w:color w:val="auto"/>
                <w:lang w:val="en-US" w:eastAsia="zh-CN"/>
              </w:rPr>
              <w:t>根据上表，项目区XZB02号风机处现状声环境质量满足《声环境质量标准》（GB3096- 2008）1类区标准，项目所在区域属于达标区。升压站厂界四周满足</w:t>
            </w:r>
            <w:r>
              <w:rPr>
                <w:rFonts w:hint="default"/>
                <w:color w:val="auto"/>
              </w:rPr>
              <w:t>《工业企业厂界环境噪声排放标准》（GB12348-2008）</w:t>
            </w:r>
            <w:r>
              <w:rPr>
                <w:rFonts w:hint="eastAsia"/>
                <w:color w:val="auto"/>
                <w:lang w:val="en-US" w:eastAsia="zh-CN"/>
              </w:rPr>
              <w:t>1</w:t>
            </w:r>
            <w:r>
              <w:rPr>
                <w:rFonts w:hint="default"/>
                <w:color w:val="auto"/>
              </w:rPr>
              <w:t>类标准。</w:t>
            </w:r>
          </w:p>
          <w:p w14:paraId="092FB44E">
            <w:pPr>
              <w:bidi w:val="0"/>
              <w:rPr>
                <w:rFonts w:hint="eastAsia"/>
                <w:b/>
                <w:bCs/>
                <w:color w:val="auto"/>
                <w:lang w:val="en-US" w:eastAsia="zh-CN"/>
              </w:rPr>
            </w:pPr>
            <w:r>
              <w:rPr>
                <w:rFonts w:hint="eastAsia"/>
                <w:b/>
                <w:bCs/>
                <w:color w:val="auto"/>
                <w:lang w:val="en-US" w:eastAsia="zh-CN"/>
              </w:rPr>
              <w:t>4.4电磁环境质量现状</w:t>
            </w:r>
          </w:p>
          <w:p w14:paraId="2D58ACF6">
            <w:pPr>
              <w:bidi w:val="0"/>
              <w:rPr>
                <w:rFonts w:hint="eastAsia"/>
                <w:color w:val="auto"/>
                <w:lang w:val="en-US" w:eastAsia="zh-CN"/>
              </w:rPr>
            </w:pPr>
            <w:r>
              <w:rPr>
                <w:rFonts w:hint="default"/>
                <w:color w:val="auto"/>
                <w:lang w:val="en-US" w:eastAsia="zh-CN"/>
              </w:rPr>
              <w:t>拟建220kV升压站电磁环境影响评价范围内没有环境保护目标，且区域</w:t>
            </w:r>
            <w:r>
              <w:rPr>
                <w:rFonts w:hint="eastAsia"/>
                <w:color w:val="auto"/>
                <w:lang w:val="en-US" w:eastAsia="zh-CN"/>
              </w:rPr>
              <w:t>没有其他的</w:t>
            </w:r>
            <w:r>
              <w:rPr>
                <w:rFonts w:hint="default"/>
                <w:color w:val="auto"/>
                <w:lang w:val="en-US" w:eastAsia="zh-CN"/>
              </w:rPr>
              <w:t>电磁设备设施，</w:t>
            </w:r>
            <w:r>
              <w:rPr>
                <w:rFonts w:hint="eastAsia"/>
                <w:color w:val="auto"/>
                <w:lang w:val="en-US" w:eastAsia="zh-CN"/>
              </w:rPr>
              <w:t>依据现场调查，项目区周边无产生电磁辐射的构筑物或设备，项目区域电磁辐射主要源于西泽风电场升压站内的主变及其他电气设备。</w:t>
            </w:r>
          </w:p>
          <w:p w14:paraId="43B4E861">
            <w:pPr>
              <w:bidi w:val="0"/>
              <w:rPr>
                <w:rFonts w:hint="eastAsia"/>
                <w:color w:val="auto"/>
                <w:lang w:val="en-US" w:eastAsia="zh-CN"/>
              </w:rPr>
            </w:pPr>
            <w:r>
              <w:rPr>
                <w:rFonts w:hint="eastAsia"/>
                <w:color w:val="auto"/>
                <w:lang w:val="en-US" w:eastAsia="zh-CN"/>
              </w:rPr>
              <w:t>为了解西泽风电场升压站的电磁环境状况，建设单位委托云南科环环境工程咨询有限公司对升压站电磁环境进行了现状监测，具体电磁环境监测情况详见下表：</w:t>
            </w:r>
          </w:p>
          <w:p w14:paraId="3FE24289">
            <w:pPr>
              <w:bidi w:val="0"/>
              <w:rPr>
                <w:rFonts w:hint="eastAsia"/>
                <w:color w:val="auto"/>
                <w:lang w:val="en-US" w:eastAsia="zh-CN"/>
              </w:rPr>
            </w:pPr>
            <w:r>
              <w:rPr>
                <w:rFonts w:hint="eastAsia"/>
                <w:color w:val="auto"/>
                <w:lang w:val="en-US" w:eastAsia="zh-CN"/>
              </w:rPr>
              <w:t>（1）监测项目：工频电场、工频磁场</w:t>
            </w:r>
          </w:p>
          <w:p w14:paraId="5446791C">
            <w:pPr>
              <w:bidi w:val="0"/>
              <w:rPr>
                <w:rFonts w:hint="eastAsia"/>
                <w:color w:val="auto"/>
                <w:lang w:val="en-US" w:eastAsia="zh-CN"/>
              </w:rPr>
            </w:pPr>
            <w:r>
              <w:rPr>
                <w:rFonts w:hint="eastAsia"/>
                <w:color w:val="auto"/>
                <w:highlight w:val="none"/>
                <w:lang w:val="en-US" w:eastAsia="zh-CN"/>
              </w:rPr>
              <w:t>（2）监测点位及频次：升压</w:t>
            </w:r>
            <w:r>
              <w:rPr>
                <w:rFonts w:hint="eastAsia"/>
                <w:color w:val="auto"/>
                <w:lang w:val="en-US" w:eastAsia="zh-CN"/>
              </w:rPr>
              <w:t>站厂界四周围墙5m处分别布设1个监测点位，监测1次；</w:t>
            </w:r>
          </w:p>
          <w:p w14:paraId="61BA2521">
            <w:pPr>
              <w:bidi w:val="0"/>
              <w:rPr>
                <w:rFonts w:hint="eastAsia"/>
                <w:color w:val="auto"/>
                <w:lang w:val="en-US" w:eastAsia="zh-CN"/>
              </w:rPr>
            </w:pPr>
            <w:r>
              <w:rPr>
                <w:rFonts w:hint="eastAsia"/>
                <w:color w:val="auto"/>
                <w:lang w:val="en-US" w:eastAsia="zh-CN"/>
              </w:rPr>
              <w:t>（3）监测点位气象条件：天气阴、风速0.3—3.0m/s、环境温度7.9~12.2℃、相对湿度40%～59%RH、大气压76.8~79.8kPa。</w:t>
            </w:r>
          </w:p>
          <w:p w14:paraId="5CF32CDA">
            <w:pPr>
              <w:pStyle w:val="27"/>
              <w:bidi w:val="0"/>
              <w:rPr>
                <w:rFonts w:hint="eastAsia"/>
                <w:color w:val="auto"/>
                <w:lang w:val="en-US" w:eastAsia="zh-CN"/>
              </w:rPr>
            </w:pPr>
            <w:r>
              <w:rPr>
                <w:rFonts w:hint="eastAsia"/>
                <w:color w:val="auto"/>
                <w:lang w:val="en-US" w:eastAsia="zh-CN"/>
              </w:rPr>
              <w:t>表3-4  升压站站址电磁环境监测结果</w:t>
            </w:r>
          </w:p>
          <w:tbl>
            <w:tblPr>
              <w:tblStyle w:val="21"/>
              <w:tblW w:w="785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2887"/>
              <w:gridCol w:w="1728"/>
              <w:gridCol w:w="1182"/>
              <w:gridCol w:w="1316"/>
            </w:tblGrid>
            <w:tr w14:paraId="201BC9F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8" w:hRule="atLeast"/>
                <w:tblHeader/>
                <w:jc w:val="center"/>
              </w:trPr>
              <w:tc>
                <w:tcPr>
                  <w:tcW w:w="474" w:type="pct"/>
                  <w:vMerge w:val="restart"/>
                  <w:tcBorders>
                    <w:tl2br w:val="nil"/>
                    <w:tr2bl w:val="nil"/>
                  </w:tcBorders>
                  <w:vAlign w:val="center"/>
                </w:tcPr>
                <w:p w14:paraId="15E853D5">
                  <w:pPr>
                    <w:pStyle w:val="37"/>
                    <w:bidi w:val="0"/>
                    <w:rPr>
                      <w:color w:val="auto"/>
                    </w:rPr>
                  </w:pPr>
                  <w:r>
                    <w:rPr>
                      <w:rFonts w:hint="eastAsia"/>
                      <w:color w:val="auto"/>
                    </w:rPr>
                    <w:t>序号</w:t>
                  </w:r>
                </w:p>
              </w:tc>
              <w:tc>
                <w:tcPr>
                  <w:tcW w:w="1836" w:type="pct"/>
                  <w:vMerge w:val="restart"/>
                  <w:tcBorders>
                    <w:tl2br w:val="nil"/>
                    <w:tr2bl w:val="nil"/>
                  </w:tcBorders>
                  <w:vAlign w:val="center"/>
                </w:tcPr>
                <w:p w14:paraId="5EC4E764">
                  <w:pPr>
                    <w:pStyle w:val="37"/>
                    <w:bidi w:val="0"/>
                    <w:rPr>
                      <w:color w:val="auto"/>
                    </w:rPr>
                  </w:pPr>
                  <w:r>
                    <w:rPr>
                      <w:rFonts w:hint="eastAsia"/>
                      <w:color w:val="auto"/>
                    </w:rPr>
                    <w:t>检测点位置</w:t>
                  </w:r>
                </w:p>
              </w:tc>
              <w:tc>
                <w:tcPr>
                  <w:tcW w:w="1099" w:type="pct"/>
                  <w:vMerge w:val="restart"/>
                  <w:tcBorders>
                    <w:tl2br w:val="nil"/>
                    <w:tr2bl w:val="nil"/>
                  </w:tcBorders>
                  <w:vAlign w:val="center"/>
                </w:tcPr>
                <w:p w14:paraId="76F6DB61">
                  <w:pPr>
                    <w:pStyle w:val="37"/>
                    <w:bidi w:val="0"/>
                    <w:rPr>
                      <w:color w:val="auto"/>
                    </w:rPr>
                  </w:pPr>
                  <w:r>
                    <w:rPr>
                      <w:color w:val="auto"/>
                    </w:rPr>
                    <w:t>检测日期</w:t>
                  </w:r>
                </w:p>
              </w:tc>
              <w:tc>
                <w:tcPr>
                  <w:tcW w:w="1589" w:type="pct"/>
                  <w:gridSpan w:val="2"/>
                  <w:tcBorders>
                    <w:tl2br w:val="nil"/>
                    <w:tr2bl w:val="nil"/>
                  </w:tcBorders>
                  <w:vAlign w:val="center"/>
                </w:tcPr>
                <w:p w14:paraId="65416941">
                  <w:pPr>
                    <w:pStyle w:val="37"/>
                    <w:bidi w:val="0"/>
                    <w:rPr>
                      <w:color w:val="auto"/>
                    </w:rPr>
                  </w:pPr>
                  <w:r>
                    <w:rPr>
                      <w:rFonts w:hint="eastAsia"/>
                      <w:color w:val="auto"/>
                      <w:lang w:eastAsia="zh-CN"/>
                    </w:rPr>
                    <w:t>检</w:t>
                  </w:r>
                  <w:r>
                    <w:rPr>
                      <w:rFonts w:hint="eastAsia"/>
                      <w:color w:val="auto"/>
                    </w:rPr>
                    <w:t>测结果</w:t>
                  </w:r>
                </w:p>
              </w:tc>
            </w:tr>
            <w:tr w14:paraId="5FEE3B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6" w:hRule="atLeast"/>
                <w:tblHeader/>
                <w:jc w:val="center"/>
              </w:trPr>
              <w:tc>
                <w:tcPr>
                  <w:tcW w:w="474" w:type="pct"/>
                  <w:vMerge w:val="continue"/>
                  <w:tcBorders>
                    <w:tl2br w:val="nil"/>
                    <w:tr2bl w:val="nil"/>
                  </w:tcBorders>
                  <w:vAlign w:val="center"/>
                </w:tcPr>
                <w:p w14:paraId="40695AB2">
                  <w:pPr>
                    <w:pStyle w:val="34"/>
                    <w:bidi w:val="0"/>
                    <w:rPr>
                      <w:color w:val="auto"/>
                    </w:rPr>
                  </w:pPr>
                </w:p>
              </w:tc>
              <w:tc>
                <w:tcPr>
                  <w:tcW w:w="1836" w:type="pct"/>
                  <w:vMerge w:val="continue"/>
                  <w:tcBorders>
                    <w:tl2br w:val="nil"/>
                    <w:tr2bl w:val="nil"/>
                  </w:tcBorders>
                  <w:vAlign w:val="center"/>
                </w:tcPr>
                <w:p w14:paraId="31A138CD">
                  <w:pPr>
                    <w:pStyle w:val="34"/>
                    <w:bidi w:val="0"/>
                    <w:rPr>
                      <w:color w:val="auto"/>
                    </w:rPr>
                  </w:pPr>
                </w:p>
              </w:tc>
              <w:tc>
                <w:tcPr>
                  <w:tcW w:w="1099" w:type="pct"/>
                  <w:vMerge w:val="continue"/>
                  <w:tcBorders>
                    <w:tl2br w:val="nil"/>
                    <w:tr2bl w:val="nil"/>
                  </w:tcBorders>
                  <w:vAlign w:val="center"/>
                </w:tcPr>
                <w:p w14:paraId="7EDA9CDA">
                  <w:pPr>
                    <w:pStyle w:val="34"/>
                    <w:bidi w:val="0"/>
                    <w:rPr>
                      <w:color w:val="auto"/>
                    </w:rPr>
                  </w:pPr>
                </w:p>
              </w:tc>
              <w:tc>
                <w:tcPr>
                  <w:tcW w:w="752" w:type="pct"/>
                  <w:tcBorders>
                    <w:tl2br w:val="nil"/>
                    <w:tr2bl w:val="nil"/>
                  </w:tcBorders>
                  <w:vAlign w:val="center"/>
                </w:tcPr>
                <w:p w14:paraId="52C44BC5">
                  <w:pPr>
                    <w:pStyle w:val="37"/>
                    <w:bidi w:val="0"/>
                    <w:rPr>
                      <w:color w:val="auto"/>
                    </w:rPr>
                  </w:pPr>
                  <w:r>
                    <w:rPr>
                      <w:rFonts w:hint="eastAsia"/>
                      <w:color w:val="auto"/>
                    </w:rPr>
                    <w:t>工频电场强度（</w:t>
                  </w:r>
                  <w:r>
                    <w:rPr>
                      <w:color w:val="auto"/>
                    </w:rPr>
                    <w:t>V/m</w:t>
                  </w:r>
                  <w:r>
                    <w:rPr>
                      <w:rFonts w:hint="eastAsia"/>
                      <w:color w:val="auto"/>
                    </w:rPr>
                    <w:t>）</w:t>
                  </w:r>
                </w:p>
              </w:tc>
              <w:tc>
                <w:tcPr>
                  <w:tcW w:w="837" w:type="pct"/>
                  <w:tcBorders>
                    <w:tl2br w:val="nil"/>
                    <w:tr2bl w:val="nil"/>
                  </w:tcBorders>
                  <w:vAlign w:val="center"/>
                </w:tcPr>
                <w:p w14:paraId="4D283457">
                  <w:pPr>
                    <w:pStyle w:val="37"/>
                    <w:bidi w:val="0"/>
                    <w:rPr>
                      <w:color w:val="auto"/>
                    </w:rPr>
                  </w:pPr>
                  <w:r>
                    <w:rPr>
                      <w:rFonts w:hint="eastAsia"/>
                      <w:color w:val="auto"/>
                    </w:rPr>
                    <w:t>工频磁感应强度（</w:t>
                  </w:r>
                  <w:r>
                    <w:rPr>
                      <w:color w:val="auto"/>
                    </w:rPr>
                    <w:t>μT</w:t>
                  </w:r>
                  <w:r>
                    <w:rPr>
                      <w:rFonts w:hint="eastAsia"/>
                      <w:color w:val="auto"/>
                    </w:rPr>
                    <w:t>）</w:t>
                  </w:r>
                </w:p>
              </w:tc>
            </w:tr>
            <w:tr w14:paraId="71E66F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474" w:type="pct"/>
                  <w:tcBorders>
                    <w:tl2br w:val="nil"/>
                    <w:tr2bl w:val="nil"/>
                  </w:tcBorders>
                  <w:vAlign w:val="center"/>
                </w:tcPr>
                <w:p w14:paraId="4BC2E90B">
                  <w:pPr>
                    <w:pStyle w:val="37"/>
                    <w:bidi w:val="0"/>
                    <w:rPr>
                      <w:rFonts w:hint="default"/>
                      <w:color w:val="auto"/>
                      <w:lang w:val="en-US" w:eastAsia="zh-CN"/>
                    </w:rPr>
                  </w:pPr>
                  <w:r>
                    <w:rPr>
                      <w:rFonts w:hint="eastAsia"/>
                      <w:color w:val="auto"/>
                      <w:lang w:val="en-US" w:eastAsia="zh-CN"/>
                    </w:rPr>
                    <w:t>1</w:t>
                  </w:r>
                </w:p>
              </w:tc>
              <w:tc>
                <w:tcPr>
                  <w:tcW w:w="1836" w:type="pct"/>
                  <w:tcBorders>
                    <w:tl2br w:val="nil"/>
                    <w:tr2bl w:val="nil"/>
                  </w:tcBorders>
                  <w:vAlign w:val="center"/>
                </w:tcPr>
                <w:p w14:paraId="2B1A4644">
                  <w:pPr>
                    <w:pStyle w:val="37"/>
                    <w:bidi w:val="0"/>
                    <w:rPr>
                      <w:rFonts w:hint="default"/>
                      <w:color w:val="auto"/>
                      <w:lang w:val="en-US" w:eastAsia="zh-CN"/>
                    </w:rPr>
                  </w:pPr>
                  <w:r>
                    <w:rPr>
                      <w:rFonts w:hint="eastAsia"/>
                      <w:color w:val="auto"/>
                      <w:lang w:val="en-US" w:eastAsia="zh-CN"/>
                    </w:rPr>
                    <w:t>变电站北厂界外5m处</w:t>
                  </w:r>
                </w:p>
              </w:tc>
              <w:tc>
                <w:tcPr>
                  <w:tcW w:w="1099" w:type="pct"/>
                  <w:tcBorders>
                    <w:tl2br w:val="nil"/>
                    <w:tr2bl w:val="nil"/>
                  </w:tcBorders>
                  <w:vAlign w:val="center"/>
                </w:tcPr>
                <w:p w14:paraId="005234F2">
                  <w:pPr>
                    <w:pStyle w:val="37"/>
                    <w:bidi w:val="0"/>
                    <w:rPr>
                      <w:rFonts w:hint="default"/>
                      <w:color w:val="auto"/>
                      <w:lang w:val="en-US" w:eastAsia="zh-CN"/>
                    </w:rPr>
                  </w:pPr>
                  <w:r>
                    <w:rPr>
                      <w:rFonts w:hint="eastAsia"/>
                      <w:color w:val="auto"/>
                      <w:lang w:val="en-US" w:eastAsia="zh-CN"/>
                    </w:rPr>
                    <w:t>2025.03.21</w:t>
                  </w:r>
                </w:p>
              </w:tc>
              <w:tc>
                <w:tcPr>
                  <w:tcW w:w="752" w:type="pct"/>
                  <w:tcBorders>
                    <w:tl2br w:val="nil"/>
                    <w:tr2bl w:val="nil"/>
                  </w:tcBorders>
                  <w:vAlign w:val="center"/>
                </w:tcPr>
                <w:p w14:paraId="2BD8EA35">
                  <w:pPr>
                    <w:pStyle w:val="37"/>
                    <w:bidi w:val="0"/>
                    <w:rPr>
                      <w:rFonts w:hint="default"/>
                      <w:color w:val="auto"/>
                      <w:lang w:val="en-US" w:eastAsia="zh-CN"/>
                    </w:rPr>
                  </w:pPr>
                  <w:r>
                    <w:rPr>
                      <w:rFonts w:hint="eastAsia"/>
                      <w:color w:val="auto"/>
                      <w:lang w:val="en-US" w:eastAsia="zh-CN"/>
                    </w:rPr>
                    <w:t>19.60</w:t>
                  </w:r>
                </w:p>
              </w:tc>
              <w:tc>
                <w:tcPr>
                  <w:tcW w:w="837" w:type="pct"/>
                  <w:tcBorders>
                    <w:tl2br w:val="nil"/>
                    <w:tr2bl w:val="nil"/>
                  </w:tcBorders>
                  <w:vAlign w:val="center"/>
                </w:tcPr>
                <w:p w14:paraId="0153B8A9">
                  <w:pPr>
                    <w:pStyle w:val="37"/>
                    <w:bidi w:val="0"/>
                    <w:rPr>
                      <w:rFonts w:hint="default"/>
                      <w:color w:val="auto"/>
                      <w:lang w:val="en-US" w:eastAsia="zh-CN"/>
                    </w:rPr>
                  </w:pPr>
                  <w:r>
                    <w:rPr>
                      <w:rFonts w:hint="eastAsia"/>
                      <w:color w:val="auto"/>
                      <w:lang w:val="en-US" w:eastAsia="zh-CN"/>
                    </w:rPr>
                    <w:t>0.0912</w:t>
                  </w:r>
                </w:p>
              </w:tc>
            </w:tr>
            <w:tr w14:paraId="20894B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474" w:type="pct"/>
                  <w:tcBorders>
                    <w:tl2br w:val="nil"/>
                    <w:tr2bl w:val="nil"/>
                  </w:tcBorders>
                  <w:vAlign w:val="center"/>
                </w:tcPr>
                <w:p w14:paraId="638E2F85">
                  <w:pPr>
                    <w:pStyle w:val="37"/>
                    <w:bidi w:val="0"/>
                    <w:rPr>
                      <w:rFonts w:hint="default"/>
                      <w:color w:val="auto"/>
                      <w:lang w:val="en-US" w:eastAsia="zh-CN"/>
                    </w:rPr>
                  </w:pPr>
                  <w:r>
                    <w:rPr>
                      <w:rFonts w:hint="eastAsia"/>
                      <w:color w:val="auto"/>
                      <w:lang w:val="en-US" w:eastAsia="zh-CN"/>
                    </w:rPr>
                    <w:t>2</w:t>
                  </w:r>
                </w:p>
              </w:tc>
              <w:tc>
                <w:tcPr>
                  <w:tcW w:w="1836" w:type="pct"/>
                  <w:tcBorders>
                    <w:tl2br w:val="nil"/>
                    <w:tr2bl w:val="nil"/>
                  </w:tcBorders>
                  <w:vAlign w:val="center"/>
                </w:tcPr>
                <w:p w14:paraId="4E5CF2DB">
                  <w:pPr>
                    <w:pStyle w:val="37"/>
                    <w:bidi w:val="0"/>
                    <w:rPr>
                      <w:rFonts w:hint="eastAsia"/>
                      <w:color w:val="auto"/>
                      <w:lang w:val="en-US" w:eastAsia="zh-CN"/>
                    </w:rPr>
                  </w:pPr>
                  <w:r>
                    <w:rPr>
                      <w:rFonts w:hint="eastAsia"/>
                      <w:color w:val="auto"/>
                      <w:lang w:val="en-US" w:eastAsia="zh-CN"/>
                    </w:rPr>
                    <w:t>变电站西厂界外5m处</w:t>
                  </w:r>
                </w:p>
              </w:tc>
              <w:tc>
                <w:tcPr>
                  <w:tcW w:w="1099" w:type="pct"/>
                  <w:tcBorders>
                    <w:tl2br w:val="nil"/>
                    <w:tr2bl w:val="nil"/>
                  </w:tcBorders>
                  <w:vAlign w:val="center"/>
                </w:tcPr>
                <w:p w14:paraId="73CB7183">
                  <w:pPr>
                    <w:pStyle w:val="37"/>
                    <w:bidi w:val="0"/>
                    <w:rPr>
                      <w:rFonts w:hint="default"/>
                      <w:color w:val="auto"/>
                      <w:lang w:val="en-US" w:eastAsia="zh-CN"/>
                    </w:rPr>
                  </w:pPr>
                  <w:r>
                    <w:rPr>
                      <w:rFonts w:hint="eastAsia"/>
                      <w:color w:val="auto"/>
                      <w:lang w:val="en-US" w:eastAsia="zh-CN"/>
                    </w:rPr>
                    <w:t>2025.03.21</w:t>
                  </w:r>
                </w:p>
              </w:tc>
              <w:tc>
                <w:tcPr>
                  <w:tcW w:w="752" w:type="pct"/>
                  <w:tcBorders>
                    <w:tl2br w:val="nil"/>
                    <w:tr2bl w:val="nil"/>
                  </w:tcBorders>
                  <w:vAlign w:val="center"/>
                </w:tcPr>
                <w:p w14:paraId="5157A916">
                  <w:pPr>
                    <w:pStyle w:val="37"/>
                    <w:bidi w:val="0"/>
                    <w:rPr>
                      <w:rFonts w:hint="default"/>
                      <w:color w:val="auto"/>
                      <w:lang w:val="en-US" w:eastAsia="zh-CN"/>
                    </w:rPr>
                  </w:pPr>
                  <w:r>
                    <w:rPr>
                      <w:rFonts w:hint="eastAsia"/>
                      <w:color w:val="auto"/>
                      <w:lang w:val="en-US" w:eastAsia="zh-CN"/>
                    </w:rPr>
                    <w:t>1119.1</w:t>
                  </w:r>
                </w:p>
              </w:tc>
              <w:tc>
                <w:tcPr>
                  <w:tcW w:w="837" w:type="pct"/>
                  <w:tcBorders>
                    <w:tl2br w:val="nil"/>
                    <w:tr2bl w:val="nil"/>
                  </w:tcBorders>
                  <w:vAlign w:val="center"/>
                </w:tcPr>
                <w:p w14:paraId="62CAE2C0">
                  <w:pPr>
                    <w:pStyle w:val="37"/>
                    <w:bidi w:val="0"/>
                    <w:rPr>
                      <w:rFonts w:hint="default"/>
                      <w:color w:val="auto"/>
                      <w:lang w:val="en-US" w:eastAsia="zh-CN"/>
                    </w:rPr>
                  </w:pPr>
                  <w:r>
                    <w:rPr>
                      <w:rFonts w:hint="eastAsia"/>
                      <w:color w:val="auto"/>
                      <w:lang w:val="en-US" w:eastAsia="zh-CN"/>
                    </w:rPr>
                    <w:t>0.7362</w:t>
                  </w:r>
                </w:p>
              </w:tc>
            </w:tr>
            <w:tr w14:paraId="772A8A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exact"/>
                <w:jc w:val="center"/>
              </w:trPr>
              <w:tc>
                <w:tcPr>
                  <w:tcW w:w="474" w:type="pct"/>
                  <w:tcBorders>
                    <w:tl2br w:val="nil"/>
                    <w:tr2bl w:val="nil"/>
                  </w:tcBorders>
                  <w:vAlign w:val="center"/>
                </w:tcPr>
                <w:p w14:paraId="0F8E57BD">
                  <w:pPr>
                    <w:pStyle w:val="37"/>
                    <w:bidi w:val="0"/>
                    <w:rPr>
                      <w:rFonts w:hint="default"/>
                      <w:color w:val="auto"/>
                      <w:lang w:val="en-US" w:eastAsia="zh-CN"/>
                    </w:rPr>
                  </w:pPr>
                  <w:r>
                    <w:rPr>
                      <w:rFonts w:hint="eastAsia"/>
                      <w:color w:val="auto"/>
                      <w:lang w:val="en-US" w:eastAsia="zh-CN"/>
                    </w:rPr>
                    <w:t>3</w:t>
                  </w:r>
                </w:p>
              </w:tc>
              <w:tc>
                <w:tcPr>
                  <w:tcW w:w="1836" w:type="pct"/>
                  <w:tcBorders>
                    <w:tl2br w:val="nil"/>
                    <w:tr2bl w:val="nil"/>
                  </w:tcBorders>
                  <w:vAlign w:val="center"/>
                </w:tcPr>
                <w:p w14:paraId="657FF220">
                  <w:pPr>
                    <w:pStyle w:val="37"/>
                    <w:bidi w:val="0"/>
                    <w:rPr>
                      <w:rFonts w:hint="eastAsia"/>
                      <w:color w:val="auto"/>
                      <w:lang w:val="en-US" w:eastAsia="zh-CN"/>
                    </w:rPr>
                  </w:pPr>
                  <w:r>
                    <w:rPr>
                      <w:rFonts w:hint="eastAsia"/>
                      <w:color w:val="auto"/>
                      <w:lang w:val="en-US" w:eastAsia="zh-CN"/>
                    </w:rPr>
                    <w:t>变电站南厂界外5m处</w:t>
                  </w:r>
                </w:p>
              </w:tc>
              <w:tc>
                <w:tcPr>
                  <w:tcW w:w="1099" w:type="pct"/>
                  <w:tcBorders>
                    <w:tl2br w:val="nil"/>
                    <w:tr2bl w:val="nil"/>
                  </w:tcBorders>
                  <w:vAlign w:val="center"/>
                </w:tcPr>
                <w:p w14:paraId="67EFBEA0">
                  <w:pPr>
                    <w:pStyle w:val="37"/>
                    <w:bidi w:val="0"/>
                    <w:rPr>
                      <w:rFonts w:hint="eastAsia"/>
                      <w:color w:val="auto"/>
                      <w:lang w:val="en-US" w:eastAsia="zh-CN"/>
                    </w:rPr>
                  </w:pPr>
                  <w:r>
                    <w:rPr>
                      <w:rFonts w:hint="eastAsia"/>
                      <w:color w:val="auto"/>
                      <w:lang w:val="en-US" w:eastAsia="zh-CN"/>
                    </w:rPr>
                    <w:t>2025.03.21</w:t>
                  </w:r>
                </w:p>
              </w:tc>
              <w:tc>
                <w:tcPr>
                  <w:tcW w:w="752" w:type="pct"/>
                  <w:tcBorders>
                    <w:tl2br w:val="nil"/>
                    <w:tr2bl w:val="nil"/>
                  </w:tcBorders>
                  <w:vAlign w:val="center"/>
                </w:tcPr>
                <w:p w14:paraId="022945B9">
                  <w:pPr>
                    <w:pStyle w:val="37"/>
                    <w:bidi w:val="0"/>
                    <w:rPr>
                      <w:rFonts w:hint="default"/>
                      <w:color w:val="auto"/>
                      <w:lang w:val="en-US" w:eastAsia="zh-CN"/>
                    </w:rPr>
                  </w:pPr>
                  <w:r>
                    <w:rPr>
                      <w:rFonts w:hint="eastAsia"/>
                      <w:color w:val="auto"/>
                      <w:lang w:val="en-US" w:eastAsia="zh-CN"/>
                    </w:rPr>
                    <w:t>35.46</w:t>
                  </w:r>
                </w:p>
              </w:tc>
              <w:tc>
                <w:tcPr>
                  <w:tcW w:w="837" w:type="pct"/>
                  <w:tcBorders>
                    <w:tl2br w:val="nil"/>
                    <w:tr2bl w:val="nil"/>
                  </w:tcBorders>
                  <w:vAlign w:val="center"/>
                </w:tcPr>
                <w:p w14:paraId="17ECF486">
                  <w:pPr>
                    <w:pStyle w:val="37"/>
                    <w:bidi w:val="0"/>
                    <w:rPr>
                      <w:rFonts w:hint="default"/>
                      <w:color w:val="auto"/>
                      <w:lang w:val="en-US" w:eastAsia="zh-CN"/>
                    </w:rPr>
                  </w:pPr>
                  <w:r>
                    <w:rPr>
                      <w:rFonts w:hint="eastAsia"/>
                      <w:color w:val="auto"/>
                      <w:lang w:val="en-US" w:eastAsia="zh-CN"/>
                    </w:rPr>
                    <w:t>0.3003</w:t>
                  </w:r>
                </w:p>
              </w:tc>
            </w:tr>
            <w:tr w14:paraId="015080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0" w:hRule="exact"/>
                <w:jc w:val="center"/>
              </w:trPr>
              <w:tc>
                <w:tcPr>
                  <w:tcW w:w="474" w:type="pct"/>
                  <w:tcBorders>
                    <w:tl2br w:val="nil"/>
                    <w:tr2bl w:val="nil"/>
                  </w:tcBorders>
                  <w:vAlign w:val="center"/>
                </w:tcPr>
                <w:p w14:paraId="6DF629A5">
                  <w:pPr>
                    <w:pStyle w:val="37"/>
                    <w:bidi w:val="0"/>
                    <w:rPr>
                      <w:rFonts w:hint="default"/>
                      <w:color w:val="auto"/>
                      <w:lang w:val="en-US" w:eastAsia="zh-CN"/>
                    </w:rPr>
                  </w:pPr>
                  <w:r>
                    <w:rPr>
                      <w:rFonts w:hint="eastAsia"/>
                      <w:color w:val="auto"/>
                      <w:lang w:val="en-US" w:eastAsia="zh-CN"/>
                    </w:rPr>
                    <w:t>4</w:t>
                  </w:r>
                </w:p>
              </w:tc>
              <w:tc>
                <w:tcPr>
                  <w:tcW w:w="1836" w:type="pct"/>
                  <w:tcBorders>
                    <w:tl2br w:val="nil"/>
                    <w:tr2bl w:val="nil"/>
                  </w:tcBorders>
                  <w:vAlign w:val="center"/>
                </w:tcPr>
                <w:p w14:paraId="3B860904">
                  <w:pPr>
                    <w:pStyle w:val="37"/>
                    <w:bidi w:val="0"/>
                    <w:rPr>
                      <w:rFonts w:hint="eastAsia"/>
                      <w:color w:val="auto"/>
                      <w:lang w:val="en-US" w:eastAsia="zh-CN"/>
                    </w:rPr>
                  </w:pPr>
                  <w:r>
                    <w:rPr>
                      <w:rFonts w:hint="eastAsia"/>
                      <w:color w:val="auto"/>
                      <w:lang w:val="en-US" w:eastAsia="zh-CN"/>
                    </w:rPr>
                    <w:t>变电站东厂界外5m处</w:t>
                  </w:r>
                </w:p>
              </w:tc>
              <w:tc>
                <w:tcPr>
                  <w:tcW w:w="1099" w:type="pct"/>
                  <w:tcBorders>
                    <w:tl2br w:val="nil"/>
                    <w:tr2bl w:val="nil"/>
                  </w:tcBorders>
                  <w:vAlign w:val="center"/>
                </w:tcPr>
                <w:p w14:paraId="6BB52884">
                  <w:pPr>
                    <w:pStyle w:val="37"/>
                    <w:bidi w:val="0"/>
                    <w:rPr>
                      <w:rFonts w:hint="eastAsia"/>
                      <w:color w:val="auto"/>
                      <w:lang w:val="en-US" w:eastAsia="zh-CN"/>
                    </w:rPr>
                  </w:pPr>
                  <w:r>
                    <w:rPr>
                      <w:rFonts w:hint="eastAsia"/>
                      <w:color w:val="auto"/>
                      <w:lang w:val="en-US" w:eastAsia="zh-CN"/>
                    </w:rPr>
                    <w:t>2025.03.21</w:t>
                  </w:r>
                </w:p>
              </w:tc>
              <w:tc>
                <w:tcPr>
                  <w:tcW w:w="752" w:type="pct"/>
                  <w:tcBorders>
                    <w:tl2br w:val="nil"/>
                    <w:tr2bl w:val="nil"/>
                  </w:tcBorders>
                  <w:vAlign w:val="center"/>
                </w:tcPr>
                <w:p w14:paraId="32368615">
                  <w:pPr>
                    <w:pStyle w:val="37"/>
                    <w:bidi w:val="0"/>
                    <w:rPr>
                      <w:rFonts w:hint="default"/>
                      <w:color w:val="auto"/>
                      <w:lang w:val="en-US" w:eastAsia="zh-CN"/>
                    </w:rPr>
                  </w:pPr>
                  <w:r>
                    <w:rPr>
                      <w:rFonts w:hint="eastAsia"/>
                      <w:color w:val="auto"/>
                      <w:lang w:val="en-US" w:eastAsia="zh-CN"/>
                    </w:rPr>
                    <w:t>1.894</w:t>
                  </w:r>
                </w:p>
              </w:tc>
              <w:tc>
                <w:tcPr>
                  <w:tcW w:w="837" w:type="pct"/>
                  <w:tcBorders>
                    <w:tl2br w:val="nil"/>
                    <w:tr2bl w:val="nil"/>
                  </w:tcBorders>
                  <w:vAlign w:val="center"/>
                </w:tcPr>
                <w:p w14:paraId="119BC7E3">
                  <w:pPr>
                    <w:pStyle w:val="37"/>
                    <w:bidi w:val="0"/>
                    <w:rPr>
                      <w:rFonts w:hint="default"/>
                      <w:color w:val="auto"/>
                      <w:lang w:val="en-US" w:eastAsia="zh-CN"/>
                    </w:rPr>
                  </w:pPr>
                  <w:r>
                    <w:rPr>
                      <w:rFonts w:hint="eastAsia"/>
                      <w:color w:val="auto"/>
                      <w:lang w:val="en-US" w:eastAsia="zh-CN"/>
                    </w:rPr>
                    <w:t>0.6331</w:t>
                  </w:r>
                </w:p>
              </w:tc>
            </w:tr>
          </w:tbl>
          <w:p w14:paraId="3F473C74">
            <w:pPr>
              <w:pStyle w:val="6"/>
              <w:bidi w:val="0"/>
              <w:rPr>
                <w:rFonts w:hint="eastAsia"/>
                <w:color w:val="auto"/>
                <w:lang w:val="en-US" w:eastAsia="zh-CN"/>
              </w:rPr>
            </w:pPr>
            <w:r>
              <w:rPr>
                <w:rFonts w:hint="eastAsia"/>
                <w:color w:val="auto"/>
                <w:lang w:val="en-US" w:eastAsia="zh-CN"/>
              </w:rPr>
              <w:t>升压站厂界四周电磁环境质量现状达标，其中西侧厂界距离现有主变压器最近，故其</w:t>
            </w:r>
            <w:r>
              <w:rPr>
                <w:rFonts w:hint="eastAsia"/>
                <w:color w:val="auto"/>
              </w:rPr>
              <w:t>工频电场强度</w:t>
            </w:r>
            <w:r>
              <w:rPr>
                <w:rFonts w:hint="eastAsia"/>
                <w:color w:val="auto"/>
                <w:lang w:val="en-US" w:eastAsia="zh-CN"/>
              </w:rPr>
              <w:t>和</w:t>
            </w:r>
            <w:r>
              <w:rPr>
                <w:rFonts w:hint="eastAsia"/>
                <w:color w:val="auto"/>
              </w:rPr>
              <w:t>工频磁感应强度</w:t>
            </w:r>
            <w:r>
              <w:rPr>
                <w:rFonts w:hint="eastAsia"/>
                <w:color w:val="auto"/>
                <w:lang w:val="en-US" w:eastAsia="zh-CN"/>
              </w:rPr>
              <w:t>最强。</w:t>
            </w:r>
          </w:p>
          <w:p w14:paraId="4B9BA864">
            <w:pPr>
              <w:bidi w:val="0"/>
              <w:ind w:left="0" w:leftChars="0" w:firstLine="0" w:firstLineChars="0"/>
              <w:rPr>
                <w:rFonts w:hint="eastAsia"/>
                <w:b/>
                <w:bCs/>
                <w:color w:val="auto"/>
                <w:lang w:val="en-US" w:eastAsia="zh-CN"/>
              </w:rPr>
            </w:pPr>
            <w:r>
              <w:rPr>
                <w:rFonts w:hint="eastAsia"/>
                <w:b/>
                <w:bCs/>
                <w:color w:val="auto"/>
                <w:lang w:val="en-US" w:eastAsia="zh-CN"/>
              </w:rPr>
              <w:t>5.环境敏感区</w:t>
            </w:r>
          </w:p>
          <w:p w14:paraId="062B1B1B">
            <w:pPr>
              <w:bidi w:val="0"/>
              <w:rPr>
                <w:rFonts w:hint="default"/>
                <w:color w:val="auto"/>
                <w:lang w:val="en-US" w:eastAsia="zh-CN"/>
              </w:rPr>
            </w:pPr>
            <w:r>
              <w:rPr>
                <w:rFonts w:hint="default"/>
                <w:color w:val="auto"/>
                <w:lang w:val="en-US" w:eastAsia="zh-CN"/>
              </w:rPr>
              <w:t>据调查，本项目不涉及自然保护区、风景名胜区等环境敏感区，经向</w:t>
            </w:r>
            <w:r>
              <w:rPr>
                <w:rFonts w:hint="eastAsia"/>
                <w:color w:val="auto"/>
                <w:lang w:val="en-US" w:eastAsia="zh-CN"/>
              </w:rPr>
              <w:t>曲靖市</w:t>
            </w:r>
            <w:r>
              <w:rPr>
                <w:rFonts w:hint="default"/>
                <w:color w:val="auto"/>
                <w:lang w:val="en-US" w:eastAsia="zh-CN"/>
              </w:rPr>
              <w:t>生态环境局</w:t>
            </w:r>
            <w:r>
              <w:rPr>
                <w:rFonts w:hint="eastAsia"/>
                <w:color w:val="auto"/>
                <w:lang w:val="en-US" w:eastAsia="zh-CN"/>
              </w:rPr>
              <w:t>宣威</w:t>
            </w:r>
            <w:r>
              <w:rPr>
                <w:rFonts w:hint="default"/>
                <w:color w:val="auto"/>
                <w:lang w:val="en-US" w:eastAsia="zh-CN"/>
              </w:rPr>
              <w:t>分局查询，本工程也不涉及饮用水水源保护区</w:t>
            </w:r>
            <w:r>
              <w:rPr>
                <w:rFonts w:hint="eastAsia"/>
                <w:color w:val="auto"/>
                <w:lang w:val="en-US" w:eastAsia="zh-CN"/>
              </w:rPr>
              <w:t>。</w:t>
            </w:r>
          </w:p>
          <w:p w14:paraId="635F688A">
            <w:pPr>
              <w:bidi w:val="0"/>
              <w:rPr>
                <w:rFonts w:hint="default"/>
                <w:color w:val="auto"/>
                <w:highlight w:val="none"/>
                <w:lang w:val="en-US" w:eastAsia="zh-CN"/>
              </w:rPr>
            </w:pPr>
            <w:r>
              <w:rPr>
                <w:rFonts w:hint="default"/>
                <w:color w:val="auto"/>
                <w:highlight w:val="none"/>
                <w:lang w:val="en-US" w:eastAsia="zh-CN"/>
              </w:rPr>
              <w:t>（1）生态保护红线</w:t>
            </w:r>
          </w:p>
          <w:p w14:paraId="208F4BA0">
            <w:pPr>
              <w:bidi w:val="0"/>
              <w:rPr>
                <w:rFonts w:hint="default"/>
                <w:color w:val="auto"/>
                <w:highlight w:val="none"/>
                <w:lang w:val="en-US" w:eastAsia="zh-CN"/>
              </w:rPr>
            </w:pPr>
            <w:r>
              <w:rPr>
                <w:rFonts w:hint="default"/>
                <w:color w:val="auto"/>
                <w:highlight w:val="none"/>
                <w:lang w:val="en-US" w:eastAsia="zh-CN"/>
              </w:rPr>
              <w:t>将工程总布置图与</w:t>
            </w:r>
            <w:r>
              <w:rPr>
                <w:rFonts w:hint="eastAsia"/>
                <w:color w:val="auto"/>
                <w:highlight w:val="none"/>
                <w:lang w:val="en-US" w:eastAsia="zh-CN"/>
              </w:rPr>
              <w:t>宣威</w:t>
            </w:r>
            <w:r>
              <w:rPr>
                <w:rFonts w:hint="default"/>
                <w:color w:val="auto"/>
                <w:highlight w:val="none"/>
                <w:lang w:val="en-US" w:eastAsia="zh-CN"/>
              </w:rPr>
              <w:t>市报部版生态保护红线叠图，本项目</w:t>
            </w:r>
            <w:r>
              <w:rPr>
                <w:rFonts w:hint="eastAsia"/>
                <w:color w:val="auto"/>
                <w:highlight w:val="none"/>
                <w:lang w:val="en-US" w:eastAsia="zh-CN"/>
              </w:rPr>
              <w:t>占地范围内</w:t>
            </w:r>
            <w:r>
              <w:rPr>
                <w:rFonts w:hint="default"/>
                <w:color w:val="auto"/>
                <w:highlight w:val="none"/>
                <w:lang w:val="en-US" w:eastAsia="zh-CN"/>
              </w:rPr>
              <w:t>不涉及</w:t>
            </w:r>
            <w:r>
              <w:rPr>
                <w:rFonts w:hint="eastAsia"/>
                <w:color w:val="auto"/>
                <w:highlight w:val="none"/>
                <w:lang w:val="en-US" w:eastAsia="zh-CN"/>
              </w:rPr>
              <w:t>宣威</w:t>
            </w:r>
            <w:r>
              <w:rPr>
                <w:rFonts w:hint="default"/>
                <w:color w:val="auto"/>
                <w:highlight w:val="none"/>
                <w:lang w:val="en-US" w:eastAsia="zh-CN"/>
              </w:rPr>
              <w:t>市报部版生态保护红线</w:t>
            </w:r>
            <w:r>
              <w:rPr>
                <w:rFonts w:hint="eastAsia"/>
                <w:color w:val="auto"/>
                <w:highlight w:val="none"/>
                <w:lang w:val="en-US" w:eastAsia="zh-CN"/>
              </w:rPr>
              <w:t>，评价范围内涉及生态保护红线，项目与生态保护红线位置关系详见生态专项报告</w:t>
            </w:r>
            <w:r>
              <w:rPr>
                <w:rFonts w:hint="default"/>
                <w:color w:val="auto"/>
                <w:highlight w:val="none"/>
                <w:lang w:val="en-US" w:eastAsia="zh-CN"/>
              </w:rPr>
              <w:t>。</w:t>
            </w:r>
          </w:p>
          <w:p w14:paraId="674CCF1A">
            <w:pPr>
              <w:bidi w:val="0"/>
              <w:rPr>
                <w:rFonts w:hint="default"/>
                <w:color w:val="auto"/>
                <w:highlight w:val="none"/>
                <w:lang w:val="en-US" w:eastAsia="zh-CN"/>
              </w:rPr>
            </w:pPr>
            <w:r>
              <w:rPr>
                <w:rFonts w:hint="default"/>
                <w:color w:val="auto"/>
                <w:highlight w:val="none"/>
                <w:lang w:val="en-US" w:eastAsia="zh-CN"/>
              </w:rPr>
              <w:t>（2）</w:t>
            </w:r>
            <w:r>
              <w:rPr>
                <w:rFonts w:hint="eastAsia"/>
                <w:color w:val="auto"/>
                <w:highlight w:val="none"/>
                <w:lang w:val="en-US" w:eastAsia="zh-CN"/>
              </w:rPr>
              <w:t>天然林和</w:t>
            </w:r>
            <w:r>
              <w:rPr>
                <w:rFonts w:hint="default"/>
                <w:color w:val="auto"/>
                <w:highlight w:val="none"/>
                <w:lang w:val="en-US" w:eastAsia="zh-CN"/>
              </w:rPr>
              <w:t>公益林</w:t>
            </w:r>
          </w:p>
          <w:p w14:paraId="79C77E04">
            <w:pPr>
              <w:bidi w:val="0"/>
              <w:rPr>
                <w:rFonts w:hint="default"/>
                <w:color w:val="auto"/>
                <w:highlight w:val="none"/>
                <w:lang w:val="en-US" w:eastAsia="zh-CN"/>
              </w:rPr>
            </w:pPr>
            <w:r>
              <w:rPr>
                <w:rFonts w:hint="default"/>
                <w:color w:val="auto"/>
                <w:highlight w:val="none"/>
                <w:lang w:val="en-US" w:eastAsia="zh-CN"/>
              </w:rPr>
              <w:t>现阶段已向</w:t>
            </w:r>
            <w:r>
              <w:rPr>
                <w:rFonts w:hint="eastAsia"/>
                <w:color w:val="auto"/>
                <w:highlight w:val="none"/>
                <w:lang w:val="en-US" w:eastAsia="zh-CN"/>
              </w:rPr>
              <w:t>宣威</w:t>
            </w:r>
            <w:r>
              <w:rPr>
                <w:rFonts w:hint="default"/>
                <w:color w:val="auto"/>
                <w:highlight w:val="none"/>
                <w:lang w:val="en-US" w:eastAsia="zh-CN"/>
              </w:rPr>
              <w:t>市林业和草原局进行查询，本项目</w:t>
            </w:r>
            <w:r>
              <w:rPr>
                <w:rFonts w:hint="eastAsia"/>
                <w:color w:val="auto"/>
                <w:highlight w:val="none"/>
                <w:lang w:val="en-US" w:eastAsia="zh-CN"/>
              </w:rPr>
              <w:t>占地范围内</w:t>
            </w:r>
            <w:r>
              <w:rPr>
                <w:rFonts w:hint="default"/>
                <w:color w:val="auto"/>
                <w:highlight w:val="none"/>
                <w:lang w:val="en-US" w:eastAsia="zh-CN"/>
              </w:rPr>
              <w:t>不涉及</w:t>
            </w:r>
            <w:r>
              <w:rPr>
                <w:rFonts w:hint="eastAsia"/>
                <w:color w:val="auto"/>
                <w:highlight w:val="none"/>
                <w:lang w:val="en-US" w:eastAsia="zh-CN"/>
              </w:rPr>
              <w:t>天然林和国家公益林，XZB16号风机占用省级公益林0.0338hm</w:t>
            </w:r>
            <w:r>
              <w:rPr>
                <w:rFonts w:hint="eastAsia"/>
                <w:color w:val="auto"/>
                <w:highlight w:val="none"/>
                <w:vertAlign w:val="superscript"/>
                <w:lang w:val="en-US" w:eastAsia="zh-CN"/>
              </w:rPr>
              <w:t>2</w:t>
            </w:r>
            <w:r>
              <w:rPr>
                <w:rFonts w:hint="eastAsia"/>
                <w:color w:val="auto"/>
                <w:highlight w:val="none"/>
                <w:lang w:val="en-US" w:eastAsia="zh-CN"/>
              </w:rPr>
              <w:t>，占用植被类型为云南松林。占用关系见附图18-2</w:t>
            </w:r>
            <w:r>
              <w:rPr>
                <w:rFonts w:hint="default"/>
                <w:color w:val="auto"/>
                <w:highlight w:val="none"/>
                <w:lang w:val="en-US" w:eastAsia="zh-CN"/>
              </w:rPr>
              <w:t>。</w:t>
            </w:r>
          </w:p>
          <w:p w14:paraId="2A590A04">
            <w:pPr>
              <w:bidi w:val="0"/>
              <w:rPr>
                <w:rFonts w:hint="default"/>
                <w:color w:val="auto"/>
                <w:highlight w:val="none"/>
                <w:lang w:val="en-US" w:eastAsia="zh-CN"/>
              </w:rPr>
            </w:pPr>
            <w:r>
              <w:rPr>
                <w:rFonts w:hint="default"/>
                <w:color w:val="auto"/>
                <w:highlight w:val="none"/>
                <w:lang w:val="en-US" w:eastAsia="zh-CN"/>
              </w:rPr>
              <w:t>（3）基本农田</w:t>
            </w:r>
          </w:p>
          <w:p w14:paraId="55C6D49A">
            <w:pPr>
              <w:bidi w:val="0"/>
              <w:rPr>
                <w:rFonts w:hint="default"/>
                <w:color w:val="auto"/>
                <w:highlight w:val="none"/>
                <w:lang w:val="en-US" w:eastAsia="zh-CN"/>
              </w:rPr>
            </w:pPr>
            <w:r>
              <w:rPr>
                <w:rFonts w:hint="default"/>
                <w:color w:val="auto"/>
                <w:highlight w:val="none"/>
                <w:lang w:val="en-US" w:eastAsia="zh-CN"/>
              </w:rPr>
              <w:t>根据与</w:t>
            </w:r>
            <w:r>
              <w:rPr>
                <w:rFonts w:hint="eastAsia"/>
                <w:color w:val="auto"/>
                <w:highlight w:val="none"/>
                <w:lang w:val="en-US" w:eastAsia="zh-CN"/>
              </w:rPr>
              <w:t>宣威</w:t>
            </w:r>
            <w:r>
              <w:rPr>
                <w:rFonts w:hint="default"/>
                <w:color w:val="auto"/>
                <w:highlight w:val="none"/>
                <w:lang w:val="en-US" w:eastAsia="zh-CN"/>
              </w:rPr>
              <w:t>市基本农田叠图查询，项目不占用永久基本农田。</w:t>
            </w:r>
          </w:p>
          <w:p w14:paraId="3B151DD7">
            <w:pPr>
              <w:bidi w:val="0"/>
              <w:rPr>
                <w:rFonts w:hint="default"/>
                <w:color w:val="auto"/>
                <w:highlight w:val="none"/>
                <w:lang w:val="en-US" w:eastAsia="zh-CN"/>
              </w:rPr>
            </w:pPr>
            <w:r>
              <w:rPr>
                <w:rFonts w:hint="default"/>
                <w:color w:val="auto"/>
                <w:highlight w:val="none"/>
                <w:lang w:val="en-US" w:eastAsia="zh-CN"/>
              </w:rPr>
              <w:t>（4）饮用水水源保护区</w:t>
            </w:r>
          </w:p>
          <w:p w14:paraId="66B41F8F">
            <w:pPr>
              <w:bidi w:val="0"/>
              <w:rPr>
                <w:rFonts w:hint="default"/>
                <w:color w:val="auto"/>
                <w:lang w:val="en-US" w:eastAsia="zh-CN"/>
              </w:rPr>
            </w:pPr>
            <w:r>
              <w:rPr>
                <w:rFonts w:hint="default"/>
                <w:color w:val="auto"/>
                <w:highlight w:val="none"/>
                <w:lang w:val="en-US" w:eastAsia="zh-CN"/>
              </w:rPr>
              <w:t>经向曲靖市生态环境局宣威分局查询，本项目不涉及乡镇级集中式饮用水源地。经向乡与村委会核实，项目区范围内无其他级别的集中式饮用水源地。</w:t>
            </w:r>
          </w:p>
        </w:tc>
      </w:tr>
      <w:tr w14:paraId="10554D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48" w:type="dxa"/>
            <w:noWrap w:val="0"/>
            <w:vAlign w:val="center"/>
          </w:tcPr>
          <w:p w14:paraId="76107647">
            <w:pPr>
              <w:pStyle w:val="18"/>
              <w:bidi w:val="0"/>
              <w:rPr>
                <w:color w:val="auto"/>
              </w:rPr>
            </w:pPr>
            <w:r>
              <w:rPr>
                <w:rFonts w:hint="eastAsia"/>
                <w:color w:val="auto"/>
              </w:rPr>
              <w:t>与项目有关的原有环境污染和生态破坏问题</w:t>
            </w:r>
          </w:p>
        </w:tc>
        <w:tc>
          <w:tcPr>
            <w:tcW w:w="7780" w:type="dxa"/>
            <w:noWrap w:val="0"/>
            <w:vAlign w:val="center"/>
          </w:tcPr>
          <w:p w14:paraId="06F74D6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color w:val="auto"/>
                <w:kern w:val="0"/>
                <w:sz w:val="24"/>
                <w:highlight w:val="none"/>
                <w:lang w:val="en-US" w:eastAsia="zh-CN"/>
              </w:rPr>
            </w:pPr>
            <w:r>
              <w:rPr>
                <w:rFonts w:hint="eastAsia" w:cs="宋体"/>
                <w:color w:val="auto"/>
                <w:kern w:val="0"/>
                <w:sz w:val="24"/>
                <w:highlight w:val="none"/>
                <w:lang w:val="en-US" w:eastAsia="zh-CN"/>
              </w:rPr>
              <w:t>本项目为西泽风电场二期项目，西泽风电场一期已建成33台风机，并配套建设了1座升压站和集电线路，本项目</w:t>
            </w:r>
            <w:r>
              <w:rPr>
                <w:rFonts w:hint="eastAsia" w:ascii="Times New Roman" w:hAnsi="Times New Roman" w:eastAsia="宋体" w:cs="宋体"/>
                <w:color w:val="auto"/>
                <w:kern w:val="0"/>
                <w:sz w:val="24"/>
                <w:highlight w:val="none"/>
              </w:rPr>
              <w:t>依托</w:t>
            </w:r>
            <w:r>
              <w:rPr>
                <w:rFonts w:hint="eastAsia" w:cs="宋体"/>
                <w:color w:val="auto"/>
                <w:kern w:val="0"/>
                <w:sz w:val="24"/>
                <w:highlight w:val="none"/>
                <w:lang w:val="en-US" w:eastAsia="zh-CN"/>
              </w:rPr>
              <w:t>西泽风电场一期的</w:t>
            </w:r>
            <w:r>
              <w:rPr>
                <w:rFonts w:hint="eastAsia" w:ascii="Times New Roman" w:hAnsi="Times New Roman" w:eastAsia="宋体" w:cs="宋体"/>
                <w:color w:val="auto"/>
                <w:kern w:val="0"/>
                <w:sz w:val="24"/>
                <w:highlight w:val="none"/>
              </w:rPr>
              <w:t>升压站</w:t>
            </w:r>
            <w:r>
              <w:rPr>
                <w:rFonts w:hint="eastAsia" w:cs="宋体"/>
                <w:color w:val="auto"/>
                <w:kern w:val="0"/>
                <w:sz w:val="24"/>
                <w:highlight w:val="none"/>
                <w:lang w:val="en-US" w:eastAsia="zh-CN"/>
              </w:rPr>
              <w:t>和B区集电线路的杆塔</w:t>
            </w:r>
            <w:r>
              <w:rPr>
                <w:rFonts w:hint="eastAsia" w:ascii="Times New Roman" w:hAnsi="Times New Roman" w:eastAsia="宋体" w:cs="宋体"/>
                <w:color w:val="auto"/>
                <w:kern w:val="0"/>
                <w:sz w:val="24"/>
                <w:highlight w:val="none"/>
              </w:rPr>
              <w:t>，在其预留空地新建一台</w:t>
            </w:r>
            <w:r>
              <w:rPr>
                <w:rFonts w:hint="eastAsia" w:cs="宋体"/>
                <w:color w:val="auto"/>
                <w:kern w:val="0"/>
                <w:sz w:val="24"/>
                <w:highlight w:val="none"/>
                <w:lang w:val="en-US" w:eastAsia="zh-CN"/>
              </w:rPr>
              <w:t>30</w:t>
            </w:r>
            <w:r>
              <w:rPr>
                <w:rFonts w:hint="eastAsia" w:ascii="Times New Roman" w:hAnsi="Times New Roman" w:eastAsia="宋体" w:cs="宋体"/>
                <w:color w:val="auto"/>
                <w:kern w:val="0"/>
                <w:sz w:val="24"/>
                <w:highlight w:val="none"/>
              </w:rPr>
              <w:t>MVA主变压器，并配套建设集电线路进线间隔、主变进线间隔、母线PT间隔、动态无功补偿间隔、动态无功补偿装置、接地变间隔、站用变间隔等。</w:t>
            </w:r>
            <w:r>
              <w:rPr>
                <w:rFonts w:hint="eastAsia" w:cs="宋体"/>
                <w:color w:val="auto"/>
                <w:kern w:val="0"/>
                <w:sz w:val="24"/>
                <w:highlight w:val="none"/>
                <w:lang w:val="en-US" w:eastAsia="zh-CN"/>
              </w:rPr>
              <w:t>更换西泽风电场一期B片区的35kV集电线路的电缆。</w:t>
            </w:r>
          </w:p>
          <w:p w14:paraId="7C5CCF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color w:val="auto"/>
                <w:kern w:val="0"/>
                <w:sz w:val="24"/>
                <w:highlight w:val="none"/>
              </w:rPr>
            </w:pPr>
            <w:r>
              <w:rPr>
                <w:rFonts w:hint="eastAsia" w:ascii="Times New Roman" w:hAnsi="Times New Roman" w:eastAsia="宋体" w:cs="宋体"/>
                <w:color w:val="auto"/>
                <w:kern w:val="0"/>
                <w:sz w:val="24"/>
                <w:highlight w:val="none"/>
              </w:rPr>
              <w:t>（1）升压站</w:t>
            </w:r>
            <w:r>
              <w:rPr>
                <w:rFonts w:hint="eastAsia" w:cs="宋体"/>
                <w:color w:val="auto"/>
                <w:kern w:val="0"/>
                <w:sz w:val="24"/>
                <w:highlight w:val="none"/>
                <w:lang w:val="en-US" w:eastAsia="zh-CN"/>
              </w:rPr>
              <w:t>和集电线路</w:t>
            </w:r>
            <w:r>
              <w:rPr>
                <w:rFonts w:hint="eastAsia" w:ascii="Times New Roman" w:hAnsi="Times New Roman" w:eastAsia="宋体" w:cs="宋体"/>
                <w:color w:val="auto"/>
                <w:kern w:val="0"/>
                <w:sz w:val="24"/>
                <w:highlight w:val="none"/>
              </w:rPr>
              <w:t>环保手续情况</w:t>
            </w:r>
          </w:p>
          <w:p w14:paraId="618D3F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color w:val="auto"/>
                <w:kern w:val="0"/>
                <w:sz w:val="24"/>
                <w:highlight w:val="none"/>
                <w:lang w:val="en-US" w:eastAsia="zh-CN"/>
              </w:rPr>
            </w:pPr>
            <w:r>
              <w:rPr>
                <w:rFonts w:hint="eastAsia" w:cs="宋体"/>
                <w:color w:val="auto"/>
                <w:kern w:val="0"/>
                <w:sz w:val="24"/>
                <w:highlight w:val="none"/>
                <w:lang w:val="en-US" w:eastAsia="zh-CN"/>
              </w:rPr>
              <w:t>西泽风电场</w:t>
            </w:r>
            <w:r>
              <w:rPr>
                <w:rFonts w:hint="eastAsia" w:ascii="Times New Roman" w:hAnsi="Times New Roman" w:eastAsia="宋体" w:cs="宋体"/>
                <w:color w:val="auto"/>
                <w:kern w:val="0"/>
                <w:sz w:val="24"/>
                <w:highlight w:val="none"/>
              </w:rPr>
              <w:t>升压站属于《</w:t>
            </w:r>
            <w:r>
              <w:rPr>
                <w:rFonts w:hint="eastAsia" w:cs="宋体"/>
                <w:color w:val="auto"/>
                <w:kern w:val="0"/>
                <w:sz w:val="24"/>
                <w:highlight w:val="none"/>
                <w:lang w:val="en-US" w:eastAsia="zh-CN"/>
              </w:rPr>
              <w:t>西泽风电场</w:t>
            </w:r>
            <w:r>
              <w:rPr>
                <w:rFonts w:hint="eastAsia" w:ascii="Times New Roman" w:hAnsi="Times New Roman" w:eastAsia="宋体" w:cs="宋体"/>
                <w:color w:val="auto"/>
                <w:kern w:val="0"/>
                <w:sz w:val="24"/>
                <w:highlight w:val="none"/>
              </w:rPr>
              <w:t>环境影响报告表》中建设内容，《</w:t>
            </w:r>
            <w:r>
              <w:rPr>
                <w:rFonts w:hint="eastAsia" w:cs="宋体"/>
                <w:color w:val="auto"/>
                <w:kern w:val="0"/>
                <w:sz w:val="24"/>
                <w:highlight w:val="none"/>
                <w:lang w:val="en-US" w:eastAsia="zh-CN"/>
              </w:rPr>
              <w:t>西泽风电场</w:t>
            </w:r>
            <w:r>
              <w:rPr>
                <w:rFonts w:hint="eastAsia" w:ascii="Times New Roman" w:hAnsi="Times New Roman" w:eastAsia="宋体" w:cs="宋体"/>
                <w:color w:val="auto"/>
                <w:kern w:val="0"/>
                <w:sz w:val="24"/>
                <w:highlight w:val="none"/>
              </w:rPr>
              <w:t>环境影响报告表》经评审通过后，于202</w:t>
            </w:r>
            <w:r>
              <w:rPr>
                <w:rFonts w:hint="eastAsia" w:ascii="Times New Roman" w:hAnsi="Times New Roman" w:eastAsia="宋体" w:cs="宋体"/>
                <w:color w:val="auto"/>
                <w:kern w:val="0"/>
                <w:sz w:val="24"/>
                <w:highlight w:val="none"/>
                <w:lang w:val="en-US" w:eastAsia="zh-CN"/>
              </w:rPr>
              <w:t>2</w:t>
            </w:r>
            <w:r>
              <w:rPr>
                <w:rFonts w:hint="eastAsia" w:ascii="Times New Roman" w:hAnsi="Times New Roman" w:eastAsia="宋体" w:cs="宋体"/>
                <w:color w:val="auto"/>
                <w:kern w:val="0"/>
                <w:sz w:val="24"/>
                <w:highlight w:val="none"/>
              </w:rPr>
              <w:t>年</w:t>
            </w:r>
            <w:r>
              <w:rPr>
                <w:rFonts w:hint="eastAsia" w:ascii="Times New Roman" w:hAnsi="Times New Roman" w:eastAsia="宋体" w:cs="宋体"/>
                <w:color w:val="auto"/>
                <w:kern w:val="0"/>
                <w:sz w:val="24"/>
                <w:highlight w:val="none"/>
                <w:lang w:val="en-US" w:eastAsia="zh-CN"/>
              </w:rPr>
              <w:t>11</w:t>
            </w:r>
            <w:r>
              <w:rPr>
                <w:rFonts w:hint="eastAsia" w:ascii="Times New Roman" w:hAnsi="Times New Roman" w:eastAsia="宋体" w:cs="宋体"/>
                <w:color w:val="auto"/>
                <w:kern w:val="0"/>
                <w:sz w:val="24"/>
                <w:highlight w:val="none"/>
              </w:rPr>
              <w:t>月</w:t>
            </w:r>
            <w:r>
              <w:rPr>
                <w:rFonts w:hint="eastAsia" w:ascii="Times New Roman" w:hAnsi="Times New Roman" w:eastAsia="宋体" w:cs="宋体"/>
                <w:color w:val="auto"/>
                <w:kern w:val="0"/>
                <w:sz w:val="24"/>
                <w:highlight w:val="none"/>
                <w:lang w:val="en-US" w:eastAsia="zh-CN"/>
              </w:rPr>
              <w:t>15</w:t>
            </w:r>
            <w:r>
              <w:rPr>
                <w:rFonts w:hint="eastAsia" w:ascii="Times New Roman" w:hAnsi="Times New Roman" w:eastAsia="宋体" w:cs="宋体"/>
                <w:color w:val="auto"/>
                <w:kern w:val="0"/>
                <w:sz w:val="24"/>
                <w:highlight w:val="none"/>
              </w:rPr>
              <w:t>日取得《曲靖市生态环境局关于</w:t>
            </w:r>
            <w:r>
              <w:rPr>
                <w:rFonts w:hint="eastAsia" w:cs="宋体"/>
                <w:color w:val="auto"/>
                <w:kern w:val="0"/>
                <w:sz w:val="24"/>
                <w:highlight w:val="none"/>
                <w:lang w:val="en-US" w:eastAsia="zh-CN"/>
              </w:rPr>
              <w:t>西泽风电场</w:t>
            </w:r>
            <w:r>
              <w:rPr>
                <w:rFonts w:hint="eastAsia" w:ascii="Times New Roman" w:hAnsi="Times New Roman" w:eastAsia="宋体" w:cs="宋体"/>
                <w:color w:val="auto"/>
                <w:kern w:val="0"/>
                <w:sz w:val="24"/>
                <w:highlight w:val="none"/>
              </w:rPr>
              <w:t>环境影响报告表的批复》（曲环审〔202</w:t>
            </w:r>
            <w:r>
              <w:rPr>
                <w:rFonts w:hint="eastAsia" w:ascii="Times New Roman" w:hAnsi="Times New Roman" w:eastAsia="宋体" w:cs="宋体"/>
                <w:color w:val="auto"/>
                <w:kern w:val="0"/>
                <w:sz w:val="24"/>
                <w:highlight w:val="none"/>
                <w:lang w:val="en-US" w:eastAsia="zh-CN"/>
              </w:rPr>
              <w:t>2</w:t>
            </w:r>
            <w:r>
              <w:rPr>
                <w:rFonts w:hint="eastAsia" w:ascii="Times New Roman" w:hAnsi="Times New Roman" w:eastAsia="宋体" w:cs="宋体"/>
                <w:color w:val="auto"/>
                <w:kern w:val="0"/>
                <w:sz w:val="24"/>
                <w:highlight w:val="none"/>
              </w:rPr>
              <w:t>〕</w:t>
            </w:r>
            <w:r>
              <w:rPr>
                <w:rFonts w:hint="eastAsia" w:ascii="Times New Roman" w:hAnsi="Times New Roman" w:eastAsia="宋体" w:cs="宋体"/>
                <w:color w:val="auto"/>
                <w:kern w:val="0"/>
                <w:sz w:val="24"/>
                <w:highlight w:val="none"/>
                <w:lang w:val="en-US" w:eastAsia="zh-CN"/>
              </w:rPr>
              <w:t>63</w:t>
            </w:r>
            <w:r>
              <w:rPr>
                <w:rFonts w:hint="eastAsia" w:ascii="Times New Roman" w:hAnsi="Times New Roman" w:eastAsia="宋体" w:cs="宋体"/>
                <w:color w:val="auto"/>
                <w:kern w:val="0"/>
                <w:sz w:val="24"/>
                <w:highlight w:val="none"/>
              </w:rPr>
              <w:t>号），该升压站于202</w:t>
            </w:r>
            <w:r>
              <w:rPr>
                <w:rFonts w:hint="eastAsia" w:cs="宋体"/>
                <w:color w:val="auto"/>
                <w:kern w:val="0"/>
                <w:sz w:val="24"/>
                <w:highlight w:val="none"/>
                <w:lang w:val="en-US" w:eastAsia="zh-CN"/>
              </w:rPr>
              <w:t>4年7月30日竣工，</w:t>
            </w:r>
            <w:r>
              <w:rPr>
                <w:rFonts w:hint="eastAsia" w:ascii="Times New Roman" w:hAnsi="Times New Roman" w:eastAsia="宋体" w:cs="宋体"/>
                <w:color w:val="auto"/>
                <w:kern w:val="0"/>
                <w:sz w:val="24"/>
                <w:highlight w:val="none"/>
                <w:lang w:val="en-US" w:eastAsia="zh-CN"/>
              </w:rPr>
              <w:t>2025年3月完成验收。</w:t>
            </w:r>
          </w:p>
          <w:p w14:paraId="5672121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color w:val="auto"/>
                <w:kern w:val="0"/>
                <w:sz w:val="24"/>
                <w:highlight w:val="none"/>
                <w:lang w:val="en-US" w:eastAsia="zh-CN"/>
              </w:rPr>
            </w:pPr>
            <w:r>
              <w:rPr>
                <w:rFonts w:hint="default" w:ascii="Times New Roman" w:hAnsi="Times New Roman" w:eastAsia="宋体" w:cs="宋体"/>
                <w:color w:val="auto"/>
                <w:kern w:val="0"/>
                <w:sz w:val="24"/>
                <w:highlight w:val="none"/>
                <w:lang w:val="en-US" w:eastAsia="zh-CN"/>
              </w:rPr>
              <w:t>（2）升压站环保设施建设情况</w:t>
            </w:r>
          </w:p>
          <w:p w14:paraId="2124A2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color w:val="auto"/>
                <w:kern w:val="0"/>
                <w:sz w:val="24"/>
                <w:highlight w:val="none"/>
                <w:lang w:val="en-US" w:eastAsia="zh-CN"/>
              </w:rPr>
            </w:pPr>
            <w:r>
              <w:rPr>
                <w:rFonts w:hint="default" w:ascii="Times New Roman" w:hAnsi="Times New Roman" w:eastAsia="宋体" w:cs="宋体"/>
                <w:color w:val="auto"/>
                <w:kern w:val="0"/>
                <w:sz w:val="24"/>
                <w:highlight w:val="none"/>
                <w:lang w:val="en-US" w:eastAsia="zh-CN"/>
              </w:rPr>
              <w:t>根据现场踏勘调查，升压站内环保设施与主体工程同时设计、同时施工、同时投产使用，环保设施运行正常。</w:t>
            </w:r>
          </w:p>
          <w:p w14:paraId="58FB97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color w:val="auto"/>
                <w:kern w:val="0"/>
                <w:sz w:val="24"/>
                <w:highlight w:val="none"/>
                <w:lang w:val="en-US" w:eastAsia="zh-CN"/>
              </w:rPr>
            </w:pPr>
            <w:r>
              <w:rPr>
                <w:rFonts w:hint="default" w:ascii="Times New Roman" w:hAnsi="Times New Roman" w:eastAsia="宋体" w:cs="宋体"/>
                <w:color w:val="auto"/>
                <w:kern w:val="0"/>
                <w:sz w:val="24"/>
                <w:highlight w:val="none"/>
                <w:lang w:val="en-US" w:eastAsia="zh-CN"/>
              </w:rPr>
              <w:t>运营期升压站食堂设置了排烟管道，油烟废气经油烟净化一体灶处理后通过排烟管道高于楼顶1.5m排放。</w:t>
            </w:r>
          </w:p>
          <w:p w14:paraId="0BA510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color w:val="auto"/>
                <w:kern w:val="0"/>
                <w:sz w:val="24"/>
                <w:highlight w:val="none"/>
                <w:lang w:val="en-US" w:eastAsia="zh-CN"/>
              </w:rPr>
            </w:pPr>
            <w:r>
              <w:rPr>
                <w:rFonts w:hint="default" w:ascii="Times New Roman" w:hAnsi="Times New Roman" w:eastAsia="宋体" w:cs="宋体"/>
                <w:color w:val="auto"/>
                <w:kern w:val="0"/>
                <w:sz w:val="24"/>
                <w:highlight w:val="none"/>
                <w:lang w:val="en-US" w:eastAsia="zh-CN"/>
              </w:rPr>
              <w:t>升压站食堂废水经隔油池（0.2m³）预处理后与其他生活污水一同进入化粪池（4m³），经化粪池处理后排入一体化污水处理设备处理</w:t>
            </w:r>
            <w:r>
              <w:rPr>
                <w:rFonts w:hint="eastAsia" w:ascii="Times New Roman" w:hAnsi="Times New Roman" w:eastAsia="宋体" w:cs="宋体"/>
                <w:color w:val="auto"/>
                <w:kern w:val="0"/>
                <w:sz w:val="24"/>
                <w:highlight w:val="none"/>
                <w:lang w:val="en-US" w:eastAsia="zh-CN"/>
              </w:rPr>
              <w:t>达到</w:t>
            </w:r>
            <w:r>
              <w:rPr>
                <w:rFonts w:hint="default" w:ascii="Times New Roman" w:hAnsi="Times New Roman" w:eastAsia="宋体" w:cs="宋体"/>
                <w:color w:val="auto"/>
                <w:kern w:val="0"/>
                <w:sz w:val="24"/>
                <w:highlight w:val="none"/>
                <w:lang w:val="en-US" w:eastAsia="zh-CN"/>
              </w:rPr>
              <w:t>《城市污水再生利用城市杂用水水质》（GB/T18920-2020）中城市绿化用水标准后回用于项目绿化浇洒，不外排。根据废水监测结果，废水各污染物排放浓度满足《城市污水再生利用城市杂用水水质》（GB/T18920-2020）中城市绿化用水标准要求。</w:t>
            </w:r>
          </w:p>
          <w:p w14:paraId="0110A4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color w:val="auto"/>
                <w:kern w:val="0"/>
                <w:sz w:val="24"/>
                <w:highlight w:val="none"/>
                <w:lang w:val="en-US" w:eastAsia="zh-CN"/>
              </w:rPr>
            </w:pPr>
            <w:r>
              <w:rPr>
                <w:rFonts w:hint="default" w:ascii="Times New Roman" w:hAnsi="Times New Roman" w:eastAsia="宋体" w:cs="宋体"/>
                <w:color w:val="auto"/>
                <w:kern w:val="0"/>
                <w:sz w:val="24"/>
                <w:highlight w:val="none"/>
                <w:lang w:val="en-US" w:eastAsia="zh-CN"/>
              </w:rPr>
              <w:t>根据</w:t>
            </w:r>
            <w:r>
              <w:rPr>
                <w:rFonts w:hint="eastAsia" w:ascii="Times New Roman" w:hAnsi="Times New Roman" w:eastAsia="宋体" w:cs="宋体"/>
                <w:color w:val="auto"/>
                <w:kern w:val="0"/>
                <w:sz w:val="24"/>
                <w:highlight w:val="none"/>
                <w:lang w:val="en-US" w:eastAsia="zh-CN"/>
              </w:rPr>
              <w:t>验收时</w:t>
            </w:r>
            <w:r>
              <w:rPr>
                <w:rFonts w:hint="default" w:ascii="Times New Roman" w:hAnsi="Times New Roman" w:eastAsia="宋体" w:cs="宋体"/>
                <w:color w:val="auto"/>
                <w:kern w:val="0"/>
                <w:sz w:val="24"/>
                <w:highlight w:val="none"/>
                <w:lang w:val="en-US" w:eastAsia="zh-CN"/>
              </w:rPr>
              <w:t>噪声监测结果可知，升压站厂界昼间噪声值在50~53dB（A）之间，夜间噪声值在41~44dB（A）之间，厂界噪声满足《工业企业厂界环境噪声排放标准》（GB12348-2008）1类标准。</w:t>
            </w:r>
          </w:p>
          <w:p w14:paraId="2C610BC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color w:val="auto"/>
                <w:kern w:val="0"/>
                <w:sz w:val="24"/>
                <w:highlight w:val="none"/>
                <w:lang w:val="en-US" w:eastAsia="zh-CN"/>
              </w:rPr>
            </w:pPr>
            <w:r>
              <w:rPr>
                <w:rFonts w:hint="default" w:ascii="Times New Roman" w:hAnsi="Times New Roman" w:eastAsia="宋体" w:cs="宋体"/>
                <w:color w:val="auto"/>
                <w:kern w:val="0"/>
                <w:sz w:val="24"/>
                <w:highlight w:val="none"/>
                <w:lang w:val="en-US" w:eastAsia="zh-CN"/>
              </w:rPr>
              <w:t>运营期升压站生活垃圾暂存于生活垃圾收集桶，定期清运至就近生活垃圾收集点由环卫部门统一处理。升压站内设置了1间面积10</w:t>
            </w:r>
            <w:r>
              <w:rPr>
                <w:rFonts w:hint="eastAsia" w:ascii="Times New Roman" w:hAnsi="Times New Roman" w:eastAsia="宋体" w:cs="宋体"/>
                <w:color w:val="auto"/>
                <w:kern w:val="0"/>
                <w:sz w:val="24"/>
                <w:highlight w:val="none"/>
                <w:lang w:val="en-US" w:eastAsia="zh-CN"/>
              </w:rPr>
              <w:t>m</w:t>
            </w:r>
            <w:r>
              <w:rPr>
                <w:rFonts w:hint="eastAsia" w:ascii="Times New Roman" w:hAnsi="Times New Roman" w:eastAsia="宋体" w:cs="宋体"/>
                <w:color w:val="auto"/>
                <w:kern w:val="0"/>
                <w:sz w:val="24"/>
                <w:highlight w:val="none"/>
                <w:vertAlign w:val="superscript"/>
                <w:lang w:val="en-US" w:eastAsia="zh-CN"/>
              </w:rPr>
              <w:t>2</w:t>
            </w:r>
            <w:r>
              <w:rPr>
                <w:rFonts w:hint="default" w:ascii="Times New Roman" w:hAnsi="Times New Roman" w:eastAsia="宋体" w:cs="宋体"/>
                <w:color w:val="auto"/>
                <w:kern w:val="0"/>
                <w:sz w:val="24"/>
                <w:highlight w:val="none"/>
                <w:lang w:val="en-US" w:eastAsia="zh-CN"/>
              </w:rPr>
              <w:t>的危险废物暂存间，内侧沿围墙已设置下沉式集液沟、地面</w:t>
            </w:r>
            <w:r>
              <w:rPr>
                <w:rFonts w:hint="eastAsia" w:ascii="Times New Roman" w:hAnsi="Times New Roman" w:eastAsia="宋体" w:cs="宋体"/>
                <w:color w:val="auto"/>
                <w:kern w:val="0"/>
                <w:sz w:val="24"/>
                <w:highlight w:val="none"/>
                <w:lang w:val="en-US" w:eastAsia="zh-CN"/>
              </w:rPr>
              <w:t>和墙面</w:t>
            </w:r>
            <w:r>
              <w:rPr>
                <w:rFonts w:hint="default" w:ascii="Times New Roman" w:hAnsi="Times New Roman" w:eastAsia="宋体" w:cs="宋体"/>
                <w:color w:val="auto"/>
                <w:kern w:val="0"/>
                <w:sz w:val="24"/>
                <w:highlight w:val="none"/>
                <w:lang w:val="en-US" w:eastAsia="zh-CN"/>
              </w:rPr>
              <w:t>采用环氧树脂和丙烯酸进行防腐防渗处理，内部设有截流沟，符合《危险废物贮存污染控制标准》（GB18597-2023）建设要求。集液沟</w:t>
            </w:r>
            <w:r>
              <w:rPr>
                <w:rFonts w:hint="eastAsia" w:cs="宋体"/>
                <w:color w:val="auto"/>
                <w:kern w:val="0"/>
                <w:sz w:val="24"/>
                <w:highlight w:val="none"/>
                <w:lang w:val="en-US" w:eastAsia="zh-CN"/>
              </w:rPr>
              <w:t>有废油残留，后续需清理后</w:t>
            </w:r>
            <w:r>
              <w:rPr>
                <w:rFonts w:hint="default" w:ascii="Times New Roman" w:hAnsi="Times New Roman" w:eastAsia="宋体" w:cs="宋体"/>
                <w:color w:val="auto"/>
                <w:kern w:val="0"/>
                <w:sz w:val="24"/>
                <w:highlight w:val="none"/>
                <w:lang w:val="en-US" w:eastAsia="zh-CN"/>
              </w:rPr>
              <w:t>委托有资质单位清运处置</w:t>
            </w:r>
            <w:r>
              <w:rPr>
                <w:rFonts w:hint="eastAsia" w:ascii="Times New Roman" w:hAnsi="Times New Roman" w:eastAsia="宋体" w:cs="宋体"/>
                <w:color w:val="auto"/>
                <w:kern w:val="0"/>
                <w:sz w:val="24"/>
                <w:highlight w:val="none"/>
                <w:lang w:val="en-US" w:eastAsia="zh-CN"/>
              </w:rPr>
              <w:t>。</w:t>
            </w:r>
            <w:r>
              <w:rPr>
                <w:rFonts w:hint="default" w:ascii="Times New Roman" w:hAnsi="Times New Roman" w:eastAsia="宋体" w:cs="宋体"/>
                <w:color w:val="auto"/>
                <w:kern w:val="0"/>
                <w:sz w:val="24"/>
                <w:highlight w:val="none"/>
                <w:lang w:val="en-US" w:eastAsia="zh-CN"/>
              </w:rPr>
              <w:t>目前，变压器未更换过变压器油，风电机组未更换过蓄电池，后期更换后的变压器油和废铅蓄电池需委托有资质单位清运处置。升压站主变</w:t>
            </w:r>
            <w:r>
              <w:rPr>
                <w:rFonts w:hint="eastAsia" w:cs="宋体"/>
                <w:color w:val="auto"/>
                <w:kern w:val="0"/>
                <w:sz w:val="24"/>
                <w:highlight w:val="none"/>
                <w:lang w:val="en-US" w:eastAsia="zh-CN"/>
              </w:rPr>
              <w:t>储油量为45t，现有主变压器储油量为40.9t，</w:t>
            </w:r>
            <w:r>
              <w:rPr>
                <w:rFonts w:hint="default" w:ascii="Times New Roman" w:hAnsi="Times New Roman" w:eastAsia="宋体" w:cs="宋体"/>
                <w:color w:val="auto"/>
                <w:kern w:val="0"/>
                <w:sz w:val="24"/>
                <w:highlight w:val="none"/>
                <w:lang w:val="en-US" w:eastAsia="zh-CN"/>
              </w:rPr>
              <w:t>场地设1个有效容积为200m</w:t>
            </w:r>
            <w:r>
              <w:rPr>
                <w:rFonts w:hint="default" w:ascii="Times New Roman" w:hAnsi="Times New Roman" w:eastAsia="宋体" w:cs="宋体"/>
                <w:color w:val="auto"/>
                <w:kern w:val="0"/>
                <w:sz w:val="24"/>
                <w:highlight w:val="none"/>
                <w:vertAlign w:val="superscript"/>
                <w:lang w:val="en-US" w:eastAsia="zh-CN"/>
              </w:rPr>
              <w:t>3</w:t>
            </w:r>
            <w:r>
              <w:rPr>
                <w:rFonts w:hint="default" w:ascii="Times New Roman" w:hAnsi="Times New Roman" w:eastAsia="宋体" w:cs="宋体"/>
                <w:color w:val="auto"/>
                <w:kern w:val="0"/>
                <w:sz w:val="24"/>
                <w:highlight w:val="none"/>
                <w:lang w:val="en-US" w:eastAsia="zh-CN"/>
              </w:rPr>
              <w:t>的事故油池一座</w:t>
            </w:r>
            <w:r>
              <w:rPr>
                <w:rFonts w:hint="eastAsia" w:cs="宋体"/>
                <w:color w:val="auto"/>
                <w:kern w:val="0"/>
                <w:sz w:val="24"/>
                <w:highlight w:val="none"/>
                <w:lang w:val="en-US" w:eastAsia="zh-CN"/>
              </w:rPr>
              <w:t>，能满足主变事故环境风险应急处置要求</w:t>
            </w:r>
            <w:r>
              <w:rPr>
                <w:rFonts w:hint="eastAsia" w:ascii="Times New Roman" w:hAnsi="Times New Roman" w:eastAsia="宋体" w:cs="宋体"/>
                <w:color w:val="auto"/>
                <w:kern w:val="0"/>
                <w:sz w:val="24"/>
                <w:highlight w:val="none"/>
                <w:lang w:val="en-US" w:eastAsia="zh-CN"/>
              </w:rPr>
              <w:t>。升压站周边已设围墙及安全防护措施。</w:t>
            </w:r>
            <w:r>
              <w:rPr>
                <w:rFonts w:hint="eastAsia" w:cs="宋体"/>
                <w:color w:val="auto"/>
                <w:kern w:val="0"/>
                <w:sz w:val="24"/>
                <w:highlight w:val="none"/>
                <w:lang w:val="en-US" w:eastAsia="zh-CN"/>
              </w:rPr>
              <w:t>升压站现有生活污水一体化污水处理设备为地埋式，出水口位于站区东南侧站界外侧集水池，根据建设单位介绍，集水池的水由当地村民用于农灌，建议完善出水回用体系，确保升压站出水用于厂区绿化。</w:t>
            </w:r>
          </w:p>
          <w:p w14:paraId="377832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color w:val="auto"/>
                <w:kern w:val="0"/>
                <w:sz w:val="24"/>
                <w:highlight w:val="none"/>
                <w:lang w:val="en-US" w:eastAsia="zh-CN"/>
              </w:rPr>
            </w:pPr>
            <w:r>
              <w:rPr>
                <w:rFonts w:hint="eastAsia" w:cs="宋体"/>
                <w:color w:val="auto"/>
                <w:kern w:val="0"/>
                <w:sz w:val="24"/>
                <w:highlight w:val="none"/>
                <w:lang w:val="en-US" w:eastAsia="zh-CN"/>
              </w:rPr>
              <w:t>西泽风电场（一期）B片区集电线路已通过依托西泽风电场（一期）项目通过环保验收，根据验收资料、现场实地踏勘情况与集电线路和周边敏感区叠图分析，该线路不占用生态保护红线、水源保护区、天然林和公益林等敏感因素。</w:t>
            </w:r>
          </w:p>
          <w:p w14:paraId="5559E66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color w:val="auto"/>
                <w:kern w:val="0"/>
                <w:sz w:val="24"/>
                <w:highlight w:val="none"/>
                <w:lang w:val="en-US" w:eastAsia="zh-CN"/>
              </w:rPr>
            </w:pPr>
            <w:r>
              <w:rPr>
                <w:rFonts w:hint="eastAsia" w:ascii="Times New Roman" w:hAnsi="Times New Roman" w:eastAsia="宋体" w:cs="宋体"/>
                <w:color w:val="auto"/>
                <w:kern w:val="0"/>
                <w:sz w:val="24"/>
                <w:highlight w:val="none"/>
                <w:lang w:val="en-US" w:eastAsia="zh-CN"/>
              </w:rPr>
              <w:t>根据项目验收监测结果，升压站厂界工频电场强度和工频磁感应强度满足《电磁环境控制限值》（GB8702-2014）中的限值要求。</w:t>
            </w:r>
          </w:p>
          <w:p w14:paraId="4224F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color w:val="auto"/>
                <w:kern w:val="0"/>
                <w:sz w:val="24"/>
                <w:highlight w:val="none"/>
                <w:lang w:val="en-US" w:eastAsia="zh-CN"/>
              </w:rPr>
            </w:pPr>
            <w:r>
              <w:rPr>
                <w:rFonts w:hint="default" w:ascii="Times New Roman" w:hAnsi="Times New Roman" w:eastAsia="宋体" w:cs="宋体"/>
                <w:color w:val="auto"/>
                <w:kern w:val="0"/>
                <w:sz w:val="24"/>
                <w:highlight w:val="none"/>
                <w:lang w:val="en-US" w:eastAsia="zh-CN"/>
              </w:rPr>
              <w:t>经现场</w:t>
            </w:r>
            <w:r>
              <w:rPr>
                <w:rFonts w:hint="eastAsia" w:cs="宋体"/>
                <w:color w:val="auto"/>
                <w:kern w:val="0"/>
                <w:sz w:val="24"/>
                <w:highlight w:val="none"/>
                <w:lang w:val="en-US" w:eastAsia="zh-CN"/>
              </w:rPr>
              <w:t>踏勘</w:t>
            </w:r>
            <w:r>
              <w:rPr>
                <w:rFonts w:hint="default" w:ascii="Times New Roman" w:hAnsi="Times New Roman" w:eastAsia="宋体" w:cs="宋体"/>
                <w:color w:val="auto"/>
                <w:kern w:val="0"/>
                <w:sz w:val="24"/>
                <w:highlight w:val="none"/>
                <w:lang w:val="en-US" w:eastAsia="zh-CN"/>
              </w:rPr>
              <w:t>，目前升压站四周均设置围墙</w:t>
            </w:r>
            <w:r>
              <w:rPr>
                <w:rFonts w:hint="eastAsia" w:cs="宋体"/>
                <w:color w:val="auto"/>
                <w:kern w:val="0"/>
                <w:sz w:val="24"/>
                <w:highlight w:val="none"/>
                <w:lang w:val="en-US" w:eastAsia="zh-CN"/>
              </w:rPr>
              <w:t>（三面为砖砌围墙，一面为栅栏围墙）</w:t>
            </w:r>
            <w:r>
              <w:rPr>
                <w:rFonts w:hint="default" w:ascii="Times New Roman" w:hAnsi="Times New Roman" w:eastAsia="宋体" w:cs="宋体"/>
                <w:color w:val="auto"/>
                <w:kern w:val="0"/>
                <w:sz w:val="24"/>
                <w:highlight w:val="none"/>
                <w:lang w:val="en-US" w:eastAsia="zh-CN"/>
              </w:rPr>
              <w:t>，场区内进行绿化，预留空地进行平整后使用碎石层平铺压实并定期洒水，其余场地均进行水泥硬化，站内道路均为水泥道路，无水土流失现象。经过调查了解，目前升压站无突发环境事件情况发生，无事故废油、废蓄电池产生。</w:t>
            </w:r>
          </w:p>
        </w:tc>
      </w:tr>
      <w:tr w14:paraId="3DE87A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noWrap w:val="0"/>
            <w:vAlign w:val="center"/>
          </w:tcPr>
          <w:p w14:paraId="198DAEFB">
            <w:pPr>
              <w:pStyle w:val="18"/>
              <w:bidi w:val="0"/>
              <w:rPr>
                <w:color w:val="auto"/>
              </w:rPr>
            </w:pPr>
            <w:r>
              <w:rPr>
                <w:rFonts w:hint="eastAsia"/>
                <w:color w:val="auto"/>
              </w:rPr>
              <w:t>生态环境保护目标</w:t>
            </w:r>
          </w:p>
        </w:tc>
        <w:tc>
          <w:tcPr>
            <w:tcW w:w="7780" w:type="dxa"/>
            <w:noWrap w:val="0"/>
            <w:vAlign w:val="center"/>
          </w:tcPr>
          <w:p w14:paraId="5452B1C2">
            <w:pPr>
              <w:bidi w:val="0"/>
              <w:ind w:left="0" w:leftChars="0" w:firstLine="0" w:firstLineChars="0"/>
              <w:rPr>
                <w:b/>
                <w:bCs/>
                <w:color w:val="auto"/>
              </w:rPr>
            </w:pPr>
            <w:r>
              <w:rPr>
                <w:rFonts w:hint="eastAsia"/>
                <w:b/>
                <w:bCs/>
                <w:color w:val="auto"/>
                <w:lang w:val="en-US" w:eastAsia="zh-CN"/>
              </w:rPr>
              <w:t>1.</w:t>
            </w:r>
            <w:r>
              <w:rPr>
                <w:rFonts w:hint="eastAsia"/>
                <w:b/>
                <w:bCs/>
                <w:color w:val="auto"/>
              </w:rPr>
              <w:t>项目环境评价范围</w:t>
            </w:r>
          </w:p>
          <w:p w14:paraId="07B2B440">
            <w:pPr>
              <w:bidi w:val="0"/>
              <w:rPr>
                <w:rFonts w:hint="eastAsia"/>
                <w:color w:val="auto"/>
              </w:rPr>
            </w:pPr>
            <w:r>
              <w:rPr>
                <w:color w:val="auto"/>
              </w:rPr>
              <w:t>根据《建设项目环境影响评价技术导则总纲》（HJ2.1-2016）、《环境影响评价技术导则生态影响》（HJ19-20</w:t>
            </w:r>
            <w:r>
              <w:rPr>
                <w:rFonts w:hint="eastAsia"/>
                <w:color w:val="auto"/>
                <w:lang w:val="en-US" w:eastAsia="zh-CN"/>
              </w:rPr>
              <w:t>22</w:t>
            </w:r>
            <w:r>
              <w:rPr>
                <w:color w:val="auto"/>
              </w:rPr>
              <w:t>）、《环境影响评价技术导则大气环境》（HJ2.2-2018）、《环境影响评价技术导则地表水环境》（HJ2.3-2018）《环境影响评价技术导则声环境》（HJ2.4-20</w:t>
            </w:r>
            <w:r>
              <w:rPr>
                <w:rFonts w:hint="eastAsia"/>
                <w:color w:val="auto"/>
                <w:lang w:val="en-US" w:eastAsia="zh-CN"/>
              </w:rPr>
              <w:t>21</w:t>
            </w:r>
            <w:r>
              <w:rPr>
                <w:color w:val="auto"/>
              </w:rPr>
              <w:t>）及《关于印发</w:t>
            </w:r>
            <w:r>
              <w:rPr>
                <w:rFonts w:hint="eastAsia"/>
                <w:color w:val="auto"/>
                <w:lang w:eastAsia="zh-CN"/>
              </w:rPr>
              <w:t>〈</w:t>
            </w:r>
            <w:r>
              <w:rPr>
                <w:color w:val="auto"/>
              </w:rPr>
              <w:t>建设项目环境影响报告表</w:t>
            </w:r>
            <w:r>
              <w:rPr>
                <w:rFonts w:hint="eastAsia"/>
                <w:color w:val="auto"/>
                <w:lang w:eastAsia="zh-CN"/>
              </w:rPr>
              <w:t>〉</w:t>
            </w:r>
            <w:r>
              <w:rPr>
                <w:color w:val="auto"/>
              </w:rPr>
              <w:t>内容、格式及编制技术指南的通知》（环办环评〔2020〕33号），本项目各环境要素评价范围如下表所示</w:t>
            </w:r>
            <w:r>
              <w:rPr>
                <w:rFonts w:hint="eastAsia"/>
                <w:color w:val="auto"/>
              </w:rPr>
              <w:t>。</w:t>
            </w:r>
          </w:p>
          <w:p w14:paraId="47099C64">
            <w:pPr>
              <w:bidi w:val="0"/>
              <w:rPr>
                <w:rFonts w:hint="default" w:eastAsia="宋体"/>
                <w:color w:val="auto"/>
                <w:lang w:val="en-US" w:eastAsia="zh-CN"/>
              </w:rPr>
            </w:pPr>
            <w:r>
              <w:rPr>
                <w:rFonts w:hint="eastAsia"/>
                <w:color w:val="auto"/>
                <w:lang w:val="en-US" w:eastAsia="zh-CN"/>
              </w:rPr>
              <w:t>项目改建架空集电线路不新增塔杆，架空线路进场道路依托一期道路，牵张采用车载牵张，不新增牵张场，本次评价不设生态环境评价范围，引用西泽风电场一期验收调查情况结合现场实际评价项目改建架空集电线路的影响。</w:t>
            </w:r>
          </w:p>
          <w:p w14:paraId="63D65D9F">
            <w:pPr>
              <w:pageBreakBefore w:val="0"/>
              <w:kinsoku/>
              <w:wordWrap/>
              <w:overflowPunct/>
              <w:bidi w:val="0"/>
              <w:adjustRightInd w:val="0"/>
              <w:snapToGrid w:val="0"/>
              <w:spacing w:line="360" w:lineRule="auto"/>
              <w:jc w:val="center"/>
              <w:rPr>
                <w:rFonts w:ascii="Times New Roman" w:hAnsi="Times New Roman" w:eastAsia="宋体"/>
                <w:b/>
                <w:color w:val="auto"/>
                <w:sz w:val="24"/>
              </w:rPr>
            </w:pPr>
            <w:r>
              <w:rPr>
                <w:rFonts w:hint="eastAsia" w:ascii="Times New Roman" w:hAnsi="Times New Roman" w:eastAsia="宋体"/>
                <w:b/>
                <w:color w:val="auto"/>
                <w:sz w:val="24"/>
              </w:rPr>
              <w:t>表3</w:t>
            </w:r>
            <w:r>
              <w:rPr>
                <w:rFonts w:hint="eastAsia" w:ascii="Times New Roman" w:hAnsi="Times New Roman" w:eastAsia="宋体"/>
                <w:b/>
                <w:color w:val="auto"/>
                <w:sz w:val="24"/>
                <w:lang w:val="en-US" w:eastAsia="zh-CN"/>
              </w:rPr>
              <w:t>-</w:t>
            </w:r>
            <w:r>
              <w:rPr>
                <w:rFonts w:hint="eastAsia"/>
                <w:b/>
                <w:color w:val="auto"/>
                <w:sz w:val="24"/>
                <w:lang w:val="en-US" w:eastAsia="zh-CN"/>
              </w:rPr>
              <w:t xml:space="preserve">5  </w:t>
            </w:r>
            <w:r>
              <w:rPr>
                <w:rFonts w:hint="eastAsia" w:ascii="Times New Roman" w:hAnsi="Times New Roman" w:eastAsia="宋体"/>
                <w:b/>
                <w:color w:val="auto"/>
                <w:sz w:val="24"/>
              </w:rPr>
              <w:t>本项目各环境要素环境影响评价范围</w:t>
            </w:r>
          </w:p>
          <w:tbl>
            <w:tblPr>
              <w:tblStyle w:val="20"/>
              <w:tblW w:w="7559"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29"/>
              <w:gridCol w:w="4556"/>
              <w:gridCol w:w="1674"/>
            </w:tblGrid>
            <w:tr w14:paraId="4C1C38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29" w:type="dxa"/>
                  <w:tcBorders>
                    <w:tl2br w:val="nil"/>
                    <w:tr2bl w:val="nil"/>
                  </w:tcBorders>
                  <w:noWrap w:val="0"/>
                  <w:vAlign w:val="center"/>
                </w:tcPr>
                <w:p w14:paraId="2C3E15C1">
                  <w:pPr>
                    <w:pStyle w:val="37"/>
                    <w:bidi w:val="0"/>
                    <w:rPr>
                      <w:color w:val="auto"/>
                    </w:rPr>
                  </w:pPr>
                  <w:r>
                    <w:rPr>
                      <w:color w:val="auto"/>
                    </w:rPr>
                    <w:t>环境要素</w:t>
                  </w:r>
                </w:p>
              </w:tc>
              <w:tc>
                <w:tcPr>
                  <w:tcW w:w="4556" w:type="dxa"/>
                  <w:tcBorders>
                    <w:tl2br w:val="nil"/>
                    <w:tr2bl w:val="nil"/>
                  </w:tcBorders>
                  <w:noWrap w:val="0"/>
                  <w:vAlign w:val="center"/>
                </w:tcPr>
                <w:p w14:paraId="2FF36010">
                  <w:pPr>
                    <w:pStyle w:val="37"/>
                    <w:bidi w:val="0"/>
                    <w:rPr>
                      <w:color w:val="auto"/>
                    </w:rPr>
                  </w:pPr>
                  <w:r>
                    <w:rPr>
                      <w:color w:val="auto"/>
                    </w:rPr>
                    <w:t>评价范围</w:t>
                  </w:r>
                </w:p>
              </w:tc>
              <w:tc>
                <w:tcPr>
                  <w:tcW w:w="1674" w:type="dxa"/>
                  <w:tcBorders>
                    <w:tl2br w:val="nil"/>
                    <w:tr2bl w:val="nil"/>
                  </w:tcBorders>
                  <w:noWrap w:val="0"/>
                  <w:vAlign w:val="center"/>
                </w:tcPr>
                <w:p w14:paraId="450CDF0C">
                  <w:pPr>
                    <w:pStyle w:val="37"/>
                    <w:bidi w:val="0"/>
                    <w:rPr>
                      <w:rFonts w:hint="eastAsia"/>
                      <w:color w:val="auto"/>
                      <w:lang w:val="en-US" w:eastAsia="zh-CN"/>
                    </w:rPr>
                  </w:pPr>
                  <w:r>
                    <w:rPr>
                      <w:rFonts w:hint="eastAsia"/>
                      <w:color w:val="auto"/>
                      <w:lang w:val="en-US" w:eastAsia="zh-CN"/>
                    </w:rPr>
                    <w:t>评价时段</w:t>
                  </w:r>
                </w:p>
              </w:tc>
            </w:tr>
            <w:tr w14:paraId="47D10B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29" w:type="dxa"/>
                  <w:tcBorders>
                    <w:tl2br w:val="nil"/>
                    <w:tr2bl w:val="nil"/>
                  </w:tcBorders>
                  <w:noWrap w:val="0"/>
                  <w:vAlign w:val="center"/>
                </w:tcPr>
                <w:p w14:paraId="2CC3CF87">
                  <w:pPr>
                    <w:pStyle w:val="37"/>
                    <w:bidi w:val="0"/>
                    <w:rPr>
                      <w:color w:val="auto"/>
                      <w:lang w:val="en-US" w:eastAsia="zh-CN"/>
                    </w:rPr>
                  </w:pPr>
                  <w:r>
                    <w:rPr>
                      <w:color w:val="auto"/>
                    </w:rPr>
                    <w:t>生态环境</w:t>
                  </w:r>
                </w:p>
              </w:tc>
              <w:tc>
                <w:tcPr>
                  <w:tcW w:w="4556" w:type="dxa"/>
                  <w:tcBorders>
                    <w:tl2br w:val="nil"/>
                    <w:tr2bl w:val="nil"/>
                  </w:tcBorders>
                  <w:noWrap w:val="0"/>
                  <w:vAlign w:val="center"/>
                </w:tcPr>
                <w:p w14:paraId="518846AF">
                  <w:pPr>
                    <w:pStyle w:val="37"/>
                    <w:bidi w:val="0"/>
                    <w:rPr>
                      <w:rFonts w:hint="default" w:eastAsia="宋体"/>
                      <w:color w:val="auto"/>
                      <w:lang w:val="en-US" w:eastAsia="zh-CN"/>
                    </w:rPr>
                  </w:pPr>
                  <w:r>
                    <w:rPr>
                      <w:rFonts w:hint="eastAsia"/>
                      <w:color w:val="auto"/>
                      <w:lang w:val="en-US" w:eastAsia="zh-CN"/>
                    </w:rPr>
                    <w:t>工程占地范围</w:t>
                  </w:r>
                  <w:r>
                    <w:rPr>
                      <w:rFonts w:hint="eastAsia"/>
                      <w:color w:val="auto"/>
                    </w:rPr>
                    <w:t>外延300m</w:t>
                  </w:r>
                  <w:r>
                    <w:rPr>
                      <w:rFonts w:hint="eastAsia"/>
                      <w:color w:val="auto"/>
                      <w:lang w:val="en-US" w:eastAsia="zh-CN"/>
                    </w:rPr>
                    <w:t>范围</w:t>
                  </w:r>
                  <w:r>
                    <w:rPr>
                      <w:rFonts w:hint="eastAsia"/>
                      <w:color w:val="auto"/>
                      <w:lang w:eastAsia="zh-CN"/>
                    </w:rPr>
                    <w:t>，</w:t>
                  </w:r>
                  <w:r>
                    <w:rPr>
                      <w:rFonts w:hint="eastAsia"/>
                      <w:color w:val="auto"/>
                      <w:lang w:val="en-US" w:eastAsia="zh-CN"/>
                    </w:rPr>
                    <w:t>300m范围内涉及生态保护红线则外延1000m范围</w:t>
                  </w:r>
                  <w:r>
                    <w:rPr>
                      <w:rFonts w:hint="eastAsia"/>
                      <w:color w:val="auto"/>
                    </w:rPr>
                    <w:t>。</w:t>
                  </w:r>
                  <w:r>
                    <w:rPr>
                      <w:rFonts w:hint="eastAsia"/>
                      <w:color w:val="auto"/>
                      <w:lang w:val="en-US" w:eastAsia="zh-CN"/>
                    </w:rPr>
                    <w:t>升压站不设置评价范围。</w:t>
                  </w:r>
                </w:p>
              </w:tc>
              <w:tc>
                <w:tcPr>
                  <w:tcW w:w="1674" w:type="dxa"/>
                  <w:tcBorders>
                    <w:tl2br w:val="nil"/>
                    <w:tr2bl w:val="nil"/>
                  </w:tcBorders>
                  <w:noWrap w:val="0"/>
                  <w:vAlign w:val="center"/>
                </w:tcPr>
                <w:p w14:paraId="720CAD86">
                  <w:pPr>
                    <w:pStyle w:val="37"/>
                    <w:bidi w:val="0"/>
                    <w:rPr>
                      <w:rFonts w:hint="default"/>
                      <w:color w:val="auto"/>
                      <w:lang w:val="en-US" w:eastAsia="zh-CN"/>
                    </w:rPr>
                  </w:pPr>
                  <w:r>
                    <w:rPr>
                      <w:rFonts w:hint="eastAsia"/>
                      <w:color w:val="auto"/>
                      <w:lang w:val="en-US" w:eastAsia="zh-CN"/>
                    </w:rPr>
                    <w:t>施工期、运行期</w:t>
                  </w:r>
                </w:p>
              </w:tc>
            </w:tr>
            <w:tr w14:paraId="0A57BC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29" w:type="dxa"/>
                  <w:tcBorders>
                    <w:tl2br w:val="nil"/>
                    <w:tr2bl w:val="nil"/>
                  </w:tcBorders>
                  <w:noWrap w:val="0"/>
                  <w:vAlign w:val="center"/>
                </w:tcPr>
                <w:p w14:paraId="6401FEC5">
                  <w:pPr>
                    <w:pStyle w:val="37"/>
                    <w:bidi w:val="0"/>
                    <w:rPr>
                      <w:color w:val="auto"/>
                    </w:rPr>
                  </w:pPr>
                  <w:r>
                    <w:rPr>
                      <w:color w:val="auto"/>
                    </w:rPr>
                    <w:t>地表水</w:t>
                  </w:r>
                  <w:r>
                    <w:rPr>
                      <w:rFonts w:hint="eastAsia"/>
                      <w:color w:val="auto"/>
                    </w:rPr>
                    <w:t>环境</w:t>
                  </w:r>
                </w:p>
              </w:tc>
              <w:tc>
                <w:tcPr>
                  <w:tcW w:w="4556" w:type="dxa"/>
                  <w:tcBorders>
                    <w:tl2br w:val="nil"/>
                    <w:tr2bl w:val="nil"/>
                  </w:tcBorders>
                  <w:noWrap w:val="0"/>
                  <w:vAlign w:val="center"/>
                </w:tcPr>
                <w:p w14:paraId="54CFE925">
                  <w:pPr>
                    <w:pStyle w:val="37"/>
                    <w:bidi w:val="0"/>
                    <w:rPr>
                      <w:rFonts w:hint="eastAsia" w:eastAsia="宋体"/>
                      <w:color w:val="auto"/>
                      <w:lang w:val="en-US" w:eastAsia="zh-CN"/>
                    </w:rPr>
                  </w:pPr>
                  <w:r>
                    <w:rPr>
                      <w:rFonts w:hint="eastAsia"/>
                      <w:color w:val="auto"/>
                    </w:rPr>
                    <w:t>评价范围为项目工程区</w:t>
                  </w:r>
                  <w:r>
                    <w:rPr>
                      <w:rFonts w:hint="eastAsia"/>
                      <w:color w:val="auto"/>
                      <w:lang w:val="en-US" w:eastAsia="zh-CN"/>
                    </w:rPr>
                    <w:t>所在径流区</w:t>
                  </w:r>
                </w:p>
              </w:tc>
              <w:tc>
                <w:tcPr>
                  <w:tcW w:w="1674" w:type="dxa"/>
                  <w:tcBorders>
                    <w:tl2br w:val="nil"/>
                    <w:tr2bl w:val="nil"/>
                  </w:tcBorders>
                  <w:noWrap w:val="0"/>
                  <w:vAlign w:val="center"/>
                </w:tcPr>
                <w:p w14:paraId="47EE6D46">
                  <w:pPr>
                    <w:pStyle w:val="37"/>
                    <w:bidi w:val="0"/>
                    <w:rPr>
                      <w:rFonts w:hint="eastAsia"/>
                      <w:color w:val="auto"/>
                    </w:rPr>
                  </w:pPr>
                  <w:r>
                    <w:rPr>
                      <w:rFonts w:hint="eastAsia"/>
                      <w:color w:val="auto"/>
                      <w:lang w:val="en-US" w:eastAsia="zh-CN"/>
                    </w:rPr>
                    <w:t>施工期、运行期</w:t>
                  </w:r>
                </w:p>
              </w:tc>
            </w:tr>
            <w:tr w14:paraId="2371CD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29" w:type="dxa"/>
                  <w:tcBorders>
                    <w:tl2br w:val="nil"/>
                    <w:tr2bl w:val="nil"/>
                  </w:tcBorders>
                  <w:noWrap w:val="0"/>
                  <w:vAlign w:val="center"/>
                </w:tcPr>
                <w:p w14:paraId="54721EB0">
                  <w:pPr>
                    <w:pStyle w:val="37"/>
                    <w:bidi w:val="0"/>
                    <w:rPr>
                      <w:color w:val="auto"/>
                    </w:rPr>
                  </w:pPr>
                  <w:r>
                    <w:rPr>
                      <w:color w:val="auto"/>
                    </w:rPr>
                    <w:t>大气环境</w:t>
                  </w:r>
                </w:p>
              </w:tc>
              <w:tc>
                <w:tcPr>
                  <w:tcW w:w="4556" w:type="dxa"/>
                  <w:tcBorders>
                    <w:tl2br w:val="nil"/>
                    <w:tr2bl w:val="nil"/>
                  </w:tcBorders>
                  <w:noWrap w:val="0"/>
                  <w:vAlign w:val="center"/>
                </w:tcPr>
                <w:p w14:paraId="5EDA670C">
                  <w:pPr>
                    <w:pStyle w:val="37"/>
                    <w:bidi w:val="0"/>
                    <w:rPr>
                      <w:color w:val="auto"/>
                    </w:rPr>
                  </w:pPr>
                  <w:r>
                    <w:rPr>
                      <w:rFonts w:hint="eastAsia"/>
                      <w:color w:val="auto"/>
                      <w:lang w:val="en-US" w:eastAsia="zh-CN"/>
                    </w:rPr>
                    <w:t>施工场地</w:t>
                  </w:r>
                  <w:r>
                    <w:rPr>
                      <w:rFonts w:hint="eastAsia"/>
                      <w:color w:val="auto"/>
                    </w:rPr>
                    <w:t>范围外延</w:t>
                  </w:r>
                  <w:r>
                    <w:rPr>
                      <w:rFonts w:hint="eastAsia"/>
                      <w:color w:val="auto"/>
                      <w:lang w:val="en-US" w:eastAsia="zh-CN"/>
                    </w:rPr>
                    <w:t>2</w:t>
                  </w:r>
                  <w:r>
                    <w:rPr>
                      <w:rFonts w:hint="eastAsia"/>
                      <w:color w:val="auto"/>
                    </w:rPr>
                    <w:t>00m。</w:t>
                  </w:r>
                </w:p>
              </w:tc>
              <w:tc>
                <w:tcPr>
                  <w:tcW w:w="1674" w:type="dxa"/>
                  <w:tcBorders>
                    <w:tl2br w:val="nil"/>
                    <w:tr2bl w:val="nil"/>
                  </w:tcBorders>
                  <w:shd w:val="clear" w:color="auto" w:fill="auto"/>
                  <w:noWrap w:val="0"/>
                  <w:vAlign w:val="center"/>
                </w:tcPr>
                <w:p w14:paraId="61FA8367">
                  <w:pPr>
                    <w:pStyle w:val="37"/>
                    <w:bidi w:val="0"/>
                    <w:rPr>
                      <w:rFonts w:hint="eastAsia" w:ascii="Times New Roman" w:hAnsi="Times New Roman" w:eastAsia="宋体" w:cs="Arial"/>
                      <w:snapToGrid w:val="0"/>
                      <w:color w:val="auto"/>
                      <w:kern w:val="0"/>
                      <w:szCs w:val="21"/>
                      <w:lang w:val="en-US" w:eastAsia="zh-CN" w:bidi="ar-SA"/>
                    </w:rPr>
                  </w:pPr>
                  <w:r>
                    <w:rPr>
                      <w:rFonts w:hint="eastAsia"/>
                      <w:color w:val="auto"/>
                      <w:lang w:val="en-US" w:eastAsia="zh-CN"/>
                    </w:rPr>
                    <w:t>施工期、运行期</w:t>
                  </w:r>
                </w:p>
              </w:tc>
            </w:tr>
            <w:tr w14:paraId="580746D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29" w:type="dxa"/>
                  <w:vMerge w:val="restart"/>
                  <w:tcBorders>
                    <w:tl2br w:val="nil"/>
                    <w:tr2bl w:val="nil"/>
                  </w:tcBorders>
                  <w:noWrap w:val="0"/>
                  <w:vAlign w:val="center"/>
                </w:tcPr>
                <w:p w14:paraId="3321462F">
                  <w:pPr>
                    <w:pStyle w:val="37"/>
                    <w:bidi w:val="0"/>
                    <w:rPr>
                      <w:color w:val="auto"/>
                    </w:rPr>
                  </w:pPr>
                  <w:r>
                    <w:rPr>
                      <w:color w:val="auto"/>
                    </w:rPr>
                    <w:t>声环境</w:t>
                  </w:r>
                </w:p>
              </w:tc>
              <w:tc>
                <w:tcPr>
                  <w:tcW w:w="4556" w:type="dxa"/>
                  <w:tcBorders>
                    <w:tl2br w:val="nil"/>
                    <w:tr2bl w:val="nil"/>
                  </w:tcBorders>
                  <w:noWrap w:val="0"/>
                  <w:vAlign w:val="center"/>
                </w:tcPr>
                <w:p w14:paraId="7AB05834">
                  <w:pPr>
                    <w:pStyle w:val="37"/>
                    <w:bidi w:val="0"/>
                    <w:rPr>
                      <w:color w:val="auto"/>
                    </w:rPr>
                  </w:pPr>
                  <w:r>
                    <w:rPr>
                      <w:rFonts w:hint="eastAsia"/>
                      <w:color w:val="auto"/>
                      <w:lang w:val="en-US" w:eastAsia="zh-CN"/>
                    </w:rPr>
                    <w:t>施工场地</w:t>
                  </w:r>
                  <w:r>
                    <w:rPr>
                      <w:rFonts w:hint="eastAsia"/>
                      <w:color w:val="auto"/>
                    </w:rPr>
                    <w:t>范围外延</w:t>
                  </w:r>
                  <w:r>
                    <w:rPr>
                      <w:rFonts w:hint="eastAsia"/>
                      <w:color w:val="auto"/>
                      <w:lang w:val="en-US" w:eastAsia="zh-CN"/>
                    </w:rPr>
                    <w:t>2</w:t>
                  </w:r>
                  <w:r>
                    <w:rPr>
                      <w:rFonts w:hint="eastAsia"/>
                      <w:color w:val="auto"/>
                    </w:rPr>
                    <w:t>00m。</w:t>
                  </w:r>
                </w:p>
              </w:tc>
              <w:tc>
                <w:tcPr>
                  <w:tcW w:w="1674" w:type="dxa"/>
                  <w:tcBorders>
                    <w:tl2br w:val="nil"/>
                    <w:tr2bl w:val="nil"/>
                  </w:tcBorders>
                  <w:noWrap w:val="0"/>
                  <w:vAlign w:val="center"/>
                </w:tcPr>
                <w:p w14:paraId="5861EFBF">
                  <w:pPr>
                    <w:pStyle w:val="37"/>
                    <w:bidi w:val="0"/>
                    <w:rPr>
                      <w:rFonts w:hint="eastAsia"/>
                      <w:color w:val="auto"/>
                    </w:rPr>
                  </w:pPr>
                  <w:r>
                    <w:rPr>
                      <w:rFonts w:hint="eastAsia"/>
                      <w:color w:val="auto"/>
                      <w:lang w:val="en-US" w:eastAsia="zh-CN"/>
                    </w:rPr>
                    <w:t>施工期</w:t>
                  </w:r>
                </w:p>
              </w:tc>
            </w:tr>
            <w:tr w14:paraId="2FDE45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29" w:type="dxa"/>
                  <w:vMerge w:val="continue"/>
                  <w:tcBorders>
                    <w:tl2br w:val="nil"/>
                    <w:tr2bl w:val="nil"/>
                  </w:tcBorders>
                  <w:noWrap w:val="0"/>
                  <w:vAlign w:val="center"/>
                </w:tcPr>
                <w:p w14:paraId="0BBDD32C">
                  <w:pPr>
                    <w:bidi w:val="0"/>
                    <w:rPr>
                      <w:color w:val="auto"/>
                    </w:rPr>
                  </w:pPr>
                </w:p>
              </w:tc>
              <w:tc>
                <w:tcPr>
                  <w:tcW w:w="4556" w:type="dxa"/>
                  <w:tcBorders>
                    <w:tl2br w:val="nil"/>
                    <w:tr2bl w:val="nil"/>
                  </w:tcBorders>
                  <w:noWrap w:val="0"/>
                  <w:vAlign w:val="center"/>
                </w:tcPr>
                <w:p w14:paraId="58D6FBF5">
                  <w:pPr>
                    <w:pStyle w:val="37"/>
                    <w:bidi w:val="0"/>
                    <w:rPr>
                      <w:rFonts w:hint="eastAsia"/>
                      <w:color w:val="auto"/>
                    </w:rPr>
                  </w:pPr>
                  <w:r>
                    <w:rPr>
                      <w:rFonts w:hint="eastAsia"/>
                      <w:color w:val="auto"/>
                      <w:lang w:val="en-US" w:eastAsia="zh-CN"/>
                    </w:rPr>
                    <w:t>升压站区</w:t>
                  </w:r>
                  <w:r>
                    <w:rPr>
                      <w:rFonts w:hint="eastAsia"/>
                      <w:color w:val="auto"/>
                    </w:rPr>
                    <w:t>占地范围外延</w:t>
                  </w:r>
                  <w:r>
                    <w:rPr>
                      <w:rFonts w:hint="eastAsia"/>
                      <w:color w:val="auto"/>
                      <w:lang w:val="en-US" w:eastAsia="zh-CN"/>
                    </w:rPr>
                    <w:t>4</w:t>
                  </w:r>
                  <w:r>
                    <w:rPr>
                      <w:rFonts w:hint="eastAsia"/>
                      <w:color w:val="auto"/>
                    </w:rPr>
                    <w:t>0m</w:t>
                  </w:r>
                  <w:r>
                    <w:rPr>
                      <w:rFonts w:hint="eastAsia"/>
                      <w:color w:val="auto"/>
                      <w:lang w:val="en-US" w:eastAsia="zh-CN"/>
                    </w:rPr>
                    <w:t>，风机区</w:t>
                  </w:r>
                  <w:r>
                    <w:rPr>
                      <w:rFonts w:hint="eastAsia"/>
                      <w:color w:val="auto"/>
                    </w:rPr>
                    <w:t>占地范围外延</w:t>
                  </w:r>
                  <w:r>
                    <w:rPr>
                      <w:rFonts w:hint="eastAsia"/>
                      <w:color w:val="auto"/>
                      <w:lang w:val="en-US" w:eastAsia="zh-CN"/>
                    </w:rPr>
                    <w:t>5</w:t>
                  </w:r>
                  <w:r>
                    <w:rPr>
                      <w:rFonts w:hint="eastAsia"/>
                      <w:color w:val="auto"/>
                    </w:rPr>
                    <w:t>00m。</w:t>
                  </w:r>
                </w:p>
              </w:tc>
              <w:tc>
                <w:tcPr>
                  <w:tcW w:w="1674" w:type="dxa"/>
                  <w:tcBorders>
                    <w:tl2br w:val="nil"/>
                    <w:tr2bl w:val="nil"/>
                  </w:tcBorders>
                  <w:noWrap w:val="0"/>
                  <w:vAlign w:val="center"/>
                </w:tcPr>
                <w:p w14:paraId="518945AB">
                  <w:pPr>
                    <w:pStyle w:val="37"/>
                    <w:bidi w:val="0"/>
                    <w:rPr>
                      <w:rFonts w:hint="eastAsia"/>
                      <w:color w:val="auto"/>
                      <w:lang w:val="en-US" w:eastAsia="zh-CN"/>
                    </w:rPr>
                  </w:pPr>
                  <w:r>
                    <w:rPr>
                      <w:rFonts w:hint="eastAsia"/>
                      <w:color w:val="auto"/>
                      <w:lang w:val="en-US" w:eastAsia="zh-CN"/>
                    </w:rPr>
                    <w:t>运行期</w:t>
                  </w:r>
                </w:p>
              </w:tc>
            </w:tr>
            <w:tr w14:paraId="3BDDB7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29" w:type="dxa"/>
                  <w:tcBorders>
                    <w:tl2br w:val="nil"/>
                    <w:tr2bl w:val="nil"/>
                  </w:tcBorders>
                  <w:noWrap w:val="0"/>
                  <w:vAlign w:val="center"/>
                </w:tcPr>
                <w:p w14:paraId="43B92DB2">
                  <w:pPr>
                    <w:pStyle w:val="37"/>
                    <w:bidi w:val="0"/>
                    <w:rPr>
                      <w:rFonts w:hint="eastAsia"/>
                      <w:color w:val="auto"/>
                      <w:lang w:val="en-US" w:eastAsia="zh-CN"/>
                    </w:rPr>
                  </w:pPr>
                  <w:r>
                    <w:rPr>
                      <w:rFonts w:hint="eastAsia"/>
                      <w:color w:val="auto"/>
                      <w:lang w:val="en-US" w:eastAsia="zh-CN"/>
                    </w:rPr>
                    <w:t>土壤环境</w:t>
                  </w:r>
                </w:p>
              </w:tc>
              <w:tc>
                <w:tcPr>
                  <w:tcW w:w="4556" w:type="dxa"/>
                  <w:tcBorders>
                    <w:tl2br w:val="nil"/>
                    <w:tr2bl w:val="nil"/>
                  </w:tcBorders>
                  <w:noWrap w:val="0"/>
                  <w:vAlign w:val="center"/>
                </w:tcPr>
                <w:p w14:paraId="4376E239">
                  <w:pPr>
                    <w:pStyle w:val="37"/>
                    <w:bidi w:val="0"/>
                    <w:rPr>
                      <w:rFonts w:hint="default"/>
                      <w:color w:val="auto"/>
                      <w:lang w:val="en-US" w:eastAsia="zh-CN"/>
                    </w:rPr>
                  </w:pPr>
                  <w:r>
                    <w:rPr>
                      <w:rFonts w:hint="eastAsia"/>
                      <w:color w:val="auto"/>
                      <w:lang w:eastAsia="zh-CN"/>
                    </w:rPr>
                    <w:t>仅做一般</w:t>
                  </w:r>
                  <w:r>
                    <w:rPr>
                      <w:rFonts w:hint="eastAsia"/>
                      <w:color w:val="auto"/>
                    </w:rPr>
                    <w:t>分析，分析范围为</w:t>
                  </w:r>
                  <w:r>
                    <w:rPr>
                      <w:rFonts w:hint="eastAsia"/>
                      <w:color w:val="auto"/>
                      <w:lang w:val="en-US" w:eastAsia="zh-CN"/>
                    </w:rPr>
                    <w:t>永久及临时占地范围</w:t>
                  </w:r>
                </w:p>
              </w:tc>
              <w:tc>
                <w:tcPr>
                  <w:tcW w:w="1674" w:type="dxa"/>
                  <w:tcBorders>
                    <w:tl2br w:val="nil"/>
                    <w:tr2bl w:val="nil"/>
                  </w:tcBorders>
                  <w:noWrap w:val="0"/>
                  <w:vAlign w:val="center"/>
                </w:tcPr>
                <w:p w14:paraId="3169A679">
                  <w:pPr>
                    <w:pStyle w:val="37"/>
                    <w:bidi w:val="0"/>
                    <w:rPr>
                      <w:rFonts w:hint="eastAsia"/>
                      <w:color w:val="auto"/>
                    </w:rPr>
                  </w:pPr>
                  <w:r>
                    <w:rPr>
                      <w:rFonts w:hint="eastAsia"/>
                      <w:color w:val="auto"/>
                      <w:lang w:val="en-US" w:eastAsia="zh-CN"/>
                    </w:rPr>
                    <w:t>施工期、运行期</w:t>
                  </w:r>
                </w:p>
              </w:tc>
            </w:tr>
            <w:tr w14:paraId="404AE0C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329" w:type="dxa"/>
                  <w:tcBorders>
                    <w:tl2br w:val="nil"/>
                    <w:tr2bl w:val="nil"/>
                  </w:tcBorders>
                  <w:noWrap w:val="0"/>
                  <w:vAlign w:val="center"/>
                </w:tcPr>
                <w:p w14:paraId="342DD271">
                  <w:pPr>
                    <w:pStyle w:val="37"/>
                    <w:bidi w:val="0"/>
                    <w:rPr>
                      <w:rFonts w:hint="eastAsia"/>
                      <w:color w:val="auto"/>
                      <w:lang w:val="en-US" w:eastAsia="zh-CN"/>
                    </w:rPr>
                  </w:pPr>
                  <w:r>
                    <w:rPr>
                      <w:rFonts w:hint="eastAsia"/>
                      <w:color w:val="auto"/>
                      <w:lang w:val="en-US" w:eastAsia="zh-CN"/>
                    </w:rPr>
                    <w:t>电磁环境</w:t>
                  </w:r>
                </w:p>
              </w:tc>
              <w:tc>
                <w:tcPr>
                  <w:tcW w:w="4556" w:type="dxa"/>
                  <w:tcBorders>
                    <w:tl2br w:val="nil"/>
                    <w:tr2bl w:val="nil"/>
                  </w:tcBorders>
                  <w:noWrap w:val="0"/>
                  <w:vAlign w:val="center"/>
                </w:tcPr>
                <w:p w14:paraId="6D3C80C3">
                  <w:pPr>
                    <w:pStyle w:val="37"/>
                    <w:bidi w:val="0"/>
                    <w:rPr>
                      <w:rFonts w:hint="eastAsia"/>
                      <w:color w:val="auto"/>
                      <w:lang w:val="en-US" w:eastAsia="zh-CN"/>
                    </w:rPr>
                  </w:pPr>
                  <w:r>
                    <w:rPr>
                      <w:rFonts w:hint="eastAsia"/>
                      <w:color w:val="auto"/>
                      <w:lang w:val="en-US" w:eastAsia="zh-CN"/>
                    </w:rPr>
                    <w:t>详见《升压站电磁环境影响专项评价》</w:t>
                  </w:r>
                </w:p>
              </w:tc>
              <w:tc>
                <w:tcPr>
                  <w:tcW w:w="1674" w:type="dxa"/>
                  <w:tcBorders>
                    <w:tl2br w:val="nil"/>
                    <w:tr2bl w:val="nil"/>
                  </w:tcBorders>
                  <w:noWrap w:val="0"/>
                  <w:vAlign w:val="center"/>
                </w:tcPr>
                <w:p w14:paraId="15BBCE2F">
                  <w:pPr>
                    <w:pStyle w:val="37"/>
                    <w:bidi w:val="0"/>
                    <w:rPr>
                      <w:rFonts w:hint="eastAsia"/>
                      <w:color w:val="auto"/>
                      <w:lang w:val="en-US" w:eastAsia="zh-CN"/>
                    </w:rPr>
                  </w:pPr>
                  <w:r>
                    <w:rPr>
                      <w:rFonts w:hint="eastAsia"/>
                      <w:color w:val="auto"/>
                      <w:lang w:val="en-US" w:eastAsia="zh-CN"/>
                    </w:rPr>
                    <w:t>施工期、运行期</w:t>
                  </w:r>
                </w:p>
              </w:tc>
            </w:tr>
          </w:tbl>
          <w:p w14:paraId="3933C9CD">
            <w:pPr>
              <w:bidi w:val="0"/>
              <w:ind w:left="0" w:leftChars="0" w:firstLine="0" w:firstLineChars="0"/>
              <w:rPr>
                <w:b/>
                <w:bCs/>
                <w:color w:val="auto"/>
              </w:rPr>
            </w:pPr>
            <w:r>
              <w:rPr>
                <w:rFonts w:hint="eastAsia"/>
                <w:b/>
                <w:bCs/>
                <w:color w:val="auto"/>
                <w:lang w:val="en-US" w:eastAsia="zh-CN"/>
              </w:rPr>
              <w:t>2.</w:t>
            </w:r>
            <w:r>
              <w:rPr>
                <w:rFonts w:hint="eastAsia"/>
                <w:b/>
                <w:bCs/>
                <w:color w:val="auto"/>
              </w:rPr>
              <w:t>项目环境保护目标</w:t>
            </w:r>
          </w:p>
          <w:p w14:paraId="17ECEAE8">
            <w:pPr>
              <w:pageBreakBefore w:val="0"/>
              <w:kinsoku/>
              <w:wordWrap/>
              <w:overflowPunct/>
              <w:bidi w:val="0"/>
              <w:adjustRightInd w:val="0"/>
              <w:snapToGrid w:val="0"/>
              <w:spacing w:line="360" w:lineRule="auto"/>
              <w:ind w:firstLine="482" w:firstLineChars="200"/>
              <w:rPr>
                <w:rFonts w:ascii="Times New Roman" w:hAnsi="Times New Roman" w:eastAsia="宋体"/>
                <w:b/>
                <w:color w:val="auto"/>
                <w:sz w:val="24"/>
              </w:rPr>
            </w:pPr>
            <w:r>
              <w:rPr>
                <w:rFonts w:hint="eastAsia"/>
                <w:b/>
                <w:color w:val="auto"/>
                <w:sz w:val="24"/>
                <w:lang w:val="en-US" w:eastAsia="zh-CN"/>
              </w:rPr>
              <w:t>2.1</w:t>
            </w:r>
            <w:r>
              <w:rPr>
                <w:rFonts w:ascii="Times New Roman" w:hAnsi="Times New Roman" w:eastAsia="宋体"/>
                <w:b/>
                <w:color w:val="auto"/>
                <w:sz w:val="24"/>
              </w:rPr>
              <w:t>生态环境保护目标</w:t>
            </w:r>
          </w:p>
          <w:p w14:paraId="5F1A5852">
            <w:pPr>
              <w:bidi w:val="0"/>
              <w:rPr>
                <w:color w:val="auto"/>
              </w:rPr>
            </w:pPr>
            <w:r>
              <w:rPr>
                <w:color w:val="auto"/>
              </w:rPr>
              <w:t>本项目不涉及自然保护区、风景名胜区、饮用水水源保护区等环境敏感区，主要生态环境保护目标为评价区植被植物</w:t>
            </w:r>
            <w:r>
              <w:rPr>
                <w:rFonts w:hint="eastAsia"/>
                <w:color w:val="auto"/>
                <w:lang w:eastAsia="zh-CN"/>
              </w:rPr>
              <w:t>、</w:t>
            </w:r>
            <w:r>
              <w:rPr>
                <w:color w:val="auto"/>
              </w:rPr>
              <w:t>陆生脊椎动物</w:t>
            </w:r>
            <w:r>
              <w:rPr>
                <w:rFonts w:hint="eastAsia"/>
                <w:color w:val="auto"/>
                <w:lang w:eastAsia="zh-CN"/>
              </w:rPr>
              <w:t>等</w:t>
            </w:r>
            <w:r>
              <w:rPr>
                <w:color w:val="auto"/>
              </w:rPr>
              <w:t>。</w:t>
            </w:r>
          </w:p>
          <w:p w14:paraId="3DAA1199">
            <w:pPr>
              <w:pageBreakBefore w:val="0"/>
              <w:kinsoku/>
              <w:wordWrap/>
              <w:overflowPunct/>
              <w:bidi w:val="0"/>
              <w:spacing w:line="360" w:lineRule="auto"/>
              <w:jc w:val="center"/>
              <w:rPr>
                <w:rFonts w:ascii="Times New Roman" w:hAnsi="Times New Roman" w:eastAsia="宋体"/>
                <w:b/>
                <w:color w:val="auto"/>
                <w:sz w:val="24"/>
              </w:rPr>
            </w:pPr>
            <w:r>
              <w:rPr>
                <w:rFonts w:ascii="Times New Roman" w:hAnsi="Times New Roman" w:eastAsia="宋体"/>
                <w:b/>
                <w:color w:val="auto"/>
                <w:sz w:val="24"/>
              </w:rPr>
              <w:t>表3-</w:t>
            </w:r>
            <w:r>
              <w:rPr>
                <w:rFonts w:hint="eastAsia"/>
                <w:b/>
                <w:color w:val="auto"/>
                <w:sz w:val="24"/>
                <w:lang w:val="en-US" w:eastAsia="zh-CN"/>
              </w:rPr>
              <w:t xml:space="preserve">6  </w:t>
            </w:r>
            <w:r>
              <w:rPr>
                <w:rFonts w:hint="eastAsia" w:ascii="Times New Roman" w:hAnsi="Times New Roman" w:eastAsia="宋体"/>
                <w:b/>
                <w:color w:val="auto"/>
                <w:sz w:val="24"/>
                <w:lang w:eastAsia="zh-CN"/>
              </w:rPr>
              <w:t>生态环境</w:t>
            </w:r>
            <w:r>
              <w:rPr>
                <w:rFonts w:hint="eastAsia" w:ascii="Times New Roman" w:hAnsi="Times New Roman" w:eastAsia="宋体"/>
                <w:b/>
                <w:color w:val="auto"/>
                <w:sz w:val="24"/>
              </w:rPr>
              <w:t>保</w:t>
            </w:r>
            <w:r>
              <w:rPr>
                <w:rFonts w:ascii="Times New Roman" w:hAnsi="Times New Roman" w:eastAsia="宋体"/>
                <w:b/>
                <w:color w:val="auto"/>
                <w:sz w:val="24"/>
              </w:rPr>
              <w:t>护目标一览表</w:t>
            </w:r>
          </w:p>
          <w:tbl>
            <w:tblPr>
              <w:tblStyle w:val="20"/>
              <w:tblW w:w="7677"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57" w:type="dxa"/>
                <w:bottom w:w="0" w:type="dxa"/>
                <w:right w:w="57" w:type="dxa"/>
              </w:tblCellMar>
            </w:tblPr>
            <w:tblGrid>
              <w:gridCol w:w="704"/>
              <w:gridCol w:w="1142"/>
              <w:gridCol w:w="1215"/>
              <w:gridCol w:w="1294"/>
              <w:gridCol w:w="1268"/>
              <w:gridCol w:w="1089"/>
              <w:gridCol w:w="965"/>
            </w:tblGrid>
            <w:tr w14:paraId="7B024D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946" w:hRule="atLeast"/>
                <w:tblHeader/>
                <w:jc w:val="center"/>
              </w:trPr>
              <w:tc>
                <w:tcPr>
                  <w:tcW w:w="704" w:type="dxa"/>
                  <w:tcBorders>
                    <w:tl2br w:val="nil"/>
                    <w:tr2bl w:val="nil"/>
                  </w:tcBorders>
                  <w:noWrap w:val="0"/>
                  <w:vAlign w:val="center"/>
                </w:tcPr>
                <w:p w14:paraId="69436802">
                  <w:pPr>
                    <w:pStyle w:val="37"/>
                    <w:bidi w:val="0"/>
                    <w:rPr>
                      <w:color w:val="auto"/>
                      <w:lang w:val="en-US" w:eastAsia="zh-CN"/>
                    </w:rPr>
                  </w:pPr>
                  <w:r>
                    <w:rPr>
                      <w:color w:val="auto"/>
                      <w:lang w:val="en-US" w:eastAsia="zh-CN"/>
                    </w:rPr>
                    <w:t>环境要素</w:t>
                  </w:r>
                </w:p>
              </w:tc>
              <w:tc>
                <w:tcPr>
                  <w:tcW w:w="1142" w:type="dxa"/>
                  <w:tcBorders>
                    <w:tl2br w:val="nil"/>
                    <w:tr2bl w:val="nil"/>
                  </w:tcBorders>
                  <w:noWrap w:val="0"/>
                  <w:vAlign w:val="center"/>
                </w:tcPr>
                <w:p w14:paraId="31FE6649">
                  <w:pPr>
                    <w:pStyle w:val="37"/>
                    <w:bidi w:val="0"/>
                    <w:rPr>
                      <w:color w:val="auto"/>
                      <w:lang w:val="en-US" w:eastAsia="zh-CN"/>
                    </w:rPr>
                  </w:pPr>
                  <w:r>
                    <w:rPr>
                      <w:color w:val="auto"/>
                      <w:lang w:val="en-US" w:eastAsia="zh-CN"/>
                    </w:rPr>
                    <w:t>保护</w:t>
                  </w:r>
                </w:p>
                <w:p w14:paraId="06027F6E">
                  <w:pPr>
                    <w:pStyle w:val="37"/>
                    <w:bidi w:val="0"/>
                    <w:rPr>
                      <w:color w:val="auto"/>
                      <w:lang w:val="en-US" w:eastAsia="zh-CN"/>
                    </w:rPr>
                  </w:pPr>
                  <w:r>
                    <w:rPr>
                      <w:color w:val="auto"/>
                      <w:lang w:val="en-US" w:eastAsia="zh-CN"/>
                    </w:rPr>
                    <w:t>对象</w:t>
                  </w:r>
                </w:p>
              </w:tc>
              <w:tc>
                <w:tcPr>
                  <w:tcW w:w="1215" w:type="dxa"/>
                  <w:tcBorders>
                    <w:tl2br w:val="nil"/>
                    <w:tr2bl w:val="nil"/>
                  </w:tcBorders>
                  <w:noWrap w:val="0"/>
                  <w:vAlign w:val="center"/>
                </w:tcPr>
                <w:p w14:paraId="46A4530D">
                  <w:pPr>
                    <w:pStyle w:val="37"/>
                    <w:bidi w:val="0"/>
                    <w:rPr>
                      <w:color w:val="auto"/>
                      <w:lang w:val="en-US" w:eastAsia="zh-CN"/>
                    </w:rPr>
                  </w:pPr>
                  <w:r>
                    <w:rPr>
                      <w:color w:val="auto"/>
                      <w:lang w:val="en-US" w:eastAsia="zh-CN"/>
                    </w:rPr>
                    <w:t>坐标</w:t>
                  </w:r>
                </w:p>
                <w:p w14:paraId="62BC1E71">
                  <w:pPr>
                    <w:pStyle w:val="37"/>
                    <w:bidi w:val="0"/>
                    <w:rPr>
                      <w:color w:val="auto"/>
                      <w:lang w:val="en-US" w:eastAsia="zh-CN"/>
                    </w:rPr>
                  </w:pPr>
                  <w:r>
                    <w:rPr>
                      <w:color w:val="auto"/>
                      <w:lang w:val="en-US" w:eastAsia="zh-CN"/>
                    </w:rPr>
                    <w:t>X</w:t>
                  </w:r>
                  <w:r>
                    <w:rPr>
                      <w:rFonts w:hint="eastAsia"/>
                      <w:color w:val="auto"/>
                      <w:lang w:val="en-US" w:eastAsia="zh-CN"/>
                    </w:rPr>
                    <w:t>（经度），</w:t>
                  </w:r>
                  <w:r>
                    <w:rPr>
                      <w:color w:val="auto"/>
                      <w:lang w:val="en-US" w:eastAsia="zh-CN"/>
                    </w:rPr>
                    <w:t>Y</w:t>
                  </w:r>
                  <w:r>
                    <w:rPr>
                      <w:rFonts w:hint="eastAsia"/>
                      <w:color w:val="auto"/>
                      <w:lang w:val="en-US" w:eastAsia="zh-CN"/>
                    </w:rPr>
                    <w:t>（纬度）</w:t>
                  </w:r>
                </w:p>
              </w:tc>
              <w:tc>
                <w:tcPr>
                  <w:tcW w:w="1294" w:type="dxa"/>
                  <w:tcBorders>
                    <w:tl2br w:val="nil"/>
                    <w:tr2bl w:val="nil"/>
                  </w:tcBorders>
                  <w:noWrap w:val="0"/>
                  <w:vAlign w:val="center"/>
                </w:tcPr>
                <w:p w14:paraId="4A5157C8">
                  <w:pPr>
                    <w:pStyle w:val="37"/>
                    <w:bidi w:val="0"/>
                    <w:rPr>
                      <w:color w:val="auto"/>
                      <w:lang w:val="en-US" w:eastAsia="zh-CN"/>
                    </w:rPr>
                  </w:pPr>
                  <w:r>
                    <w:rPr>
                      <w:rFonts w:hint="eastAsia"/>
                      <w:color w:val="auto"/>
                      <w:lang w:val="en-US" w:eastAsia="zh-CN"/>
                    </w:rPr>
                    <w:t>特性/</w:t>
                  </w:r>
                  <w:r>
                    <w:rPr>
                      <w:color w:val="auto"/>
                      <w:lang w:val="en-US" w:eastAsia="zh-CN"/>
                    </w:rPr>
                    <w:t>规模</w:t>
                  </w:r>
                </w:p>
              </w:tc>
              <w:tc>
                <w:tcPr>
                  <w:tcW w:w="1268" w:type="dxa"/>
                  <w:tcBorders>
                    <w:tl2br w:val="nil"/>
                    <w:tr2bl w:val="nil"/>
                  </w:tcBorders>
                  <w:noWrap w:val="0"/>
                  <w:vAlign w:val="center"/>
                </w:tcPr>
                <w:p w14:paraId="7E72105B">
                  <w:pPr>
                    <w:pStyle w:val="37"/>
                    <w:bidi w:val="0"/>
                    <w:rPr>
                      <w:color w:val="auto"/>
                      <w:lang w:val="en-US" w:eastAsia="zh-CN"/>
                    </w:rPr>
                  </w:pPr>
                  <w:r>
                    <w:rPr>
                      <w:color w:val="auto"/>
                      <w:lang w:val="en-US" w:eastAsia="zh-CN"/>
                    </w:rPr>
                    <w:t>位置</w:t>
                  </w:r>
                </w:p>
              </w:tc>
              <w:tc>
                <w:tcPr>
                  <w:tcW w:w="1089" w:type="dxa"/>
                  <w:tcBorders>
                    <w:tl2br w:val="nil"/>
                    <w:tr2bl w:val="nil"/>
                  </w:tcBorders>
                  <w:noWrap w:val="0"/>
                  <w:vAlign w:val="center"/>
                </w:tcPr>
                <w:p w14:paraId="0E650033">
                  <w:pPr>
                    <w:pStyle w:val="37"/>
                    <w:bidi w:val="0"/>
                    <w:rPr>
                      <w:color w:val="auto"/>
                      <w:lang w:val="en-US" w:eastAsia="zh-CN"/>
                    </w:rPr>
                  </w:pPr>
                  <w:r>
                    <w:rPr>
                      <w:color w:val="auto"/>
                      <w:lang w:val="en-US" w:eastAsia="zh-CN"/>
                    </w:rPr>
                    <w:t>保护级别</w:t>
                  </w:r>
                </w:p>
              </w:tc>
              <w:tc>
                <w:tcPr>
                  <w:tcW w:w="965" w:type="dxa"/>
                  <w:tcBorders>
                    <w:tl2br w:val="nil"/>
                    <w:tr2bl w:val="nil"/>
                  </w:tcBorders>
                  <w:noWrap w:val="0"/>
                  <w:vAlign w:val="center"/>
                </w:tcPr>
                <w:p w14:paraId="4DFDBD30">
                  <w:pPr>
                    <w:pStyle w:val="37"/>
                    <w:bidi w:val="0"/>
                    <w:rPr>
                      <w:rFonts w:hint="eastAsia"/>
                      <w:color w:val="auto"/>
                    </w:rPr>
                  </w:pPr>
                  <w:r>
                    <w:rPr>
                      <w:rFonts w:hint="eastAsia"/>
                      <w:color w:val="auto"/>
                    </w:rPr>
                    <w:t>保护</w:t>
                  </w:r>
                </w:p>
                <w:p w14:paraId="21D482E6">
                  <w:pPr>
                    <w:pStyle w:val="37"/>
                    <w:bidi w:val="0"/>
                    <w:rPr>
                      <w:color w:val="auto"/>
                      <w:lang w:val="en-US" w:eastAsia="zh-CN"/>
                    </w:rPr>
                  </w:pPr>
                  <w:r>
                    <w:rPr>
                      <w:rFonts w:hint="eastAsia"/>
                      <w:color w:val="auto"/>
                    </w:rPr>
                    <w:t>要求</w:t>
                  </w:r>
                </w:p>
              </w:tc>
            </w:tr>
            <w:tr w14:paraId="39FF13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887" w:hRule="atLeast"/>
                <w:jc w:val="center"/>
              </w:trPr>
              <w:tc>
                <w:tcPr>
                  <w:tcW w:w="704" w:type="dxa"/>
                  <w:vMerge w:val="restart"/>
                  <w:tcBorders>
                    <w:tl2br w:val="nil"/>
                    <w:tr2bl w:val="nil"/>
                  </w:tcBorders>
                  <w:noWrap w:val="0"/>
                  <w:vAlign w:val="center"/>
                </w:tcPr>
                <w:p w14:paraId="227FE057">
                  <w:pPr>
                    <w:pStyle w:val="37"/>
                    <w:bidi w:val="0"/>
                    <w:rPr>
                      <w:color w:val="auto"/>
                      <w:lang w:val="en-US" w:eastAsia="zh-CN"/>
                    </w:rPr>
                  </w:pPr>
                  <w:r>
                    <w:rPr>
                      <w:color w:val="auto"/>
                      <w:lang w:val="en-US" w:eastAsia="zh-CN"/>
                    </w:rPr>
                    <w:t>生态环境</w:t>
                  </w:r>
                </w:p>
              </w:tc>
              <w:tc>
                <w:tcPr>
                  <w:tcW w:w="1142" w:type="dxa"/>
                  <w:tcBorders>
                    <w:tl2br w:val="nil"/>
                    <w:tr2bl w:val="nil"/>
                  </w:tcBorders>
                  <w:noWrap w:val="0"/>
                  <w:vAlign w:val="center"/>
                </w:tcPr>
                <w:p w14:paraId="064993F3">
                  <w:pPr>
                    <w:pStyle w:val="37"/>
                    <w:bidi w:val="0"/>
                    <w:rPr>
                      <w:color w:val="auto"/>
                      <w:lang w:val="en-US" w:eastAsia="zh-CN"/>
                    </w:rPr>
                  </w:pPr>
                  <w:r>
                    <w:rPr>
                      <w:color w:val="auto"/>
                      <w:lang w:val="en-US" w:eastAsia="zh-CN"/>
                    </w:rPr>
                    <w:t>陆生植被植物</w:t>
                  </w:r>
                </w:p>
              </w:tc>
              <w:tc>
                <w:tcPr>
                  <w:tcW w:w="1215" w:type="dxa"/>
                  <w:tcBorders>
                    <w:tl2br w:val="nil"/>
                    <w:tr2bl w:val="nil"/>
                  </w:tcBorders>
                  <w:noWrap w:val="0"/>
                  <w:vAlign w:val="center"/>
                </w:tcPr>
                <w:p w14:paraId="0DE7FE21">
                  <w:pPr>
                    <w:pStyle w:val="37"/>
                    <w:bidi w:val="0"/>
                    <w:rPr>
                      <w:color w:val="auto"/>
                      <w:lang w:val="en-US" w:eastAsia="zh-CN"/>
                    </w:rPr>
                  </w:pPr>
                  <w:r>
                    <w:rPr>
                      <w:rFonts w:hint="eastAsia"/>
                      <w:color w:val="auto"/>
                      <w:lang w:val="en-US" w:eastAsia="zh-CN"/>
                    </w:rPr>
                    <w:t>/</w:t>
                  </w:r>
                </w:p>
              </w:tc>
              <w:tc>
                <w:tcPr>
                  <w:tcW w:w="1294" w:type="dxa"/>
                  <w:tcBorders>
                    <w:tl2br w:val="nil"/>
                    <w:tr2bl w:val="nil"/>
                  </w:tcBorders>
                  <w:noWrap w:val="0"/>
                  <w:vAlign w:val="center"/>
                </w:tcPr>
                <w:p w14:paraId="15AB266B">
                  <w:pPr>
                    <w:pStyle w:val="37"/>
                    <w:bidi w:val="0"/>
                    <w:rPr>
                      <w:color w:val="auto"/>
                      <w:lang w:val="en-US" w:eastAsia="zh-CN"/>
                    </w:rPr>
                  </w:pPr>
                  <w:r>
                    <w:rPr>
                      <w:rFonts w:hint="eastAsia"/>
                      <w:color w:val="auto"/>
                      <w:lang w:val="en-US" w:eastAsia="zh-CN"/>
                    </w:rPr>
                    <w:t>自然植被</w:t>
                  </w:r>
                </w:p>
              </w:tc>
              <w:tc>
                <w:tcPr>
                  <w:tcW w:w="1268" w:type="dxa"/>
                  <w:tcBorders>
                    <w:tl2br w:val="nil"/>
                    <w:tr2bl w:val="nil"/>
                  </w:tcBorders>
                  <w:noWrap w:val="0"/>
                  <w:vAlign w:val="center"/>
                </w:tcPr>
                <w:p w14:paraId="55DF7B23">
                  <w:pPr>
                    <w:pStyle w:val="37"/>
                    <w:bidi w:val="0"/>
                    <w:rPr>
                      <w:rFonts w:hint="default"/>
                      <w:color w:val="auto"/>
                      <w:lang w:val="en-US" w:eastAsia="zh-CN"/>
                    </w:rPr>
                  </w:pPr>
                  <w:r>
                    <w:rPr>
                      <w:rFonts w:hint="eastAsia"/>
                      <w:color w:val="auto"/>
                      <w:lang w:val="en-US" w:eastAsia="zh-CN"/>
                    </w:rPr>
                    <w:t>用地红线外扩3</w:t>
                  </w:r>
                  <w:r>
                    <w:rPr>
                      <w:color w:val="auto"/>
                      <w:lang w:val="en-US" w:eastAsia="zh-CN"/>
                    </w:rPr>
                    <w:t>00m</w:t>
                  </w:r>
                  <w:r>
                    <w:rPr>
                      <w:rFonts w:hint="eastAsia"/>
                      <w:color w:val="auto"/>
                      <w:lang w:val="en-US" w:eastAsia="zh-CN"/>
                    </w:rPr>
                    <w:t>的区域，临近生态保护红线外扩1000m区域。</w:t>
                  </w:r>
                </w:p>
              </w:tc>
              <w:tc>
                <w:tcPr>
                  <w:tcW w:w="1089" w:type="dxa"/>
                  <w:tcBorders>
                    <w:tl2br w:val="nil"/>
                    <w:tr2bl w:val="nil"/>
                  </w:tcBorders>
                  <w:noWrap w:val="0"/>
                  <w:vAlign w:val="center"/>
                </w:tcPr>
                <w:p w14:paraId="20E3F3B9">
                  <w:pPr>
                    <w:pStyle w:val="37"/>
                    <w:bidi w:val="0"/>
                    <w:rPr>
                      <w:color w:val="auto"/>
                      <w:lang w:val="en-US" w:eastAsia="zh-CN"/>
                    </w:rPr>
                  </w:pPr>
                  <w:r>
                    <w:rPr>
                      <w:color w:val="auto"/>
                      <w:lang w:val="en-US" w:eastAsia="zh-CN"/>
                    </w:rPr>
                    <w:t>/</w:t>
                  </w:r>
                </w:p>
              </w:tc>
              <w:tc>
                <w:tcPr>
                  <w:tcW w:w="965" w:type="dxa"/>
                  <w:tcBorders>
                    <w:tl2br w:val="nil"/>
                    <w:tr2bl w:val="nil"/>
                  </w:tcBorders>
                  <w:noWrap w:val="0"/>
                  <w:vAlign w:val="center"/>
                </w:tcPr>
                <w:p w14:paraId="110B711F">
                  <w:pPr>
                    <w:pStyle w:val="37"/>
                    <w:bidi w:val="0"/>
                    <w:rPr>
                      <w:color w:val="auto"/>
                      <w:lang w:val="en-US" w:eastAsia="zh-CN"/>
                    </w:rPr>
                  </w:pPr>
                  <w:r>
                    <w:rPr>
                      <w:rFonts w:hint="eastAsia"/>
                      <w:color w:val="auto"/>
                      <w:lang w:val="en-US" w:eastAsia="zh-CN"/>
                    </w:rPr>
                    <w:t>影响小</w:t>
                  </w:r>
                </w:p>
              </w:tc>
            </w:tr>
            <w:tr w14:paraId="7FD293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1182" w:hRule="atLeast"/>
                <w:jc w:val="center"/>
              </w:trPr>
              <w:tc>
                <w:tcPr>
                  <w:tcW w:w="704" w:type="dxa"/>
                  <w:vMerge w:val="continue"/>
                  <w:tcBorders>
                    <w:tl2br w:val="nil"/>
                    <w:tr2bl w:val="nil"/>
                  </w:tcBorders>
                  <w:noWrap w:val="0"/>
                  <w:vAlign w:val="center"/>
                </w:tcPr>
                <w:p w14:paraId="242FB40A">
                  <w:pPr>
                    <w:bidi w:val="0"/>
                    <w:rPr>
                      <w:color w:val="auto"/>
                      <w:lang w:val="en-US" w:eastAsia="zh-CN"/>
                    </w:rPr>
                  </w:pPr>
                </w:p>
              </w:tc>
              <w:tc>
                <w:tcPr>
                  <w:tcW w:w="1142" w:type="dxa"/>
                  <w:tcBorders>
                    <w:tl2br w:val="nil"/>
                    <w:tr2bl w:val="nil"/>
                  </w:tcBorders>
                  <w:noWrap w:val="0"/>
                  <w:vAlign w:val="center"/>
                </w:tcPr>
                <w:p w14:paraId="293EE78F">
                  <w:pPr>
                    <w:pStyle w:val="37"/>
                    <w:bidi w:val="0"/>
                    <w:rPr>
                      <w:color w:val="auto"/>
                      <w:lang w:val="en-US" w:eastAsia="zh-CN"/>
                    </w:rPr>
                  </w:pPr>
                  <w:r>
                    <w:rPr>
                      <w:color w:val="auto"/>
                      <w:lang w:val="en-US" w:eastAsia="zh-CN"/>
                    </w:rPr>
                    <w:t>陆生脊椎动物</w:t>
                  </w:r>
                </w:p>
              </w:tc>
              <w:tc>
                <w:tcPr>
                  <w:tcW w:w="1215" w:type="dxa"/>
                  <w:tcBorders>
                    <w:tl2br w:val="nil"/>
                    <w:tr2bl w:val="nil"/>
                  </w:tcBorders>
                  <w:noWrap w:val="0"/>
                  <w:vAlign w:val="center"/>
                </w:tcPr>
                <w:p w14:paraId="190C28B4">
                  <w:pPr>
                    <w:pStyle w:val="37"/>
                    <w:bidi w:val="0"/>
                    <w:rPr>
                      <w:rFonts w:hint="eastAsia"/>
                      <w:color w:val="auto"/>
                      <w:lang w:val="en-US" w:eastAsia="zh-CN"/>
                    </w:rPr>
                  </w:pPr>
                  <w:r>
                    <w:rPr>
                      <w:rFonts w:hint="eastAsia"/>
                      <w:color w:val="auto"/>
                      <w:lang w:val="en-US" w:eastAsia="zh-CN"/>
                    </w:rPr>
                    <w:t>/</w:t>
                  </w:r>
                </w:p>
              </w:tc>
              <w:tc>
                <w:tcPr>
                  <w:tcW w:w="1294" w:type="dxa"/>
                  <w:tcBorders>
                    <w:tl2br w:val="nil"/>
                    <w:tr2bl w:val="nil"/>
                  </w:tcBorders>
                  <w:noWrap w:val="0"/>
                  <w:vAlign w:val="center"/>
                </w:tcPr>
                <w:p w14:paraId="3873ECEC">
                  <w:pPr>
                    <w:pStyle w:val="37"/>
                    <w:bidi w:val="0"/>
                    <w:rPr>
                      <w:rFonts w:hint="eastAsia"/>
                      <w:color w:val="auto"/>
                      <w:lang w:val="en-US" w:eastAsia="zh-CN"/>
                    </w:rPr>
                  </w:pPr>
                  <w:r>
                    <w:rPr>
                      <w:rFonts w:hint="default"/>
                      <w:color w:val="auto"/>
                      <w:lang w:val="en-US" w:eastAsia="zh-CN"/>
                    </w:rPr>
                    <w:t>两栖类、爬行类</w:t>
                  </w:r>
                  <w:r>
                    <w:rPr>
                      <w:rFonts w:hint="eastAsia"/>
                      <w:color w:val="auto"/>
                      <w:lang w:val="en-US" w:eastAsia="zh-CN"/>
                    </w:rPr>
                    <w:t>、</w:t>
                  </w:r>
                  <w:r>
                    <w:rPr>
                      <w:rFonts w:hint="default"/>
                      <w:color w:val="auto"/>
                      <w:lang w:val="en-US" w:eastAsia="zh-CN"/>
                    </w:rPr>
                    <w:t>鸟类、哺乳</w:t>
                  </w:r>
                  <w:r>
                    <w:rPr>
                      <w:rFonts w:hint="eastAsia"/>
                      <w:color w:val="auto"/>
                      <w:lang w:val="en-US" w:eastAsia="zh-CN"/>
                    </w:rPr>
                    <w:t>类等</w:t>
                  </w:r>
                  <w:r>
                    <w:rPr>
                      <w:rFonts w:hint="default"/>
                      <w:color w:val="auto"/>
                      <w:lang w:val="en-US" w:eastAsia="zh-CN"/>
                    </w:rPr>
                    <w:t>野生动物。</w:t>
                  </w:r>
                </w:p>
              </w:tc>
              <w:tc>
                <w:tcPr>
                  <w:tcW w:w="1268" w:type="dxa"/>
                  <w:tcBorders>
                    <w:tl2br w:val="nil"/>
                    <w:tr2bl w:val="nil"/>
                  </w:tcBorders>
                  <w:noWrap w:val="0"/>
                  <w:vAlign w:val="center"/>
                </w:tcPr>
                <w:p w14:paraId="40818417">
                  <w:pPr>
                    <w:pStyle w:val="37"/>
                    <w:bidi w:val="0"/>
                    <w:rPr>
                      <w:color w:val="auto"/>
                      <w:lang w:val="en-US" w:eastAsia="zh-CN"/>
                    </w:rPr>
                  </w:pPr>
                  <w:r>
                    <w:rPr>
                      <w:color w:val="auto"/>
                      <w:lang w:val="en-US" w:eastAsia="zh-CN"/>
                    </w:rPr>
                    <w:t>项目占地范围及周边</w:t>
                  </w:r>
                </w:p>
              </w:tc>
              <w:tc>
                <w:tcPr>
                  <w:tcW w:w="1089" w:type="dxa"/>
                  <w:tcBorders>
                    <w:tl2br w:val="nil"/>
                    <w:tr2bl w:val="nil"/>
                  </w:tcBorders>
                  <w:noWrap w:val="0"/>
                  <w:vAlign w:val="center"/>
                </w:tcPr>
                <w:p w14:paraId="3DC5180D">
                  <w:pPr>
                    <w:pStyle w:val="37"/>
                    <w:bidi w:val="0"/>
                    <w:rPr>
                      <w:rFonts w:hint="eastAsia"/>
                      <w:color w:val="auto"/>
                      <w:lang w:val="en-US" w:eastAsia="zh-CN"/>
                    </w:rPr>
                  </w:pPr>
                  <w:r>
                    <w:rPr>
                      <w:rFonts w:hint="eastAsia"/>
                      <w:color w:val="auto"/>
                      <w:lang w:val="en-US" w:eastAsia="zh-CN"/>
                    </w:rPr>
                    <w:t>/</w:t>
                  </w:r>
                </w:p>
              </w:tc>
              <w:tc>
                <w:tcPr>
                  <w:tcW w:w="965" w:type="dxa"/>
                  <w:tcBorders>
                    <w:tl2br w:val="nil"/>
                    <w:tr2bl w:val="nil"/>
                  </w:tcBorders>
                  <w:noWrap w:val="0"/>
                  <w:vAlign w:val="center"/>
                </w:tcPr>
                <w:p w14:paraId="585DA328">
                  <w:pPr>
                    <w:pStyle w:val="37"/>
                    <w:bidi w:val="0"/>
                    <w:rPr>
                      <w:rFonts w:hint="eastAsia"/>
                      <w:color w:val="auto"/>
                      <w:lang w:val="en-US" w:eastAsia="zh-CN"/>
                    </w:rPr>
                  </w:pPr>
                  <w:r>
                    <w:rPr>
                      <w:rFonts w:hint="eastAsia"/>
                      <w:color w:val="auto"/>
                      <w:lang w:val="en-US" w:eastAsia="zh-CN"/>
                    </w:rPr>
                    <w:t>影响小</w:t>
                  </w:r>
                </w:p>
              </w:tc>
            </w:tr>
            <w:tr w14:paraId="17E9107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1182" w:hRule="atLeast"/>
                <w:jc w:val="center"/>
              </w:trPr>
              <w:tc>
                <w:tcPr>
                  <w:tcW w:w="704" w:type="dxa"/>
                  <w:vMerge w:val="continue"/>
                  <w:tcBorders>
                    <w:tl2br w:val="nil"/>
                    <w:tr2bl w:val="nil"/>
                  </w:tcBorders>
                  <w:noWrap w:val="0"/>
                  <w:vAlign w:val="center"/>
                </w:tcPr>
                <w:p w14:paraId="329DAD7B">
                  <w:pPr>
                    <w:bidi w:val="0"/>
                    <w:rPr>
                      <w:color w:val="auto"/>
                      <w:lang w:val="en-US" w:eastAsia="zh-CN"/>
                    </w:rPr>
                  </w:pPr>
                </w:p>
              </w:tc>
              <w:tc>
                <w:tcPr>
                  <w:tcW w:w="1142" w:type="dxa"/>
                  <w:tcBorders>
                    <w:tl2br w:val="nil"/>
                    <w:tr2bl w:val="nil"/>
                  </w:tcBorders>
                  <w:noWrap w:val="0"/>
                  <w:vAlign w:val="center"/>
                </w:tcPr>
                <w:p w14:paraId="73296E68">
                  <w:pPr>
                    <w:pStyle w:val="37"/>
                    <w:bidi w:val="0"/>
                    <w:rPr>
                      <w:rFonts w:hint="default"/>
                      <w:color w:val="auto"/>
                      <w:lang w:val="en-US" w:eastAsia="zh-CN"/>
                    </w:rPr>
                  </w:pPr>
                  <w:r>
                    <w:rPr>
                      <w:rFonts w:hint="eastAsia"/>
                      <w:color w:val="auto"/>
                      <w:lang w:val="en-US" w:eastAsia="zh-CN"/>
                    </w:rPr>
                    <w:t>生态敏感区</w:t>
                  </w:r>
                </w:p>
              </w:tc>
              <w:tc>
                <w:tcPr>
                  <w:tcW w:w="1215" w:type="dxa"/>
                  <w:tcBorders>
                    <w:tl2br w:val="nil"/>
                    <w:tr2bl w:val="nil"/>
                  </w:tcBorders>
                  <w:noWrap w:val="0"/>
                  <w:vAlign w:val="center"/>
                </w:tcPr>
                <w:p w14:paraId="79836BA0">
                  <w:pPr>
                    <w:pStyle w:val="37"/>
                    <w:bidi w:val="0"/>
                    <w:rPr>
                      <w:rFonts w:hint="default"/>
                      <w:color w:val="auto"/>
                      <w:lang w:val="en-US" w:eastAsia="zh-CN"/>
                    </w:rPr>
                  </w:pPr>
                  <w:r>
                    <w:rPr>
                      <w:rFonts w:hint="eastAsia"/>
                      <w:color w:val="auto"/>
                      <w:lang w:val="en-US" w:eastAsia="zh-CN"/>
                    </w:rPr>
                    <w:t>/</w:t>
                  </w:r>
                </w:p>
              </w:tc>
              <w:tc>
                <w:tcPr>
                  <w:tcW w:w="1294" w:type="dxa"/>
                  <w:tcBorders>
                    <w:tl2br w:val="nil"/>
                    <w:tr2bl w:val="nil"/>
                  </w:tcBorders>
                  <w:noWrap w:val="0"/>
                  <w:vAlign w:val="center"/>
                </w:tcPr>
                <w:p w14:paraId="37BC5B2F">
                  <w:pPr>
                    <w:pStyle w:val="37"/>
                    <w:bidi w:val="0"/>
                    <w:jc w:val="both"/>
                    <w:rPr>
                      <w:rFonts w:hint="default"/>
                      <w:color w:val="auto"/>
                      <w:lang w:val="en-US" w:eastAsia="zh-CN"/>
                    </w:rPr>
                  </w:pPr>
                  <w:r>
                    <w:rPr>
                      <w:rFonts w:hint="eastAsia"/>
                      <w:color w:val="auto"/>
                      <w:lang w:val="en-US" w:eastAsia="zh-CN"/>
                    </w:rPr>
                    <w:t>评价范围内涉及生态保护红线、天然林和公益林</w:t>
                  </w:r>
                </w:p>
              </w:tc>
              <w:tc>
                <w:tcPr>
                  <w:tcW w:w="1268" w:type="dxa"/>
                  <w:tcBorders>
                    <w:tl2br w:val="nil"/>
                    <w:tr2bl w:val="nil"/>
                  </w:tcBorders>
                  <w:noWrap w:val="0"/>
                  <w:vAlign w:val="center"/>
                </w:tcPr>
                <w:p w14:paraId="1165B042">
                  <w:pPr>
                    <w:pStyle w:val="37"/>
                    <w:bidi w:val="0"/>
                    <w:rPr>
                      <w:color w:val="auto"/>
                      <w:lang w:val="en-US" w:eastAsia="zh-CN"/>
                    </w:rPr>
                  </w:pPr>
                  <w:r>
                    <w:rPr>
                      <w:rFonts w:hint="eastAsia"/>
                      <w:color w:val="auto"/>
                      <w:lang w:val="en-US" w:eastAsia="zh-CN"/>
                    </w:rPr>
                    <w:t>用地红线外扩3</w:t>
                  </w:r>
                  <w:r>
                    <w:rPr>
                      <w:color w:val="auto"/>
                      <w:lang w:val="en-US" w:eastAsia="zh-CN"/>
                    </w:rPr>
                    <w:t>00m</w:t>
                  </w:r>
                  <w:r>
                    <w:rPr>
                      <w:rFonts w:hint="eastAsia"/>
                      <w:color w:val="auto"/>
                      <w:lang w:val="en-US" w:eastAsia="zh-CN"/>
                    </w:rPr>
                    <w:t>的区域，临近生态保护红线外扩1000m区域。</w:t>
                  </w:r>
                </w:p>
              </w:tc>
              <w:tc>
                <w:tcPr>
                  <w:tcW w:w="1089" w:type="dxa"/>
                  <w:tcBorders>
                    <w:tl2br w:val="nil"/>
                    <w:tr2bl w:val="nil"/>
                  </w:tcBorders>
                  <w:noWrap w:val="0"/>
                  <w:vAlign w:val="center"/>
                </w:tcPr>
                <w:p w14:paraId="750E9637">
                  <w:pPr>
                    <w:pStyle w:val="37"/>
                    <w:bidi w:val="0"/>
                    <w:rPr>
                      <w:rFonts w:hint="eastAsia"/>
                      <w:color w:val="auto"/>
                      <w:lang w:val="en-US" w:eastAsia="zh-CN"/>
                    </w:rPr>
                  </w:pPr>
                  <w:r>
                    <w:rPr>
                      <w:rFonts w:hint="eastAsia"/>
                      <w:color w:val="auto"/>
                      <w:lang w:val="en-US" w:eastAsia="zh-CN"/>
                    </w:rPr>
                    <w:t>/</w:t>
                  </w:r>
                </w:p>
              </w:tc>
              <w:tc>
                <w:tcPr>
                  <w:tcW w:w="965" w:type="dxa"/>
                  <w:tcBorders>
                    <w:tl2br w:val="nil"/>
                    <w:tr2bl w:val="nil"/>
                  </w:tcBorders>
                  <w:noWrap w:val="0"/>
                  <w:vAlign w:val="center"/>
                </w:tcPr>
                <w:p w14:paraId="089B894C">
                  <w:pPr>
                    <w:pStyle w:val="37"/>
                    <w:bidi w:val="0"/>
                    <w:rPr>
                      <w:rFonts w:hint="eastAsia"/>
                      <w:color w:val="auto"/>
                      <w:lang w:val="en-US" w:eastAsia="zh-CN"/>
                    </w:rPr>
                  </w:pPr>
                  <w:r>
                    <w:rPr>
                      <w:rFonts w:hint="eastAsia"/>
                      <w:color w:val="auto"/>
                      <w:lang w:val="en-US" w:eastAsia="zh-CN"/>
                    </w:rPr>
                    <w:t>影响小</w:t>
                  </w:r>
                </w:p>
              </w:tc>
            </w:tr>
            <w:tr w14:paraId="4A7AD3E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57" w:type="dxa"/>
                  <w:bottom w:w="0" w:type="dxa"/>
                  <w:right w:w="57" w:type="dxa"/>
                </w:tblCellMar>
              </w:tblPrEx>
              <w:trPr>
                <w:cantSplit/>
                <w:trHeight w:val="1182" w:hRule="atLeast"/>
                <w:jc w:val="center"/>
              </w:trPr>
              <w:tc>
                <w:tcPr>
                  <w:tcW w:w="704" w:type="dxa"/>
                  <w:vMerge w:val="continue"/>
                  <w:tcBorders>
                    <w:tl2br w:val="nil"/>
                    <w:tr2bl w:val="nil"/>
                  </w:tcBorders>
                  <w:noWrap w:val="0"/>
                  <w:vAlign w:val="center"/>
                </w:tcPr>
                <w:p w14:paraId="1625BA33">
                  <w:pPr>
                    <w:bidi w:val="0"/>
                    <w:rPr>
                      <w:color w:val="auto"/>
                      <w:lang w:val="en-US" w:eastAsia="zh-CN"/>
                    </w:rPr>
                  </w:pPr>
                </w:p>
              </w:tc>
              <w:tc>
                <w:tcPr>
                  <w:tcW w:w="1142" w:type="dxa"/>
                  <w:tcBorders>
                    <w:tl2br w:val="nil"/>
                    <w:tr2bl w:val="nil"/>
                  </w:tcBorders>
                  <w:noWrap w:val="0"/>
                  <w:vAlign w:val="center"/>
                </w:tcPr>
                <w:p w14:paraId="759B7A81">
                  <w:pPr>
                    <w:pStyle w:val="37"/>
                    <w:bidi w:val="0"/>
                    <w:rPr>
                      <w:rFonts w:hint="default"/>
                      <w:color w:val="auto"/>
                      <w:lang w:val="en-US" w:eastAsia="zh-CN"/>
                    </w:rPr>
                  </w:pPr>
                  <w:r>
                    <w:rPr>
                      <w:rFonts w:hint="eastAsia"/>
                      <w:color w:val="auto"/>
                      <w:lang w:val="en-US" w:eastAsia="zh-CN"/>
                    </w:rPr>
                    <w:t>重要物种</w:t>
                  </w:r>
                </w:p>
              </w:tc>
              <w:tc>
                <w:tcPr>
                  <w:tcW w:w="1215" w:type="dxa"/>
                  <w:tcBorders>
                    <w:tl2br w:val="nil"/>
                    <w:tr2bl w:val="nil"/>
                  </w:tcBorders>
                  <w:noWrap w:val="0"/>
                  <w:vAlign w:val="center"/>
                </w:tcPr>
                <w:p w14:paraId="100EC491">
                  <w:pPr>
                    <w:pStyle w:val="37"/>
                    <w:bidi w:val="0"/>
                    <w:rPr>
                      <w:rFonts w:hint="eastAsia"/>
                      <w:color w:val="auto"/>
                      <w:lang w:val="en-US" w:eastAsia="zh-CN"/>
                    </w:rPr>
                  </w:pPr>
                  <w:r>
                    <w:rPr>
                      <w:rFonts w:hint="eastAsia"/>
                      <w:color w:val="auto"/>
                      <w:lang w:val="en-US" w:eastAsia="zh-CN"/>
                    </w:rPr>
                    <w:t>/</w:t>
                  </w:r>
                </w:p>
              </w:tc>
              <w:tc>
                <w:tcPr>
                  <w:tcW w:w="1294" w:type="dxa"/>
                  <w:tcBorders>
                    <w:tl2br w:val="nil"/>
                    <w:tr2bl w:val="nil"/>
                  </w:tcBorders>
                  <w:noWrap w:val="0"/>
                  <w:vAlign w:val="center"/>
                </w:tcPr>
                <w:p w14:paraId="40AD961A">
                  <w:pPr>
                    <w:pStyle w:val="37"/>
                    <w:bidi w:val="0"/>
                    <w:rPr>
                      <w:rFonts w:hint="default"/>
                      <w:color w:val="auto"/>
                      <w:lang w:val="en-US" w:eastAsia="zh-CN"/>
                    </w:rPr>
                  </w:pPr>
                  <w:r>
                    <w:rPr>
                      <w:rFonts w:hint="eastAsia"/>
                      <w:color w:val="auto"/>
                      <w:lang w:val="en-US" w:eastAsia="zh-CN"/>
                    </w:rPr>
                    <w:t>白腹锦鸡、斑头鸺鹠、领角鸮、凤头鹰、白尾鹞、普通鵟、红隼、游隼、红嘴相思鸟、白领凤鹛、豹猫、</w:t>
                  </w:r>
                  <w:r>
                    <w:rPr>
                      <w:color w:val="auto"/>
                    </w:rPr>
                    <w:t>侧纹岩松鼠</w:t>
                  </w:r>
                </w:p>
              </w:tc>
              <w:tc>
                <w:tcPr>
                  <w:tcW w:w="1268" w:type="dxa"/>
                  <w:tcBorders>
                    <w:tl2br w:val="nil"/>
                    <w:tr2bl w:val="nil"/>
                  </w:tcBorders>
                  <w:noWrap w:val="0"/>
                  <w:vAlign w:val="center"/>
                </w:tcPr>
                <w:p w14:paraId="5F5D74CE">
                  <w:pPr>
                    <w:pStyle w:val="37"/>
                    <w:bidi w:val="0"/>
                    <w:rPr>
                      <w:rFonts w:hint="eastAsia"/>
                      <w:color w:val="auto"/>
                      <w:lang w:val="en-US" w:eastAsia="zh-CN"/>
                    </w:rPr>
                  </w:pPr>
                  <w:r>
                    <w:rPr>
                      <w:color w:val="auto"/>
                      <w:lang w:val="en-US" w:eastAsia="zh-CN"/>
                    </w:rPr>
                    <w:t>项目占地范围及周边</w:t>
                  </w:r>
                </w:p>
              </w:tc>
              <w:tc>
                <w:tcPr>
                  <w:tcW w:w="1089" w:type="dxa"/>
                  <w:tcBorders>
                    <w:tl2br w:val="nil"/>
                    <w:tr2bl w:val="nil"/>
                  </w:tcBorders>
                  <w:noWrap w:val="0"/>
                  <w:vAlign w:val="center"/>
                </w:tcPr>
                <w:p w14:paraId="14D78BA6">
                  <w:pPr>
                    <w:pStyle w:val="37"/>
                    <w:bidi w:val="0"/>
                    <w:rPr>
                      <w:rFonts w:hint="eastAsia"/>
                      <w:color w:val="auto"/>
                      <w:lang w:val="en-US" w:eastAsia="zh-CN"/>
                    </w:rPr>
                  </w:pPr>
                  <w:r>
                    <w:rPr>
                      <w:rFonts w:hint="eastAsia"/>
                      <w:color w:val="auto"/>
                      <w:lang w:val="en-US" w:eastAsia="zh-CN"/>
                    </w:rPr>
                    <w:t>/</w:t>
                  </w:r>
                </w:p>
              </w:tc>
              <w:tc>
                <w:tcPr>
                  <w:tcW w:w="965" w:type="dxa"/>
                  <w:tcBorders>
                    <w:tl2br w:val="nil"/>
                    <w:tr2bl w:val="nil"/>
                  </w:tcBorders>
                  <w:noWrap w:val="0"/>
                  <w:vAlign w:val="center"/>
                </w:tcPr>
                <w:p w14:paraId="33F7E0AE">
                  <w:pPr>
                    <w:pStyle w:val="37"/>
                    <w:bidi w:val="0"/>
                    <w:rPr>
                      <w:rFonts w:hint="eastAsia"/>
                      <w:color w:val="auto"/>
                      <w:lang w:val="en-US" w:eastAsia="zh-CN"/>
                    </w:rPr>
                  </w:pPr>
                  <w:r>
                    <w:rPr>
                      <w:rFonts w:hint="eastAsia"/>
                      <w:color w:val="auto"/>
                      <w:lang w:val="en-US" w:eastAsia="zh-CN"/>
                    </w:rPr>
                    <w:t>影响小</w:t>
                  </w:r>
                </w:p>
              </w:tc>
            </w:tr>
          </w:tbl>
          <w:p w14:paraId="1BA29794">
            <w:pPr>
              <w:pageBreakBefore w:val="0"/>
              <w:kinsoku/>
              <w:wordWrap/>
              <w:overflowPunct/>
              <w:bidi w:val="0"/>
              <w:adjustRightInd w:val="0"/>
              <w:snapToGrid w:val="0"/>
              <w:spacing w:line="360" w:lineRule="auto"/>
              <w:rPr>
                <w:rFonts w:ascii="Times New Roman" w:hAnsi="Times New Roman" w:eastAsia="宋体"/>
                <w:b/>
                <w:color w:val="auto"/>
                <w:sz w:val="24"/>
              </w:rPr>
            </w:pPr>
            <w:r>
              <w:rPr>
                <w:rFonts w:hint="eastAsia"/>
                <w:b/>
                <w:color w:val="auto"/>
                <w:sz w:val="24"/>
                <w:lang w:val="en-US" w:eastAsia="zh-CN"/>
              </w:rPr>
              <w:t>2.2</w:t>
            </w:r>
            <w:r>
              <w:rPr>
                <w:rFonts w:ascii="Times New Roman" w:hAnsi="Times New Roman" w:eastAsia="宋体"/>
                <w:b/>
                <w:color w:val="auto"/>
                <w:sz w:val="24"/>
              </w:rPr>
              <w:t>地表水环境保护目标</w:t>
            </w:r>
          </w:p>
          <w:p w14:paraId="792D3236">
            <w:pPr>
              <w:bidi w:val="0"/>
              <w:rPr>
                <w:rFonts w:hint="default"/>
                <w:color w:val="auto"/>
                <w:lang w:val="en-US" w:eastAsia="zh-CN"/>
              </w:rPr>
            </w:pPr>
            <w:r>
              <w:rPr>
                <w:color w:val="auto"/>
              </w:rPr>
              <w:t>项目</w:t>
            </w:r>
            <w:r>
              <w:rPr>
                <w:rFonts w:hint="eastAsia"/>
                <w:color w:val="auto"/>
                <w:lang w:val="en-US" w:eastAsia="zh-CN"/>
              </w:rPr>
              <w:t>XZB16风机平台</w:t>
            </w:r>
            <w:r>
              <w:rPr>
                <w:color w:val="auto"/>
              </w:rPr>
              <w:t>周边</w:t>
            </w:r>
            <w:r>
              <w:rPr>
                <w:rFonts w:hint="eastAsia"/>
                <w:color w:val="auto"/>
                <w:lang w:val="en-US" w:eastAsia="zh-CN"/>
              </w:rPr>
              <w:t>有1座水库——双菱角水库，距XZB16风机平台最近距离约为275m，XZB16风机平台位于该水库径流范围内。项目依托的西泽风电场升压站周边有一条河流，为绿水河，绿水河与升压站的最近距离约为420m，项目升压站位于该河流的汇水范围内。</w:t>
            </w:r>
          </w:p>
          <w:p w14:paraId="5FA91C09">
            <w:pPr>
              <w:bidi w:val="0"/>
              <w:rPr>
                <w:rFonts w:hint="eastAsia"/>
                <w:color w:val="auto"/>
                <w:lang w:val="en-US" w:eastAsia="zh-CN"/>
              </w:rPr>
            </w:pPr>
            <w:r>
              <w:rPr>
                <w:rFonts w:hint="eastAsia"/>
                <w:color w:val="auto"/>
                <w:lang w:val="en-US" w:eastAsia="zh-CN"/>
              </w:rPr>
              <w:t>项目地表水环境保护目标为双菱角水库和绿水河。双菱角水库发源于项目南侧的大尖山，属于牛栏江流域；绿水河位于牛栏江德泽水库汇流区，发源于热水镇小龙潭山。根据《云南省水功能区划》（2014 年5月），本项目属牛栏江-滇池补水水源保护区，2030年水质目标为Ⅲ类。双菱角水库和绿水参照执行《地表水环境质量标准》（GB3838-2002）Ⅲ类标准。</w:t>
            </w:r>
          </w:p>
          <w:p w14:paraId="5630576B">
            <w:pPr>
              <w:bidi w:val="0"/>
              <w:rPr>
                <w:rFonts w:hint="default"/>
                <w:color w:val="auto"/>
                <w:lang w:val="en-US" w:eastAsia="zh-CN"/>
              </w:rPr>
            </w:pPr>
          </w:p>
          <w:p w14:paraId="011FE99A">
            <w:pPr>
              <w:bidi w:val="0"/>
              <w:rPr>
                <w:rFonts w:hint="default"/>
                <w:color w:val="auto"/>
                <w:lang w:val="en-US" w:eastAsia="zh-CN"/>
              </w:rPr>
            </w:pPr>
          </w:p>
          <w:p w14:paraId="670E7F8A">
            <w:pPr>
              <w:pageBreakBefore w:val="0"/>
              <w:kinsoku/>
              <w:wordWrap/>
              <w:overflowPunct/>
              <w:bidi w:val="0"/>
              <w:adjustRightInd w:val="0"/>
              <w:snapToGrid w:val="0"/>
              <w:spacing w:line="360" w:lineRule="auto"/>
              <w:rPr>
                <w:rFonts w:ascii="Times New Roman" w:hAnsi="Times New Roman" w:eastAsia="宋体"/>
                <w:b/>
                <w:color w:val="auto"/>
                <w:sz w:val="24"/>
              </w:rPr>
            </w:pPr>
            <w:r>
              <w:rPr>
                <w:rFonts w:hint="eastAsia"/>
                <w:b/>
                <w:color w:val="auto"/>
                <w:sz w:val="24"/>
                <w:lang w:val="en-US" w:eastAsia="zh-CN"/>
              </w:rPr>
              <w:t>2.3大气</w:t>
            </w:r>
            <w:r>
              <w:rPr>
                <w:rFonts w:ascii="Times New Roman" w:hAnsi="Times New Roman" w:eastAsia="宋体"/>
                <w:b/>
                <w:color w:val="auto"/>
                <w:sz w:val="24"/>
              </w:rPr>
              <w:t>环境保护目标</w:t>
            </w:r>
          </w:p>
          <w:p w14:paraId="2D25D45F">
            <w:pPr>
              <w:bidi w:val="0"/>
              <w:rPr>
                <w:color w:val="auto"/>
              </w:rPr>
            </w:pPr>
            <w:r>
              <w:rPr>
                <w:color w:val="auto"/>
              </w:rPr>
              <w:t>项目周边</w:t>
            </w:r>
            <w:r>
              <w:rPr>
                <w:rFonts w:hint="eastAsia"/>
                <w:color w:val="auto"/>
                <w:lang w:val="en-US" w:eastAsia="zh-CN"/>
              </w:rPr>
              <w:t>200m范围内无大气环境保护目标。</w:t>
            </w:r>
          </w:p>
          <w:p w14:paraId="5A5B38C7">
            <w:pPr>
              <w:bidi w:val="0"/>
              <w:rPr>
                <w:b/>
                <w:bCs/>
                <w:color w:val="auto"/>
              </w:rPr>
            </w:pPr>
            <w:r>
              <w:rPr>
                <w:rFonts w:hint="eastAsia"/>
                <w:b/>
                <w:bCs/>
                <w:color w:val="auto"/>
                <w:lang w:val="en-US" w:eastAsia="zh-CN"/>
              </w:rPr>
              <w:t>2.4</w:t>
            </w:r>
            <w:r>
              <w:rPr>
                <w:b/>
                <w:bCs/>
                <w:color w:val="auto"/>
              </w:rPr>
              <w:t>声环境保护目标</w:t>
            </w:r>
          </w:p>
          <w:p w14:paraId="09E19652">
            <w:pPr>
              <w:bidi w:val="0"/>
              <w:rPr>
                <w:rFonts w:hint="default"/>
                <w:color w:val="auto"/>
                <w:lang w:val="en-US" w:eastAsia="zh-CN"/>
              </w:rPr>
            </w:pPr>
            <w:r>
              <w:rPr>
                <w:rFonts w:hint="eastAsia"/>
                <w:color w:val="auto"/>
                <w:lang w:val="en-US" w:eastAsia="zh-CN"/>
              </w:rPr>
              <w:t>项目500m评价范围内无声环境保护目标，为评估项目建设对周边环境的影响，设置与风机距离最近的村庄叠水箐村为声环境关心点，该关心点的基本情况如下表。</w:t>
            </w:r>
          </w:p>
          <w:p w14:paraId="2CC5AB74">
            <w:pPr>
              <w:pStyle w:val="27"/>
              <w:bidi w:val="0"/>
              <w:rPr>
                <w:rFonts w:hint="eastAsia"/>
                <w:color w:val="auto"/>
                <w:lang w:val="en-US" w:eastAsia="zh-CN"/>
              </w:rPr>
            </w:pPr>
            <w:r>
              <w:rPr>
                <w:rFonts w:hint="default"/>
                <w:color w:val="auto"/>
              </w:rPr>
              <w:t>表3-</w:t>
            </w:r>
            <w:r>
              <w:rPr>
                <w:rFonts w:hint="eastAsia"/>
                <w:color w:val="auto"/>
                <w:lang w:val="en-US" w:eastAsia="zh-CN"/>
              </w:rPr>
              <w:t>7  声</w:t>
            </w:r>
            <w:r>
              <w:rPr>
                <w:rFonts w:hint="default"/>
                <w:color w:val="auto"/>
              </w:rPr>
              <w:t>环境</w:t>
            </w:r>
            <w:r>
              <w:rPr>
                <w:rFonts w:hint="eastAsia"/>
                <w:color w:val="auto"/>
                <w:lang w:val="en-US" w:eastAsia="zh-CN"/>
              </w:rPr>
              <w:t>关心点</w:t>
            </w:r>
            <w:r>
              <w:rPr>
                <w:rFonts w:hint="default"/>
                <w:color w:val="auto"/>
              </w:rPr>
              <w:t>一览表</w:t>
            </w:r>
          </w:p>
          <w:tbl>
            <w:tblPr>
              <w:tblStyle w:val="20"/>
              <w:tblW w:w="7861" w:type="dxa"/>
              <w:tblInd w:w="-127"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417"/>
              <w:gridCol w:w="1603"/>
              <w:gridCol w:w="1524"/>
              <w:gridCol w:w="678"/>
              <w:gridCol w:w="823"/>
              <w:gridCol w:w="418"/>
              <w:gridCol w:w="621"/>
              <w:gridCol w:w="1779"/>
            </w:tblGrid>
            <w:tr w14:paraId="1EDA01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20" w:type="dxa"/>
                  <w:vMerge w:val="restart"/>
                  <w:tcBorders>
                    <w:tl2br w:val="nil"/>
                    <w:tr2bl w:val="nil"/>
                  </w:tcBorders>
                  <w:shd w:val="clear" w:color="auto" w:fill="auto"/>
                  <w:vAlign w:val="center"/>
                </w:tcPr>
                <w:p w14:paraId="1AF30E36">
                  <w:pPr>
                    <w:pStyle w:val="37"/>
                    <w:bidi w:val="0"/>
                    <w:rPr>
                      <w:rFonts w:hint="eastAsia"/>
                      <w:color w:val="auto"/>
                      <w:sz w:val="21"/>
                      <w:szCs w:val="21"/>
                    </w:rPr>
                  </w:pPr>
                  <w:r>
                    <w:rPr>
                      <w:rFonts w:hint="eastAsia"/>
                      <w:color w:val="auto"/>
                      <w:sz w:val="21"/>
                      <w:szCs w:val="21"/>
                      <w:lang w:val="en-US" w:eastAsia="zh-CN"/>
                    </w:rPr>
                    <w:t>名称</w:t>
                  </w:r>
                </w:p>
              </w:tc>
              <w:tc>
                <w:tcPr>
                  <w:tcW w:w="3406" w:type="dxa"/>
                  <w:gridSpan w:val="3"/>
                  <w:tcBorders>
                    <w:tl2br w:val="nil"/>
                    <w:tr2bl w:val="nil"/>
                  </w:tcBorders>
                  <w:shd w:val="clear" w:color="auto" w:fill="auto"/>
                  <w:vAlign w:val="center"/>
                </w:tcPr>
                <w:p w14:paraId="437B328C">
                  <w:pPr>
                    <w:pStyle w:val="37"/>
                    <w:bidi w:val="0"/>
                    <w:rPr>
                      <w:rFonts w:hint="eastAsia"/>
                      <w:color w:val="auto"/>
                      <w:sz w:val="21"/>
                      <w:szCs w:val="21"/>
                    </w:rPr>
                  </w:pPr>
                  <w:r>
                    <w:rPr>
                      <w:rFonts w:hint="eastAsia"/>
                      <w:color w:val="auto"/>
                      <w:sz w:val="21"/>
                      <w:szCs w:val="21"/>
                      <w:lang w:val="en-US" w:eastAsia="zh-CN"/>
                    </w:rPr>
                    <w:t>经纬度</w:t>
                  </w:r>
                </w:p>
              </w:tc>
              <w:tc>
                <w:tcPr>
                  <w:tcW w:w="1084" w:type="dxa"/>
                  <w:vMerge w:val="restart"/>
                  <w:tcBorders>
                    <w:tl2br w:val="nil"/>
                    <w:tr2bl w:val="nil"/>
                  </w:tcBorders>
                  <w:shd w:val="clear" w:color="auto" w:fill="auto"/>
                  <w:vAlign w:val="center"/>
                </w:tcPr>
                <w:p w14:paraId="5B12B2CE">
                  <w:pPr>
                    <w:pStyle w:val="37"/>
                    <w:bidi w:val="0"/>
                    <w:rPr>
                      <w:rFonts w:hint="eastAsia"/>
                      <w:color w:val="auto"/>
                      <w:sz w:val="21"/>
                      <w:szCs w:val="21"/>
                    </w:rPr>
                  </w:pPr>
                  <w:r>
                    <w:rPr>
                      <w:rFonts w:hint="eastAsia"/>
                      <w:color w:val="auto"/>
                      <w:sz w:val="21"/>
                      <w:szCs w:val="21"/>
                      <w:lang w:val="en-US" w:eastAsia="zh-CN"/>
                    </w:rPr>
                    <w:t>相对厂址方位、距离/m</w:t>
                  </w:r>
                </w:p>
              </w:tc>
              <w:tc>
                <w:tcPr>
                  <w:tcW w:w="533" w:type="dxa"/>
                  <w:vMerge w:val="restart"/>
                  <w:tcBorders>
                    <w:tl2br w:val="nil"/>
                    <w:tr2bl w:val="nil"/>
                  </w:tcBorders>
                  <w:shd w:val="clear" w:color="auto" w:fill="auto"/>
                  <w:vAlign w:val="center"/>
                </w:tcPr>
                <w:p w14:paraId="40708236">
                  <w:pPr>
                    <w:pStyle w:val="37"/>
                    <w:bidi w:val="0"/>
                    <w:rPr>
                      <w:rFonts w:hint="eastAsia"/>
                      <w:color w:val="auto"/>
                      <w:sz w:val="21"/>
                      <w:szCs w:val="21"/>
                    </w:rPr>
                  </w:pPr>
                  <w:r>
                    <w:rPr>
                      <w:rFonts w:hint="eastAsia"/>
                      <w:color w:val="auto"/>
                      <w:lang w:val="en-US" w:eastAsia="zh-CN"/>
                    </w:rPr>
                    <w:t>关心点</w:t>
                  </w:r>
                </w:p>
              </w:tc>
              <w:tc>
                <w:tcPr>
                  <w:tcW w:w="818" w:type="dxa"/>
                  <w:vMerge w:val="restart"/>
                  <w:tcBorders>
                    <w:tl2br w:val="nil"/>
                    <w:tr2bl w:val="nil"/>
                  </w:tcBorders>
                  <w:shd w:val="clear" w:color="auto" w:fill="auto"/>
                  <w:vAlign w:val="center"/>
                </w:tcPr>
                <w:p w14:paraId="2058ADC6">
                  <w:pPr>
                    <w:pStyle w:val="37"/>
                    <w:bidi w:val="0"/>
                    <w:rPr>
                      <w:rFonts w:hint="eastAsia"/>
                      <w:color w:val="auto"/>
                      <w:sz w:val="21"/>
                      <w:szCs w:val="21"/>
                    </w:rPr>
                  </w:pPr>
                  <w:r>
                    <w:rPr>
                      <w:rFonts w:hint="eastAsia"/>
                      <w:color w:val="auto"/>
                      <w:sz w:val="21"/>
                      <w:szCs w:val="21"/>
                      <w:lang w:val="en-US" w:eastAsia="zh-CN"/>
                    </w:rPr>
                    <w:t>保护内容</w:t>
                  </w:r>
                </w:p>
              </w:tc>
              <w:tc>
                <w:tcPr>
                  <w:tcW w:w="1600" w:type="dxa"/>
                  <w:vMerge w:val="restart"/>
                  <w:tcBorders>
                    <w:tl2br w:val="nil"/>
                    <w:tr2bl w:val="nil"/>
                  </w:tcBorders>
                  <w:shd w:val="clear" w:color="auto" w:fill="auto"/>
                  <w:vAlign w:val="center"/>
                </w:tcPr>
                <w:p w14:paraId="455883CE">
                  <w:pPr>
                    <w:pStyle w:val="37"/>
                    <w:bidi w:val="0"/>
                    <w:rPr>
                      <w:rFonts w:hint="eastAsia"/>
                      <w:color w:val="auto"/>
                      <w:sz w:val="21"/>
                      <w:szCs w:val="21"/>
                      <w:lang w:val="en-US" w:eastAsia="zh-CN"/>
                    </w:rPr>
                  </w:pPr>
                  <w:r>
                    <w:rPr>
                      <w:rFonts w:hint="eastAsia"/>
                      <w:color w:val="auto"/>
                      <w:sz w:val="21"/>
                      <w:szCs w:val="21"/>
                      <w:lang w:val="en-US" w:eastAsia="zh-CN"/>
                    </w:rPr>
                    <w:t>执行</w:t>
                  </w:r>
                </w:p>
                <w:p w14:paraId="4753782A">
                  <w:pPr>
                    <w:pStyle w:val="37"/>
                    <w:bidi w:val="0"/>
                    <w:rPr>
                      <w:rFonts w:hint="eastAsia"/>
                      <w:color w:val="auto"/>
                      <w:sz w:val="21"/>
                      <w:szCs w:val="21"/>
                      <w:lang w:val="en-US" w:eastAsia="zh-CN"/>
                    </w:rPr>
                  </w:pPr>
                  <w:r>
                    <w:rPr>
                      <w:rFonts w:hint="eastAsia"/>
                      <w:color w:val="auto"/>
                      <w:sz w:val="21"/>
                      <w:szCs w:val="21"/>
                      <w:lang w:val="en-US" w:eastAsia="zh-CN"/>
                    </w:rPr>
                    <w:t>标准</w:t>
                  </w:r>
                </w:p>
              </w:tc>
            </w:tr>
            <w:tr w14:paraId="594E3F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420" w:type="dxa"/>
                  <w:vMerge w:val="continue"/>
                  <w:tcBorders>
                    <w:tl2br w:val="nil"/>
                    <w:tr2bl w:val="nil"/>
                  </w:tcBorders>
                  <w:shd w:val="clear" w:color="auto" w:fill="auto"/>
                  <w:vAlign w:val="center"/>
                </w:tcPr>
                <w:p w14:paraId="7203D16B">
                  <w:pPr>
                    <w:pStyle w:val="34"/>
                    <w:bidi w:val="0"/>
                    <w:rPr>
                      <w:rFonts w:hint="eastAsia"/>
                      <w:color w:val="auto"/>
                      <w:sz w:val="21"/>
                      <w:szCs w:val="21"/>
                    </w:rPr>
                  </w:pPr>
                </w:p>
              </w:tc>
              <w:tc>
                <w:tcPr>
                  <w:tcW w:w="1297" w:type="dxa"/>
                  <w:tcBorders>
                    <w:tl2br w:val="nil"/>
                    <w:tr2bl w:val="nil"/>
                  </w:tcBorders>
                  <w:shd w:val="clear" w:color="auto" w:fill="auto"/>
                  <w:vAlign w:val="center"/>
                </w:tcPr>
                <w:p w14:paraId="4640FAE7">
                  <w:pPr>
                    <w:pStyle w:val="37"/>
                    <w:bidi w:val="0"/>
                    <w:rPr>
                      <w:rFonts w:hint="eastAsia"/>
                      <w:color w:val="auto"/>
                      <w:sz w:val="21"/>
                      <w:szCs w:val="21"/>
                    </w:rPr>
                  </w:pPr>
                  <w:r>
                    <w:rPr>
                      <w:rFonts w:hint="eastAsia"/>
                      <w:color w:val="auto"/>
                      <w:sz w:val="21"/>
                      <w:szCs w:val="21"/>
                      <w:lang w:val="en-US" w:eastAsia="zh-CN"/>
                    </w:rPr>
                    <w:t>经度</w:t>
                  </w:r>
                </w:p>
              </w:tc>
              <w:tc>
                <w:tcPr>
                  <w:tcW w:w="1381" w:type="dxa"/>
                  <w:tcBorders>
                    <w:tl2br w:val="nil"/>
                    <w:tr2bl w:val="nil"/>
                  </w:tcBorders>
                  <w:shd w:val="clear" w:color="auto" w:fill="auto"/>
                  <w:vAlign w:val="center"/>
                </w:tcPr>
                <w:p w14:paraId="2118238F">
                  <w:pPr>
                    <w:pStyle w:val="37"/>
                    <w:bidi w:val="0"/>
                    <w:rPr>
                      <w:rFonts w:hint="eastAsia"/>
                      <w:color w:val="auto"/>
                      <w:sz w:val="21"/>
                      <w:szCs w:val="21"/>
                    </w:rPr>
                  </w:pPr>
                  <w:r>
                    <w:rPr>
                      <w:rFonts w:hint="eastAsia"/>
                      <w:color w:val="auto"/>
                      <w:sz w:val="21"/>
                      <w:szCs w:val="21"/>
                      <w:lang w:val="en-US" w:eastAsia="zh-CN"/>
                    </w:rPr>
                    <w:t>纬度</w:t>
                  </w:r>
                </w:p>
              </w:tc>
              <w:tc>
                <w:tcPr>
                  <w:tcW w:w="728" w:type="dxa"/>
                  <w:tcBorders>
                    <w:tl2br w:val="nil"/>
                    <w:tr2bl w:val="nil"/>
                  </w:tcBorders>
                  <w:shd w:val="clear" w:color="auto" w:fill="auto"/>
                  <w:vAlign w:val="center"/>
                </w:tcPr>
                <w:p w14:paraId="574B251B">
                  <w:pPr>
                    <w:pStyle w:val="37"/>
                    <w:bidi w:val="0"/>
                    <w:rPr>
                      <w:rFonts w:hint="eastAsia"/>
                      <w:color w:val="auto"/>
                      <w:sz w:val="21"/>
                      <w:szCs w:val="21"/>
                    </w:rPr>
                  </w:pPr>
                  <w:r>
                    <w:rPr>
                      <w:rFonts w:hint="eastAsia"/>
                      <w:color w:val="auto"/>
                      <w:sz w:val="21"/>
                      <w:szCs w:val="21"/>
                      <w:lang w:val="en-US" w:eastAsia="zh-CN"/>
                    </w:rPr>
                    <w:t>相对高差</w:t>
                  </w:r>
                </w:p>
              </w:tc>
              <w:tc>
                <w:tcPr>
                  <w:tcW w:w="1084" w:type="dxa"/>
                  <w:vMerge w:val="continue"/>
                  <w:tcBorders>
                    <w:tl2br w:val="nil"/>
                    <w:tr2bl w:val="nil"/>
                  </w:tcBorders>
                  <w:shd w:val="clear" w:color="auto" w:fill="auto"/>
                  <w:vAlign w:val="center"/>
                </w:tcPr>
                <w:p w14:paraId="214F5E49">
                  <w:pPr>
                    <w:pStyle w:val="34"/>
                    <w:bidi w:val="0"/>
                    <w:rPr>
                      <w:rFonts w:hint="eastAsia"/>
                      <w:color w:val="auto"/>
                      <w:sz w:val="21"/>
                      <w:szCs w:val="21"/>
                    </w:rPr>
                  </w:pPr>
                </w:p>
              </w:tc>
              <w:tc>
                <w:tcPr>
                  <w:tcW w:w="533" w:type="dxa"/>
                  <w:vMerge w:val="continue"/>
                  <w:tcBorders>
                    <w:tl2br w:val="nil"/>
                    <w:tr2bl w:val="nil"/>
                  </w:tcBorders>
                  <w:shd w:val="clear" w:color="auto" w:fill="auto"/>
                  <w:vAlign w:val="center"/>
                </w:tcPr>
                <w:p w14:paraId="4EF72E31">
                  <w:pPr>
                    <w:pStyle w:val="34"/>
                    <w:bidi w:val="0"/>
                    <w:rPr>
                      <w:rFonts w:hint="eastAsia"/>
                      <w:color w:val="auto"/>
                      <w:sz w:val="21"/>
                      <w:szCs w:val="21"/>
                    </w:rPr>
                  </w:pPr>
                </w:p>
              </w:tc>
              <w:tc>
                <w:tcPr>
                  <w:tcW w:w="818" w:type="dxa"/>
                  <w:vMerge w:val="continue"/>
                  <w:tcBorders>
                    <w:tl2br w:val="nil"/>
                    <w:tr2bl w:val="nil"/>
                  </w:tcBorders>
                  <w:shd w:val="clear" w:color="auto" w:fill="auto"/>
                  <w:vAlign w:val="center"/>
                </w:tcPr>
                <w:p w14:paraId="29C6FB64">
                  <w:pPr>
                    <w:pStyle w:val="34"/>
                    <w:bidi w:val="0"/>
                    <w:rPr>
                      <w:rFonts w:hint="eastAsia"/>
                      <w:color w:val="auto"/>
                      <w:sz w:val="21"/>
                      <w:szCs w:val="21"/>
                    </w:rPr>
                  </w:pPr>
                </w:p>
              </w:tc>
              <w:tc>
                <w:tcPr>
                  <w:tcW w:w="1600" w:type="dxa"/>
                  <w:vMerge w:val="continue"/>
                  <w:tcBorders>
                    <w:tl2br w:val="nil"/>
                    <w:tr2bl w:val="nil"/>
                  </w:tcBorders>
                  <w:shd w:val="clear" w:color="auto" w:fill="auto"/>
                  <w:vAlign w:val="center"/>
                </w:tcPr>
                <w:p w14:paraId="42DD6795">
                  <w:pPr>
                    <w:pStyle w:val="34"/>
                    <w:bidi w:val="0"/>
                    <w:rPr>
                      <w:rFonts w:hint="eastAsia"/>
                      <w:color w:val="auto"/>
                      <w:sz w:val="21"/>
                      <w:szCs w:val="21"/>
                    </w:rPr>
                  </w:pPr>
                </w:p>
              </w:tc>
            </w:tr>
            <w:tr w14:paraId="0971718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420" w:type="dxa"/>
                  <w:tcBorders>
                    <w:tl2br w:val="nil"/>
                    <w:tr2bl w:val="nil"/>
                  </w:tcBorders>
                  <w:shd w:val="clear" w:color="auto" w:fill="auto"/>
                  <w:vAlign w:val="center"/>
                </w:tcPr>
                <w:p w14:paraId="60ADE6B5">
                  <w:pPr>
                    <w:pStyle w:val="37"/>
                    <w:bidi w:val="0"/>
                    <w:rPr>
                      <w:rFonts w:hint="default"/>
                      <w:color w:val="auto"/>
                      <w:sz w:val="21"/>
                      <w:szCs w:val="21"/>
                      <w:lang w:val="en-US" w:eastAsia="zh-CN"/>
                    </w:rPr>
                  </w:pPr>
                  <w:r>
                    <w:rPr>
                      <w:rFonts w:hint="eastAsia"/>
                      <w:color w:val="auto"/>
                      <w:sz w:val="21"/>
                      <w:szCs w:val="21"/>
                      <w:lang w:val="en-US" w:eastAsia="zh-CN"/>
                    </w:rPr>
                    <w:t>叠水箐</w:t>
                  </w:r>
                </w:p>
              </w:tc>
              <w:tc>
                <w:tcPr>
                  <w:tcW w:w="1297" w:type="dxa"/>
                  <w:tcBorders>
                    <w:tl2br w:val="nil"/>
                    <w:tr2bl w:val="nil"/>
                  </w:tcBorders>
                  <w:shd w:val="clear" w:color="auto" w:fill="auto"/>
                  <w:vAlign w:val="center"/>
                </w:tcPr>
                <w:p w14:paraId="3430DBC1">
                  <w:pPr>
                    <w:pStyle w:val="37"/>
                    <w:bidi w:val="0"/>
                    <w:rPr>
                      <w:rFonts w:hint="default"/>
                      <w:color w:val="auto"/>
                      <w:sz w:val="21"/>
                      <w:szCs w:val="21"/>
                    </w:rPr>
                  </w:pPr>
                  <w:r>
                    <w:rPr>
                      <w:rFonts w:hint="default"/>
                      <w:color w:val="auto"/>
                      <w:sz w:val="21"/>
                      <w:szCs w:val="21"/>
                      <w:lang w:val="en-US" w:eastAsia="zh-CN"/>
                    </w:rPr>
                    <w:t>103°43'48.636"E</w:t>
                  </w:r>
                </w:p>
              </w:tc>
              <w:tc>
                <w:tcPr>
                  <w:tcW w:w="1381" w:type="dxa"/>
                  <w:tcBorders>
                    <w:tl2br w:val="nil"/>
                    <w:tr2bl w:val="nil"/>
                  </w:tcBorders>
                  <w:shd w:val="clear" w:color="auto" w:fill="auto"/>
                  <w:vAlign w:val="center"/>
                </w:tcPr>
                <w:p w14:paraId="71C05AC4">
                  <w:pPr>
                    <w:pStyle w:val="37"/>
                    <w:bidi w:val="0"/>
                    <w:rPr>
                      <w:rFonts w:hint="default"/>
                      <w:color w:val="auto"/>
                      <w:sz w:val="21"/>
                      <w:szCs w:val="21"/>
                    </w:rPr>
                  </w:pPr>
                  <w:r>
                    <w:rPr>
                      <w:rFonts w:hint="default"/>
                      <w:color w:val="auto"/>
                      <w:sz w:val="21"/>
                      <w:szCs w:val="21"/>
                      <w:lang w:val="en-US" w:eastAsia="zh-CN"/>
                    </w:rPr>
                    <w:t>25°57'44.786"N</w:t>
                  </w:r>
                </w:p>
              </w:tc>
              <w:tc>
                <w:tcPr>
                  <w:tcW w:w="728" w:type="dxa"/>
                  <w:tcBorders>
                    <w:tl2br w:val="nil"/>
                    <w:tr2bl w:val="nil"/>
                  </w:tcBorders>
                  <w:shd w:val="clear" w:color="auto" w:fill="auto"/>
                  <w:vAlign w:val="center"/>
                </w:tcPr>
                <w:p w14:paraId="57EBBDE8">
                  <w:pPr>
                    <w:pStyle w:val="37"/>
                    <w:bidi w:val="0"/>
                    <w:rPr>
                      <w:rFonts w:hint="default"/>
                      <w:color w:val="auto"/>
                      <w:sz w:val="21"/>
                      <w:szCs w:val="21"/>
                      <w:lang w:val="en-US"/>
                    </w:rPr>
                  </w:pPr>
                  <w:r>
                    <w:rPr>
                      <w:rFonts w:hint="eastAsia"/>
                      <w:color w:val="auto"/>
                      <w:sz w:val="21"/>
                      <w:szCs w:val="21"/>
                      <w:lang w:val="en-US" w:eastAsia="zh-CN"/>
                    </w:rPr>
                    <w:t>约100m</w:t>
                  </w:r>
                </w:p>
              </w:tc>
              <w:tc>
                <w:tcPr>
                  <w:tcW w:w="1084" w:type="dxa"/>
                  <w:tcBorders>
                    <w:tl2br w:val="nil"/>
                    <w:tr2bl w:val="nil"/>
                  </w:tcBorders>
                  <w:shd w:val="clear" w:color="auto" w:fill="auto"/>
                  <w:vAlign w:val="center"/>
                </w:tcPr>
                <w:p w14:paraId="0A565A23">
                  <w:pPr>
                    <w:pStyle w:val="37"/>
                    <w:bidi w:val="0"/>
                    <w:rPr>
                      <w:rFonts w:hint="eastAsia"/>
                      <w:color w:val="auto"/>
                      <w:sz w:val="21"/>
                      <w:szCs w:val="21"/>
                    </w:rPr>
                  </w:pPr>
                  <w:r>
                    <w:rPr>
                      <w:rFonts w:hint="eastAsia"/>
                      <w:color w:val="auto"/>
                      <w:sz w:val="21"/>
                      <w:szCs w:val="21"/>
                      <w:lang w:val="en-US" w:eastAsia="zh-CN"/>
                    </w:rPr>
                    <w:t>XZB02号风机南侧650m</w:t>
                  </w:r>
                </w:p>
              </w:tc>
              <w:tc>
                <w:tcPr>
                  <w:tcW w:w="533" w:type="dxa"/>
                  <w:tcBorders>
                    <w:tl2br w:val="nil"/>
                    <w:tr2bl w:val="nil"/>
                  </w:tcBorders>
                  <w:shd w:val="clear" w:color="auto" w:fill="auto"/>
                  <w:vAlign w:val="center"/>
                </w:tcPr>
                <w:p w14:paraId="19E01EB0">
                  <w:pPr>
                    <w:pStyle w:val="37"/>
                    <w:bidi w:val="0"/>
                    <w:rPr>
                      <w:rFonts w:hint="eastAsia"/>
                      <w:color w:val="auto"/>
                      <w:sz w:val="21"/>
                      <w:szCs w:val="21"/>
                    </w:rPr>
                  </w:pPr>
                  <w:r>
                    <w:rPr>
                      <w:rFonts w:hint="eastAsia"/>
                      <w:color w:val="auto"/>
                      <w:sz w:val="21"/>
                      <w:szCs w:val="21"/>
                      <w:lang w:val="en-US" w:eastAsia="zh-CN"/>
                    </w:rPr>
                    <w:t>居民</w:t>
                  </w:r>
                </w:p>
              </w:tc>
              <w:tc>
                <w:tcPr>
                  <w:tcW w:w="818" w:type="dxa"/>
                  <w:tcBorders>
                    <w:tl2br w:val="nil"/>
                    <w:tr2bl w:val="nil"/>
                  </w:tcBorders>
                  <w:shd w:val="clear" w:color="auto" w:fill="auto"/>
                  <w:vAlign w:val="center"/>
                </w:tcPr>
                <w:p w14:paraId="12C60361">
                  <w:pPr>
                    <w:pStyle w:val="37"/>
                    <w:bidi w:val="0"/>
                    <w:rPr>
                      <w:rFonts w:hint="default"/>
                      <w:color w:val="auto"/>
                      <w:sz w:val="21"/>
                      <w:szCs w:val="21"/>
                    </w:rPr>
                  </w:pPr>
                  <w:r>
                    <w:rPr>
                      <w:rFonts w:hint="default"/>
                      <w:color w:val="auto"/>
                      <w:sz w:val="21"/>
                      <w:szCs w:val="21"/>
                      <w:lang w:val="en-US" w:eastAsia="zh-CN"/>
                    </w:rPr>
                    <w:t>45</w:t>
                  </w:r>
                  <w:r>
                    <w:rPr>
                      <w:rFonts w:hint="eastAsia"/>
                      <w:color w:val="auto"/>
                      <w:sz w:val="21"/>
                      <w:szCs w:val="21"/>
                      <w:lang w:val="en-US" w:eastAsia="zh-CN"/>
                    </w:rPr>
                    <w:t>户，</w:t>
                  </w:r>
                  <w:r>
                    <w:rPr>
                      <w:rFonts w:hint="default"/>
                      <w:color w:val="auto"/>
                      <w:sz w:val="21"/>
                      <w:szCs w:val="21"/>
                      <w:lang w:val="en-US" w:eastAsia="zh-CN"/>
                    </w:rPr>
                    <w:t>176</w:t>
                  </w:r>
                  <w:r>
                    <w:rPr>
                      <w:rFonts w:hint="eastAsia"/>
                      <w:color w:val="auto"/>
                      <w:sz w:val="21"/>
                      <w:szCs w:val="21"/>
                      <w:lang w:val="en-US" w:eastAsia="zh-CN"/>
                    </w:rPr>
                    <w:t>人</w:t>
                  </w:r>
                </w:p>
              </w:tc>
              <w:tc>
                <w:tcPr>
                  <w:tcW w:w="1600" w:type="dxa"/>
                  <w:tcBorders>
                    <w:tl2br w:val="nil"/>
                    <w:tr2bl w:val="nil"/>
                  </w:tcBorders>
                  <w:shd w:val="clear" w:color="auto" w:fill="auto"/>
                  <w:vAlign w:val="center"/>
                </w:tcPr>
                <w:p w14:paraId="63001BF1">
                  <w:pPr>
                    <w:pStyle w:val="37"/>
                    <w:bidi w:val="0"/>
                    <w:rPr>
                      <w:rFonts w:hint="default"/>
                      <w:color w:val="auto"/>
                      <w:sz w:val="21"/>
                      <w:szCs w:val="21"/>
                      <w:lang w:val="en-US" w:eastAsia="zh-CN"/>
                    </w:rPr>
                  </w:pPr>
                  <w:r>
                    <w:rPr>
                      <w:color w:val="auto"/>
                      <w:sz w:val="21"/>
                      <w:szCs w:val="21"/>
                    </w:rPr>
                    <w:t>《声环境质量标准》（GB3096-2008）</w:t>
                  </w:r>
                  <w:r>
                    <w:rPr>
                      <w:rFonts w:hint="eastAsia"/>
                      <w:color w:val="auto"/>
                      <w:sz w:val="21"/>
                      <w:szCs w:val="21"/>
                      <w:lang w:val="en-US" w:eastAsia="zh-CN"/>
                    </w:rPr>
                    <w:t>1类区</w:t>
                  </w:r>
                  <w:r>
                    <w:rPr>
                      <w:color w:val="auto"/>
                      <w:sz w:val="21"/>
                      <w:szCs w:val="21"/>
                    </w:rPr>
                    <w:t>标准</w:t>
                  </w:r>
                </w:p>
              </w:tc>
            </w:tr>
          </w:tbl>
          <w:p w14:paraId="5BFC658E">
            <w:pPr>
              <w:pStyle w:val="37"/>
              <w:bidi w:val="0"/>
              <w:rPr>
                <w:rFonts w:hint="default"/>
                <w:color w:val="auto"/>
                <w:lang w:val="en-US" w:eastAsia="zh-CN"/>
              </w:rPr>
            </w:pPr>
          </w:p>
        </w:tc>
      </w:tr>
      <w:tr w14:paraId="00E9435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noWrap w:val="0"/>
            <w:vAlign w:val="center"/>
          </w:tcPr>
          <w:p w14:paraId="2334F301">
            <w:pPr>
              <w:pStyle w:val="18"/>
              <w:bidi w:val="0"/>
              <w:rPr>
                <w:rFonts w:ascii="Times New Roman" w:hAnsi="Times New Roman" w:eastAsia="宋体" w:cs="宋体"/>
                <w:color w:val="auto"/>
                <w:kern w:val="0"/>
                <w:szCs w:val="21"/>
              </w:rPr>
            </w:pPr>
            <w:r>
              <w:rPr>
                <w:rFonts w:hint="eastAsia"/>
                <w:color w:val="auto"/>
              </w:rPr>
              <w:t>评价标准</w:t>
            </w:r>
          </w:p>
        </w:tc>
        <w:tc>
          <w:tcPr>
            <w:tcW w:w="7780" w:type="dxa"/>
            <w:noWrap w:val="0"/>
            <w:vAlign w:val="top"/>
          </w:tcPr>
          <w:p w14:paraId="723BB5B9">
            <w:pPr>
              <w:bidi w:val="0"/>
              <w:ind w:left="0" w:leftChars="0" w:firstLine="0" w:firstLineChars="0"/>
              <w:rPr>
                <w:rFonts w:hint="eastAsia"/>
                <w:b/>
                <w:bCs/>
                <w:color w:val="auto"/>
                <w:lang w:val="en-US" w:eastAsia="zh-CN"/>
              </w:rPr>
            </w:pPr>
            <w:r>
              <w:rPr>
                <w:rFonts w:hint="eastAsia"/>
                <w:b/>
                <w:bCs/>
                <w:color w:val="auto"/>
                <w:lang w:val="en-US" w:eastAsia="zh-CN"/>
              </w:rPr>
              <w:t>1.</w:t>
            </w:r>
            <w:r>
              <w:rPr>
                <w:rFonts w:hint="eastAsia"/>
                <w:b/>
                <w:bCs/>
                <w:color w:val="auto"/>
              </w:rPr>
              <w:t>项目环境</w:t>
            </w:r>
            <w:r>
              <w:rPr>
                <w:rFonts w:hint="eastAsia"/>
                <w:b/>
                <w:bCs/>
                <w:color w:val="auto"/>
                <w:lang w:val="en-US" w:eastAsia="zh-CN"/>
              </w:rPr>
              <w:t>标准</w:t>
            </w:r>
          </w:p>
          <w:p w14:paraId="5C55F98E">
            <w:pPr>
              <w:bidi w:val="0"/>
              <w:rPr>
                <w:b/>
                <w:bCs/>
                <w:color w:val="auto"/>
              </w:rPr>
            </w:pPr>
            <w:r>
              <w:rPr>
                <w:rFonts w:hint="eastAsia"/>
                <w:b/>
                <w:bCs/>
                <w:color w:val="auto"/>
                <w:lang w:val="en-US" w:eastAsia="zh-CN"/>
              </w:rPr>
              <w:t>1.1</w:t>
            </w:r>
            <w:r>
              <w:rPr>
                <w:b/>
                <w:bCs/>
                <w:color w:val="auto"/>
              </w:rPr>
              <w:t>环境质量标准</w:t>
            </w:r>
          </w:p>
          <w:p w14:paraId="245F6C84">
            <w:pPr>
              <w:bidi w:val="0"/>
              <w:rPr>
                <w:color w:val="auto"/>
              </w:rPr>
            </w:pPr>
            <w:r>
              <w:rPr>
                <w:color w:val="auto"/>
              </w:rPr>
              <w:t>（1）环境空气质量标准</w:t>
            </w:r>
          </w:p>
          <w:p w14:paraId="46E1FE47">
            <w:pPr>
              <w:bidi w:val="0"/>
              <w:rPr>
                <w:color w:val="auto"/>
              </w:rPr>
            </w:pPr>
            <w:r>
              <w:rPr>
                <w:color w:val="auto"/>
              </w:rPr>
              <w:t>项目区属环境空气质量二类功能区，环境空气执行《环境空气质量标准》（GB3095-20</w:t>
            </w:r>
            <w:r>
              <w:rPr>
                <w:rFonts w:hint="eastAsia"/>
                <w:color w:val="auto"/>
                <w:lang w:val="en-US" w:eastAsia="zh-CN"/>
              </w:rPr>
              <w:t>26</w:t>
            </w:r>
            <w:r>
              <w:rPr>
                <w:color w:val="auto"/>
              </w:rPr>
              <w:t>）</w:t>
            </w:r>
            <w:r>
              <w:rPr>
                <w:rFonts w:hint="eastAsia"/>
                <w:color w:val="auto"/>
                <w:lang w:val="en-US" w:eastAsia="zh-CN"/>
              </w:rPr>
              <w:t>过渡期</w:t>
            </w:r>
            <w:r>
              <w:rPr>
                <w:color w:val="auto"/>
              </w:rPr>
              <w:t>二级标准</w:t>
            </w:r>
            <w:r>
              <w:rPr>
                <w:rFonts w:hint="eastAsia"/>
                <w:color w:val="auto"/>
              </w:rPr>
              <w:t>，</w:t>
            </w:r>
            <w:r>
              <w:rPr>
                <w:color w:val="auto"/>
              </w:rPr>
              <w:t>具体标准值见下表所示</w:t>
            </w:r>
            <w:r>
              <w:rPr>
                <w:rFonts w:hint="eastAsia"/>
                <w:color w:val="auto"/>
              </w:rPr>
              <w:t>。</w:t>
            </w:r>
          </w:p>
          <w:p w14:paraId="00988621">
            <w:pPr>
              <w:pStyle w:val="27"/>
              <w:pageBreakBefore w:val="0"/>
              <w:kinsoku/>
              <w:wordWrap/>
              <w:overflowPunct/>
              <w:bidi w:val="0"/>
              <w:rPr>
                <w:color w:val="auto"/>
              </w:rPr>
            </w:pPr>
            <w:r>
              <w:rPr>
                <w:color w:val="auto"/>
              </w:rPr>
              <w:t>表</w:t>
            </w:r>
            <w:r>
              <w:rPr>
                <w:rFonts w:hint="eastAsia"/>
                <w:color w:val="auto"/>
              </w:rPr>
              <w:t>3-</w:t>
            </w:r>
            <w:r>
              <w:rPr>
                <w:rFonts w:hint="eastAsia"/>
                <w:color w:val="auto"/>
                <w:lang w:val="en-US" w:eastAsia="zh-CN"/>
              </w:rPr>
              <w:t xml:space="preserve">8  </w:t>
            </w:r>
            <w:r>
              <w:rPr>
                <w:color w:val="auto"/>
              </w:rPr>
              <w:t>环境空气质量标准限值</w:t>
            </w:r>
          </w:p>
          <w:tbl>
            <w:tblPr>
              <w:tblStyle w:val="26"/>
              <w:tblW w:w="4998" w:type="pct"/>
              <w:tblInd w:w="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441"/>
              <w:gridCol w:w="1358"/>
              <w:gridCol w:w="1434"/>
              <w:gridCol w:w="885"/>
              <w:gridCol w:w="871"/>
              <w:gridCol w:w="869"/>
              <w:gridCol w:w="887"/>
              <w:gridCol w:w="1115"/>
            </w:tblGrid>
            <w:tr w14:paraId="4BBE31A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4" w:hRule="atLeast"/>
              </w:trPr>
              <w:tc>
                <w:tcPr>
                  <w:tcW w:w="281" w:type="pct"/>
                  <w:vMerge w:val="restart"/>
                  <w:tcBorders>
                    <w:tl2br w:val="nil"/>
                    <w:tr2bl w:val="nil"/>
                  </w:tcBorders>
                  <w:vAlign w:val="center"/>
                </w:tcPr>
                <w:p w14:paraId="302D0721">
                  <w:pPr>
                    <w:pStyle w:val="37"/>
                    <w:bidi w:val="0"/>
                    <w:rPr>
                      <w:color w:val="auto"/>
                    </w:rPr>
                  </w:pPr>
                  <w:r>
                    <w:rPr>
                      <w:color w:val="auto"/>
                    </w:rPr>
                    <w:t>序号</w:t>
                  </w:r>
                </w:p>
              </w:tc>
              <w:tc>
                <w:tcPr>
                  <w:tcW w:w="864" w:type="pct"/>
                  <w:vMerge w:val="restart"/>
                  <w:tcBorders>
                    <w:tl2br w:val="nil"/>
                    <w:tr2bl w:val="nil"/>
                  </w:tcBorders>
                  <w:vAlign w:val="center"/>
                </w:tcPr>
                <w:p w14:paraId="20A6F5E0">
                  <w:pPr>
                    <w:pStyle w:val="37"/>
                    <w:bidi w:val="0"/>
                    <w:rPr>
                      <w:color w:val="auto"/>
                    </w:rPr>
                  </w:pPr>
                  <w:r>
                    <w:rPr>
                      <w:color w:val="auto"/>
                    </w:rPr>
                    <w:t>污染物项目</w:t>
                  </w:r>
                </w:p>
              </w:tc>
              <w:tc>
                <w:tcPr>
                  <w:tcW w:w="912" w:type="pct"/>
                  <w:vMerge w:val="restart"/>
                  <w:tcBorders>
                    <w:tl2br w:val="nil"/>
                    <w:tr2bl w:val="nil"/>
                  </w:tcBorders>
                  <w:vAlign w:val="center"/>
                </w:tcPr>
                <w:p w14:paraId="1B7E3737">
                  <w:pPr>
                    <w:pStyle w:val="37"/>
                    <w:bidi w:val="0"/>
                    <w:rPr>
                      <w:color w:val="auto"/>
                    </w:rPr>
                  </w:pPr>
                  <w:r>
                    <w:rPr>
                      <w:color w:val="auto"/>
                    </w:rPr>
                    <w:t>平均时间</w:t>
                  </w:r>
                </w:p>
              </w:tc>
              <w:tc>
                <w:tcPr>
                  <w:tcW w:w="1117" w:type="pct"/>
                  <w:gridSpan w:val="2"/>
                  <w:tcBorders>
                    <w:tl2br w:val="nil"/>
                    <w:tr2bl w:val="nil"/>
                  </w:tcBorders>
                  <w:vAlign w:val="center"/>
                </w:tcPr>
                <w:p w14:paraId="1738F82C">
                  <w:pPr>
                    <w:pStyle w:val="37"/>
                    <w:bidi w:val="0"/>
                    <w:rPr>
                      <w:color w:val="auto"/>
                    </w:rPr>
                  </w:pPr>
                  <w:r>
                    <w:rPr>
                      <w:color w:val="auto"/>
                    </w:rPr>
                    <w:t>过渡阶段浓度限值</w:t>
                  </w:r>
                </w:p>
              </w:tc>
              <w:tc>
                <w:tcPr>
                  <w:tcW w:w="1117" w:type="pct"/>
                  <w:gridSpan w:val="2"/>
                  <w:tcBorders>
                    <w:tl2br w:val="nil"/>
                    <w:tr2bl w:val="nil"/>
                  </w:tcBorders>
                  <w:vAlign w:val="center"/>
                </w:tcPr>
                <w:p w14:paraId="0B994794">
                  <w:pPr>
                    <w:pStyle w:val="37"/>
                    <w:bidi w:val="0"/>
                    <w:rPr>
                      <w:color w:val="auto"/>
                    </w:rPr>
                  </w:pPr>
                  <w:r>
                    <w:rPr>
                      <w:color w:val="auto"/>
                    </w:rPr>
                    <w:t>浓度限值</w:t>
                  </w:r>
                </w:p>
              </w:tc>
              <w:tc>
                <w:tcPr>
                  <w:tcW w:w="706" w:type="pct"/>
                  <w:vMerge w:val="restart"/>
                  <w:tcBorders>
                    <w:tl2br w:val="nil"/>
                    <w:tr2bl w:val="nil"/>
                  </w:tcBorders>
                  <w:vAlign w:val="center"/>
                </w:tcPr>
                <w:p w14:paraId="10C24946">
                  <w:pPr>
                    <w:pStyle w:val="37"/>
                    <w:bidi w:val="0"/>
                    <w:rPr>
                      <w:color w:val="auto"/>
                    </w:rPr>
                  </w:pPr>
                  <w:r>
                    <w:rPr>
                      <w:color w:val="auto"/>
                    </w:rPr>
                    <w:t>单位</w:t>
                  </w:r>
                </w:p>
              </w:tc>
            </w:tr>
            <w:tr w14:paraId="73BA31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81" w:type="pct"/>
                  <w:vMerge w:val="continue"/>
                  <w:tcBorders>
                    <w:tl2br w:val="nil"/>
                    <w:tr2bl w:val="nil"/>
                  </w:tcBorders>
                  <w:vAlign w:val="center"/>
                </w:tcPr>
                <w:p w14:paraId="65CEAB3B">
                  <w:pPr>
                    <w:pStyle w:val="34"/>
                    <w:bidi w:val="0"/>
                    <w:jc w:val="center"/>
                    <w:rPr>
                      <w:color w:val="auto"/>
                    </w:rPr>
                  </w:pPr>
                </w:p>
              </w:tc>
              <w:tc>
                <w:tcPr>
                  <w:tcW w:w="864" w:type="pct"/>
                  <w:vMerge w:val="continue"/>
                  <w:tcBorders>
                    <w:tl2br w:val="nil"/>
                    <w:tr2bl w:val="nil"/>
                  </w:tcBorders>
                  <w:vAlign w:val="center"/>
                </w:tcPr>
                <w:p w14:paraId="46E1D5DC">
                  <w:pPr>
                    <w:pStyle w:val="34"/>
                    <w:bidi w:val="0"/>
                    <w:jc w:val="center"/>
                    <w:rPr>
                      <w:color w:val="auto"/>
                    </w:rPr>
                  </w:pPr>
                </w:p>
              </w:tc>
              <w:tc>
                <w:tcPr>
                  <w:tcW w:w="912" w:type="pct"/>
                  <w:vMerge w:val="continue"/>
                  <w:tcBorders>
                    <w:tl2br w:val="nil"/>
                    <w:tr2bl w:val="nil"/>
                  </w:tcBorders>
                  <w:vAlign w:val="center"/>
                </w:tcPr>
                <w:p w14:paraId="0C258BB1">
                  <w:pPr>
                    <w:pStyle w:val="34"/>
                    <w:bidi w:val="0"/>
                    <w:jc w:val="center"/>
                    <w:rPr>
                      <w:color w:val="auto"/>
                    </w:rPr>
                  </w:pPr>
                </w:p>
              </w:tc>
              <w:tc>
                <w:tcPr>
                  <w:tcW w:w="563" w:type="pct"/>
                  <w:tcBorders>
                    <w:tl2br w:val="nil"/>
                    <w:tr2bl w:val="nil"/>
                  </w:tcBorders>
                  <w:vAlign w:val="center"/>
                </w:tcPr>
                <w:p w14:paraId="7029549E">
                  <w:pPr>
                    <w:pStyle w:val="37"/>
                    <w:bidi w:val="0"/>
                    <w:rPr>
                      <w:color w:val="auto"/>
                    </w:rPr>
                  </w:pPr>
                  <w:r>
                    <w:rPr>
                      <w:color w:val="auto"/>
                    </w:rPr>
                    <w:t>一级</w:t>
                  </w:r>
                </w:p>
              </w:tc>
              <w:tc>
                <w:tcPr>
                  <w:tcW w:w="553" w:type="pct"/>
                  <w:tcBorders>
                    <w:tl2br w:val="nil"/>
                    <w:tr2bl w:val="nil"/>
                  </w:tcBorders>
                  <w:vAlign w:val="center"/>
                </w:tcPr>
                <w:p w14:paraId="559BB83D">
                  <w:pPr>
                    <w:pStyle w:val="37"/>
                    <w:bidi w:val="0"/>
                    <w:rPr>
                      <w:color w:val="auto"/>
                    </w:rPr>
                  </w:pPr>
                  <w:r>
                    <w:rPr>
                      <w:color w:val="auto"/>
                    </w:rPr>
                    <w:t>二级</w:t>
                  </w:r>
                </w:p>
              </w:tc>
              <w:tc>
                <w:tcPr>
                  <w:tcW w:w="553" w:type="pct"/>
                  <w:tcBorders>
                    <w:tl2br w:val="nil"/>
                    <w:tr2bl w:val="nil"/>
                  </w:tcBorders>
                  <w:vAlign w:val="center"/>
                </w:tcPr>
                <w:p w14:paraId="30F0F898">
                  <w:pPr>
                    <w:pStyle w:val="37"/>
                    <w:bidi w:val="0"/>
                    <w:rPr>
                      <w:color w:val="auto"/>
                    </w:rPr>
                  </w:pPr>
                  <w:r>
                    <w:rPr>
                      <w:color w:val="auto"/>
                    </w:rPr>
                    <w:t>一级</w:t>
                  </w:r>
                </w:p>
              </w:tc>
              <w:tc>
                <w:tcPr>
                  <w:tcW w:w="563" w:type="pct"/>
                  <w:tcBorders>
                    <w:tl2br w:val="nil"/>
                    <w:tr2bl w:val="nil"/>
                  </w:tcBorders>
                  <w:vAlign w:val="center"/>
                </w:tcPr>
                <w:p w14:paraId="04759F35">
                  <w:pPr>
                    <w:pStyle w:val="37"/>
                    <w:bidi w:val="0"/>
                    <w:rPr>
                      <w:color w:val="auto"/>
                    </w:rPr>
                  </w:pPr>
                  <w:r>
                    <w:rPr>
                      <w:color w:val="auto"/>
                    </w:rPr>
                    <w:t>二级</w:t>
                  </w:r>
                </w:p>
              </w:tc>
              <w:tc>
                <w:tcPr>
                  <w:tcW w:w="706" w:type="pct"/>
                  <w:vMerge w:val="continue"/>
                  <w:tcBorders>
                    <w:tl2br w:val="nil"/>
                    <w:tr2bl w:val="nil"/>
                  </w:tcBorders>
                  <w:vAlign w:val="center"/>
                </w:tcPr>
                <w:p w14:paraId="2879446B">
                  <w:pPr>
                    <w:pStyle w:val="34"/>
                    <w:bidi w:val="0"/>
                    <w:jc w:val="center"/>
                    <w:rPr>
                      <w:color w:val="auto"/>
                    </w:rPr>
                  </w:pPr>
                </w:p>
              </w:tc>
            </w:tr>
            <w:tr w14:paraId="032E11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81" w:type="pct"/>
                  <w:vMerge w:val="restart"/>
                  <w:tcBorders>
                    <w:tl2br w:val="nil"/>
                    <w:tr2bl w:val="nil"/>
                  </w:tcBorders>
                  <w:vAlign w:val="center"/>
                </w:tcPr>
                <w:p w14:paraId="37F660B9">
                  <w:pPr>
                    <w:pStyle w:val="37"/>
                    <w:bidi w:val="0"/>
                    <w:rPr>
                      <w:color w:val="auto"/>
                    </w:rPr>
                  </w:pPr>
                  <w:r>
                    <w:rPr>
                      <w:color w:val="auto"/>
                    </w:rPr>
                    <w:t>1</w:t>
                  </w:r>
                </w:p>
              </w:tc>
              <w:tc>
                <w:tcPr>
                  <w:tcW w:w="864" w:type="pct"/>
                  <w:vMerge w:val="restart"/>
                  <w:tcBorders>
                    <w:tl2br w:val="nil"/>
                    <w:tr2bl w:val="nil"/>
                  </w:tcBorders>
                  <w:vAlign w:val="center"/>
                </w:tcPr>
                <w:p w14:paraId="0E608AF0">
                  <w:pPr>
                    <w:pStyle w:val="37"/>
                    <w:bidi w:val="0"/>
                    <w:rPr>
                      <w:color w:val="auto"/>
                    </w:rPr>
                  </w:pPr>
                  <w:r>
                    <w:rPr>
                      <w:color w:val="auto"/>
                    </w:rPr>
                    <w:t>二氧化硫(SO₂)</w:t>
                  </w:r>
                </w:p>
              </w:tc>
              <w:tc>
                <w:tcPr>
                  <w:tcW w:w="912" w:type="pct"/>
                  <w:tcBorders>
                    <w:tl2br w:val="nil"/>
                    <w:tr2bl w:val="nil"/>
                  </w:tcBorders>
                  <w:vAlign w:val="center"/>
                </w:tcPr>
                <w:p w14:paraId="40884022">
                  <w:pPr>
                    <w:pStyle w:val="37"/>
                    <w:bidi w:val="0"/>
                    <w:rPr>
                      <w:color w:val="auto"/>
                    </w:rPr>
                  </w:pPr>
                  <w:r>
                    <w:rPr>
                      <w:color w:val="auto"/>
                    </w:rPr>
                    <w:t>年平均</w:t>
                  </w:r>
                </w:p>
              </w:tc>
              <w:tc>
                <w:tcPr>
                  <w:tcW w:w="563" w:type="pct"/>
                  <w:tcBorders>
                    <w:tl2br w:val="nil"/>
                    <w:tr2bl w:val="nil"/>
                  </w:tcBorders>
                  <w:vAlign w:val="center"/>
                </w:tcPr>
                <w:p w14:paraId="6C3A7DEB">
                  <w:pPr>
                    <w:pStyle w:val="37"/>
                    <w:bidi w:val="0"/>
                    <w:rPr>
                      <w:color w:val="auto"/>
                    </w:rPr>
                  </w:pPr>
                  <w:r>
                    <w:rPr>
                      <w:color w:val="auto"/>
                    </w:rPr>
                    <w:t>20</w:t>
                  </w:r>
                </w:p>
              </w:tc>
              <w:tc>
                <w:tcPr>
                  <w:tcW w:w="553" w:type="pct"/>
                  <w:tcBorders>
                    <w:tl2br w:val="nil"/>
                    <w:tr2bl w:val="nil"/>
                  </w:tcBorders>
                  <w:vAlign w:val="center"/>
                </w:tcPr>
                <w:p w14:paraId="7315C82E">
                  <w:pPr>
                    <w:pStyle w:val="37"/>
                    <w:bidi w:val="0"/>
                    <w:rPr>
                      <w:color w:val="auto"/>
                    </w:rPr>
                  </w:pPr>
                  <w:r>
                    <w:rPr>
                      <w:color w:val="auto"/>
                    </w:rPr>
                    <w:t>60</w:t>
                  </w:r>
                </w:p>
              </w:tc>
              <w:tc>
                <w:tcPr>
                  <w:tcW w:w="553" w:type="pct"/>
                  <w:tcBorders>
                    <w:tl2br w:val="nil"/>
                    <w:tr2bl w:val="nil"/>
                  </w:tcBorders>
                  <w:vAlign w:val="center"/>
                </w:tcPr>
                <w:p w14:paraId="454598B7">
                  <w:pPr>
                    <w:pStyle w:val="37"/>
                    <w:bidi w:val="0"/>
                    <w:rPr>
                      <w:color w:val="auto"/>
                    </w:rPr>
                  </w:pPr>
                  <w:r>
                    <w:rPr>
                      <w:color w:val="auto"/>
                    </w:rPr>
                    <w:t>20</w:t>
                  </w:r>
                </w:p>
              </w:tc>
              <w:tc>
                <w:tcPr>
                  <w:tcW w:w="563" w:type="pct"/>
                  <w:tcBorders>
                    <w:tl2br w:val="nil"/>
                    <w:tr2bl w:val="nil"/>
                  </w:tcBorders>
                  <w:vAlign w:val="center"/>
                </w:tcPr>
                <w:p w14:paraId="3466D937">
                  <w:pPr>
                    <w:pStyle w:val="37"/>
                    <w:bidi w:val="0"/>
                    <w:rPr>
                      <w:color w:val="auto"/>
                    </w:rPr>
                  </w:pPr>
                  <w:r>
                    <w:rPr>
                      <w:color w:val="auto"/>
                    </w:rPr>
                    <w:t>20</w:t>
                  </w:r>
                </w:p>
              </w:tc>
              <w:tc>
                <w:tcPr>
                  <w:tcW w:w="706" w:type="pct"/>
                  <w:vMerge w:val="restart"/>
                  <w:tcBorders>
                    <w:tl2br w:val="nil"/>
                    <w:tr2bl w:val="nil"/>
                  </w:tcBorders>
                  <w:vAlign w:val="center"/>
                </w:tcPr>
                <w:p w14:paraId="2E6D9062">
                  <w:pPr>
                    <w:pStyle w:val="37"/>
                    <w:bidi w:val="0"/>
                    <w:rPr>
                      <w:color w:val="auto"/>
                    </w:rPr>
                  </w:pPr>
                  <w:r>
                    <w:rPr>
                      <w:color w:val="auto"/>
                    </w:rPr>
                    <w:t>μg/m³</w:t>
                  </w:r>
                </w:p>
              </w:tc>
            </w:tr>
            <w:tr w14:paraId="2767D3B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81" w:type="pct"/>
                  <w:vMerge w:val="continue"/>
                  <w:tcBorders>
                    <w:tl2br w:val="nil"/>
                    <w:tr2bl w:val="nil"/>
                  </w:tcBorders>
                  <w:vAlign w:val="center"/>
                </w:tcPr>
                <w:p w14:paraId="7F1FF6CE">
                  <w:pPr>
                    <w:pStyle w:val="34"/>
                    <w:bidi w:val="0"/>
                    <w:jc w:val="center"/>
                    <w:rPr>
                      <w:color w:val="auto"/>
                    </w:rPr>
                  </w:pPr>
                </w:p>
              </w:tc>
              <w:tc>
                <w:tcPr>
                  <w:tcW w:w="864" w:type="pct"/>
                  <w:vMerge w:val="continue"/>
                  <w:tcBorders>
                    <w:tl2br w:val="nil"/>
                    <w:tr2bl w:val="nil"/>
                  </w:tcBorders>
                  <w:vAlign w:val="center"/>
                </w:tcPr>
                <w:p w14:paraId="098B6D6C">
                  <w:pPr>
                    <w:pStyle w:val="34"/>
                    <w:bidi w:val="0"/>
                    <w:jc w:val="center"/>
                    <w:rPr>
                      <w:color w:val="auto"/>
                    </w:rPr>
                  </w:pPr>
                </w:p>
              </w:tc>
              <w:tc>
                <w:tcPr>
                  <w:tcW w:w="912" w:type="pct"/>
                  <w:tcBorders>
                    <w:tl2br w:val="nil"/>
                    <w:tr2bl w:val="nil"/>
                  </w:tcBorders>
                  <w:vAlign w:val="center"/>
                </w:tcPr>
                <w:p w14:paraId="2295DEA1">
                  <w:pPr>
                    <w:pStyle w:val="37"/>
                    <w:bidi w:val="0"/>
                    <w:rPr>
                      <w:color w:val="auto"/>
                    </w:rPr>
                  </w:pPr>
                  <w:r>
                    <w:rPr>
                      <w:color w:val="auto"/>
                    </w:rPr>
                    <w:t>日平均</w:t>
                  </w:r>
                </w:p>
              </w:tc>
              <w:tc>
                <w:tcPr>
                  <w:tcW w:w="563" w:type="pct"/>
                  <w:tcBorders>
                    <w:tl2br w:val="nil"/>
                    <w:tr2bl w:val="nil"/>
                  </w:tcBorders>
                  <w:vAlign w:val="center"/>
                </w:tcPr>
                <w:p w14:paraId="6FCAE15E">
                  <w:pPr>
                    <w:pStyle w:val="37"/>
                    <w:bidi w:val="0"/>
                    <w:rPr>
                      <w:color w:val="auto"/>
                    </w:rPr>
                  </w:pPr>
                  <w:r>
                    <w:rPr>
                      <w:color w:val="auto"/>
                    </w:rPr>
                    <w:t>50</w:t>
                  </w:r>
                </w:p>
              </w:tc>
              <w:tc>
                <w:tcPr>
                  <w:tcW w:w="553" w:type="pct"/>
                  <w:tcBorders>
                    <w:tl2br w:val="nil"/>
                    <w:tr2bl w:val="nil"/>
                  </w:tcBorders>
                  <w:vAlign w:val="center"/>
                </w:tcPr>
                <w:p w14:paraId="174982D1">
                  <w:pPr>
                    <w:pStyle w:val="37"/>
                    <w:bidi w:val="0"/>
                    <w:rPr>
                      <w:color w:val="auto"/>
                    </w:rPr>
                  </w:pPr>
                  <w:r>
                    <w:rPr>
                      <w:color w:val="auto"/>
                    </w:rPr>
                    <w:t>150</w:t>
                  </w:r>
                </w:p>
              </w:tc>
              <w:tc>
                <w:tcPr>
                  <w:tcW w:w="553" w:type="pct"/>
                  <w:tcBorders>
                    <w:tl2br w:val="nil"/>
                    <w:tr2bl w:val="nil"/>
                  </w:tcBorders>
                  <w:vAlign w:val="center"/>
                </w:tcPr>
                <w:p w14:paraId="296E1945">
                  <w:pPr>
                    <w:pStyle w:val="37"/>
                    <w:bidi w:val="0"/>
                    <w:rPr>
                      <w:color w:val="auto"/>
                    </w:rPr>
                  </w:pPr>
                  <w:r>
                    <w:rPr>
                      <w:color w:val="auto"/>
                    </w:rPr>
                    <w:t>50</w:t>
                  </w:r>
                </w:p>
              </w:tc>
              <w:tc>
                <w:tcPr>
                  <w:tcW w:w="563" w:type="pct"/>
                  <w:tcBorders>
                    <w:tl2br w:val="nil"/>
                    <w:tr2bl w:val="nil"/>
                  </w:tcBorders>
                  <w:vAlign w:val="center"/>
                </w:tcPr>
                <w:p w14:paraId="54D1969F">
                  <w:pPr>
                    <w:pStyle w:val="37"/>
                    <w:bidi w:val="0"/>
                    <w:rPr>
                      <w:color w:val="auto"/>
                    </w:rPr>
                  </w:pPr>
                  <w:r>
                    <w:rPr>
                      <w:color w:val="auto"/>
                    </w:rPr>
                    <w:t>50</w:t>
                  </w:r>
                </w:p>
              </w:tc>
              <w:tc>
                <w:tcPr>
                  <w:tcW w:w="706" w:type="pct"/>
                  <w:vMerge w:val="continue"/>
                  <w:tcBorders>
                    <w:tl2br w:val="nil"/>
                    <w:tr2bl w:val="nil"/>
                  </w:tcBorders>
                  <w:vAlign w:val="center"/>
                </w:tcPr>
                <w:p w14:paraId="32E40FEF">
                  <w:pPr>
                    <w:pStyle w:val="34"/>
                    <w:bidi w:val="0"/>
                    <w:jc w:val="center"/>
                    <w:rPr>
                      <w:color w:val="auto"/>
                    </w:rPr>
                  </w:pPr>
                </w:p>
              </w:tc>
            </w:tr>
            <w:tr w14:paraId="00AA8A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81" w:type="pct"/>
                  <w:vMerge w:val="continue"/>
                  <w:tcBorders>
                    <w:tl2br w:val="nil"/>
                    <w:tr2bl w:val="nil"/>
                  </w:tcBorders>
                  <w:vAlign w:val="center"/>
                </w:tcPr>
                <w:p w14:paraId="23AF291D">
                  <w:pPr>
                    <w:pStyle w:val="34"/>
                    <w:bidi w:val="0"/>
                    <w:jc w:val="center"/>
                    <w:rPr>
                      <w:color w:val="auto"/>
                    </w:rPr>
                  </w:pPr>
                </w:p>
              </w:tc>
              <w:tc>
                <w:tcPr>
                  <w:tcW w:w="864" w:type="pct"/>
                  <w:vMerge w:val="continue"/>
                  <w:tcBorders>
                    <w:tl2br w:val="nil"/>
                    <w:tr2bl w:val="nil"/>
                  </w:tcBorders>
                  <w:vAlign w:val="center"/>
                </w:tcPr>
                <w:p w14:paraId="20353A95">
                  <w:pPr>
                    <w:pStyle w:val="34"/>
                    <w:bidi w:val="0"/>
                    <w:jc w:val="center"/>
                    <w:rPr>
                      <w:color w:val="auto"/>
                    </w:rPr>
                  </w:pPr>
                </w:p>
              </w:tc>
              <w:tc>
                <w:tcPr>
                  <w:tcW w:w="912" w:type="pct"/>
                  <w:tcBorders>
                    <w:tl2br w:val="nil"/>
                    <w:tr2bl w:val="nil"/>
                  </w:tcBorders>
                  <w:vAlign w:val="center"/>
                </w:tcPr>
                <w:p w14:paraId="0052826F">
                  <w:pPr>
                    <w:pStyle w:val="37"/>
                    <w:bidi w:val="0"/>
                    <w:rPr>
                      <w:color w:val="auto"/>
                    </w:rPr>
                  </w:pPr>
                  <w:r>
                    <w:rPr>
                      <w:color w:val="auto"/>
                    </w:rPr>
                    <w:t>1小时平均</w:t>
                  </w:r>
                </w:p>
              </w:tc>
              <w:tc>
                <w:tcPr>
                  <w:tcW w:w="563" w:type="pct"/>
                  <w:tcBorders>
                    <w:tl2br w:val="nil"/>
                    <w:tr2bl w:val="nil"/>
                  </w:tcBorders>
                  <w:vAlign w:val="center"/>
                </w:tcPr>
                <w:p w14:paraId="3B74C64A">
                  <w:pPr>
                    <w:pStyle w:val="37"/>
                    <w:bidi w:val="0"/>
                    <w:rPr>
                      <w:color w:val="auto"/>
                    </w:rPr>
                  </w:pPr>
                  <w:r>
                    <w:rPr>
                      <w:color w:val="auto"/>
                    </w:rPr>
                    <w:t>150</w:t>
                  </w:r>
                </w:p>
              </w:tc>
              <w:tc>
                <w:tcPr>
                  <w:tcW w:w="553" w:type="pct"/>
                  <w:tcBorders>
                    <w:tl2br w:val="nil"/>
                    <w:tr2bl w:val="nil"/>
                  </w:tcBorders>
                  <w:vAlign w:val="center"/>
                </w:tcPr>
                <w:p w14:paraId="0E5C1BD0">
                  <w:pPr>
                    <w:pStyle w:val="37"/>
                    <w:bidi w:val="0"/>
                    <w:rPr>
                      <w:color w:val="auto"/>
                    </w:rPr>
                  </w:pPr>
                  <w:r>
                    <w:rPr>
                      <w:color w:val="auto"/>
                    </w:rPr>
                    <w:t>500</w:t>
                  </w:r>
                </w:p>
              </w:tc>
              <w:tc>
                <w:tcPr>
                  <w:tcW w:w="553" w:type="pct"/>
                  <w:tcBorders>
                    <w:tl2br w:val="nil"/>
                    <w:tr2bl w:val="nil"/>
                  </w:tcBorders>
                  <w:vAlign w:val="center"/>
                </w:tcPr>
                <w:p w14:paraId="20F8EF69">
                  <w:pPr>
                    <w:pStyle w:val="37"/>
                    <w:bidi w:val="0"/>
                    <w:rPr>
                      <w:color w:val="auto"/>
                    </w:rPr>
                  </w:pPr>
                  <w:r>
                    <w:rPr>
                      <w:color w:val="auto"/>
                    </w:rPr>
                    <w:t>150</w:t>
                  </w:r>
                </w:p>
              </w:tc>
              <w:tc>
                <w:tcPr>
                  <w:tcW w:w="563" w:type="pct"/>
                  <w:tcBorders>
                    <w:tl2br w:val="nil"/>
                    <w:tr2bl w:val="nil"/>
                  </w:tcBorders>
                  <w:vAlign w:val="center"/>
                </w:tcPr>
                <w:p w14:paraId="4656B181">
                  <w:pPr>
                    <w:pStyle w:val="37"/>
                    <w:bidi w:val="0"/>
                    <w:rPr>
                      <w:color w:val="auto"/>
                    </w:rPr>
                  </w:pPr>
                  <w:r>
                    <w:rPr>
                      <w:color w:val="auto"/>
                    </w:rPr>
                    <w:t>150</w:t>
                  </w:r>
                </w:p>
              </w:tc>
              <w:tc>
                <w:tcPr>
                  <w:tcW w:w="706" w:type="pct"/>
                  <w:vMerge w:val="continue"/>
                  <w:tcBorders>
                    <w:tl2br w:val="nil"/>
                    <w:tr2bl w:val="nil"/>
                  </w:tcBorders>
                  <w:vAlign w:val="center"/>
                </w:tcPr>
                <w:p w14:paraId="01595840">
                  <w:pPr>
                    <w:pStyle w:val="34"/>
                    <w:bidi w:val="0"/>
                    <w:jc w:val="center"/>
                    <w:rPr>
                      <w:color w:val="auto"/>
                    </w:rPr>
                  </w:pPr>
                </w:p>
              </w:tc>
            </w:tr>
            <w:tr w14:paraId="66BDBE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81" w:type="pct"/>
                  <w:vMerge w:val="restart"/>
                  <w:tcBorders>
                    <w:tl2br w:val="nil"/>
                    <w:tr2bl w:val="nil"/>
                  </w:tcBorders>
                  <w:vAlign w:val="center"/>
                </w:tcPr>
                <w:p w14:paraId="0551FD48">
                  <w:pPr>
                    <w:pStyle w:val="37"/>
                    <w:bidi w:val="0"/>
                    <w:rPr>
                      <w:color w:val="auto"/>
                    </w:rPr>
                  </w:pPr>
                  <w:r>
                    <w:rPr>
                      <w:color w:val="auto"/>
                    </w:rPr>
                    <w:t>2</w:t>
                  </w:r>
                </w:p>
              </w:tc>
              <w:tc>
                <w:tcPr>
                  <w:tcW w:w="864" w:type="pct"/>
                  <w:vMerge w:val="restart"/>
                  <w:tcBorders>
                    <w:tl2br w:val="nil"/>
                    <w:tr2bl w:val="nil"/>
                  </w:tcBorders>
                  <w:vAlign w:val="center"/>
                </w:tcPr>
                <w:p w14:paraId="4DAC3461">
                  <w:pPr>
                    <w:pStyle w:val="37"/>
                    <w:bidi w:val="0"/>
                    <w:rPr>
                      <w:color w:val="auto"/>
                    </w:rPr>
                  </w:pPr>
                  <w:r>
                    <w:rPr>
                      <w:color w:val="auto"/>
                    </w:rPr>
                    <w:t>二氧化氮(NO₂)</w:t>
                  </w:r>
                </w:p>
              </w:tc>
              <w:tc>
                <w:tcPr>
                  <w:tcW w:w="912" w:type="pct"/>
                  <w:tcBorders>
                    <w:tl2br w:val="nil"/>
                    <w:tr2bl w:val="nil"/>
                  </w:tcBorders>
                  <w:vAlign w:val="center"/>
                </w:tcPr>
                <w:p w14:paraId="41D8C547">
                  <w:pPr>
                    <w:pStyle w:val="37"/>
                    <w:bidi w:val="0"/>
                    <w:rPr>
                      <w:color w:val="auto"/>
                    </w:rPr>
                  </w:pPr>
                  <w:r>
                    <w:rPr>
                      <w:color w:val="auto"/>
                    </w:rPr>
                    <w:t>年平均</w:t>
                  </w:r>
                </w:p>
              </w:tc>
              <w:tc>
                <w:tcPr>
                  <w:tcW w:w="563" w:type="pct"/>
                  <w:tcBorders>
                    <w:tl2br w:val="nil"/>
                    <w:tr2bl w:val="nil"/>
                  </w:tcBorders>
                  <w:vAlign w:val="center"/>
                </w:tcPr>
                <w:p w14:paraId="0C682DBA">
                  <w:pPr>
                    <w:pStyle w:val="37"/>
                    <w:bidi w:val="0"/>
                    <w:rPr>
                      <w:color w:val="auto"/>
                    </w:rPr>
                  </w:pPr>
                  <w:r>
                    <w:rPr>
                      <w:color w:val="auto"/>
                    </w:rPr>
                    <w:t>40</w:t>
                  </w:r>
                </w:p>
              </w:tc>
              <w:tc>
                <w:tcPr>
                  <w:tcW w:w="553" w:type="pct"/>
                  <w:tcBorders>
                    <w:tl2br w:val="nil"/>
                    <w:tr2bl w:val="nil"/>
                  </w:tcBorders>
                  <w:vAlign w:val="center"/>
                </w:tcPr>
                <w:p w14:paraId="4F6150BE">
                  <w:pPr>
                    <w:pStyle w:val="37"/>
                    <w:bidi w:val="0"/>
                    <w:rPr>
                      <w:color w:val="auto"/>
                    </w:rPr>
                  </w:pPr>
                  <w:r>
                    <w:rPr>
                      <w:color w:val="auto"/>
                    </w:rPr>
                    <w:t>40</w:t>
                  </w:r>
                </w:p>
              </w:tc>
              <w:tc>
                <w:tcPr>
                  <w:tcW w:w="553" w:type="pct"/>
                  <w:tcBorders>
                    <w:tl2br w:val="nil"/>
                    <w:tr2bl w:val="nil"/>
                  </w:tcBorders>
                  <w:vAlign w:val="center"/>
                </w:tcPr>
                <w:p w14:paraId="5782652B">
                  <w:pPr>
                    <w:pStyle w:val="37"/>
                    <w:bidi w:val="0"/>
                    <w:rPr>
                      <w:color w:val="auto"/>
                    </w:rPr>
                  </w:pPr>
                  <w:r>
                    <w:rPr>
                      <w:color w:val="auto"/>
                    </w:rPr>
                    <w:t>30</w:t>
                  </w:r>
                </w:p>
              </w:tc>
              <w:tc>
                <w:tcPr>
                  <w:tcW w:w="563" w:type="pct"/>
                  <w:tcBorders>
                    <w:tl2br w:val="nil"/>
                    <w:tr2bl w:val="nil"/>
                  </w:tcBorders>
                  <w:vAlign w:val="center"/>
                </w:tcPr>
                <w:p w14:paraId="771576C3">
                  <w:pPr>
                    <w:pStyle w:val="37"/>
                    <w:bidi w:val="0"/>
                    <w:rPr>
                      <w:color w:val="auto"/>
                    </w:rPr>
                  </w:pPr>
                  <w:r>
                    <w:rPr>
                      <w:color w:val="auto"/>
                    </w:rPr>
                    <w:t>30</w:t>
                  </w:r>
                </w:p>
              </w:tc>
              <w:tc>
                <w:tcPr>
                  <w:tcW w:w="706" w:type="pct"/>
                  <w:vMerge w:val="continue"/>
                  <w:tcBorders>
                    <w:tl2br w:val="nil"/>
                    <w:tr2bl w:val="nil"/>
                  </w:tcBorders>
                  <w:vAlign w:val="center"/>
                </w:tcPr>
                <w:p w14:paraId="550257B6">
                  <w:pPr>
                    <w:pStyle w:val="34"/>
                    <w:bidi w:val="0"/>
                    <w:jc w:val="center"/>
                    <w:rPr>
                      <w:color w:val="auto"/>
                    </w:rPr>
                  </w:pPr>
                </w:p>
              </w:tc>
            </w:tr>
            <w:tr w14:paraId="1B4BA5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80" w:hRule="atLeast"/>
              </w:trPr>
              <w:tc>
                <w:tcPr>
                  <w:tcW w:w="281" w:type="pct"/>
                  <w:vMerge w:val="continue"/>
                  <w:tcBorders>
                    <w:tl2br w:val="nil"/>
                    <w:tr2bl w:val="nil"/>
                  </w:tcBorders>
                  <w:vAlign w:val="center"/>
                </w:tcPr>
                <w:p w14:paraId="715D151E">
                  <w:pPr>
                    <w:pStyle w:val="34"/>
                    <w:bidi w:val="0"/>
                    <w:jc w:val="center"/>
                    <w:rPr>
                      <w:color w:val="auto"/>
                    </w:rPr>
                  </w:pPr>
                </w:p>
              </w:tc>
              <w:tc>
                <w:tcPr>
                  <w:tcW w:w="864" w:type="pct"/>
                  <w:vMerge w:val="continue"/>
                  <w:tcBorders>
                    <w:tl2br w:val="nil"/>
                    <w:tr2bl w:val="nil"/>
                  </w:tcBorders>
                  <w:vAlign w:val="center"/>
                </w:tcPr>
                <w:p w14:paraId="6154A12D">
                  <w:pPr>
                    <w:pStyle w:val="34"/>
                    <w:bidi w:val="0"/>
                    <w:jc w:val="center"/>
                    <w:rPr>
                      <w:color w:val="auto"/>
                    </w:rPr>
                  </w:pPr>
                </w:p>
              </w:tc>
              <w:tc>
                <w:tcPr>
                  <w:tcW w:w="912" w:type="pct"/>
                  <w:tcBorders>
                    <w:tl2br w:val="nil"/>
                    <w:tr2bl w:val="nil"/>
                  </w:tcBorders>
                  <w:vAlign w:val="center"/>
                </w:tcPr>
                <w:p w14:paraId="7FC6A61C">
                  <w:pPr>
                    <w:pStyle w:val="37"/>
                    <w:bidi w:val="0"/>
                    <w:rPr>
                      <w:color w:val="auto"/>
                    </w:rPr>
                  </w:pPr>
                  <w:r>
                    <w:rPr>
                      <w:color w:val="auto"/>
                    </w:rPr>
                    <w:t>日平均</w:t>
                  </w:r>
                </w:p>
              </w:tc>
              <w:tc>
                <w:tcPr>
                  <w:tcW w:w="563" w:type="pct"/>
                  <w:tcBorders>
                    <w:tl2br w:val="nil"/>
                    <w:tr2bl w:val="nil"/>
                  </w:tcBorders>
                  <w:vAlign w:val="center"/>
                </w:tcPr>
                <w:p w14:paraId="40CAAC63">
                  <w:pPr>
                    <w:pStyle w:val="37"/>
                    <w:bidi w:val="0"/>
                    <w:rPr>
                      <w:color w:val="auto"/>
                    </w:rPr>
                  </w:pPr>
                  <w:r>
                    <w:rPr>
                      <w:color w:val="auto"/>
                    </w:rPr>
                    <w:t>80</w:t>
                  </w:r>
                </w:p>
              </w:tc>
              <w:tc>
                <w:tcPr>
                  <w:tcW w:w="553" w:type="pct"/>
                  <w:tcBorders>
                    <w:tl2br w:val="nil"/>
                    <w:tr2bl w:val="nil"/>
                  </w:tcBorders>
                  <w:vAlign w:val="center"/>
                </w:tcPr>
                <w:p w14:paraId="022433CE">
                  <w:pPr>
                    <w:pStyle w:val="37"/>
                    <w:bidi w:val="0"/>
                    <w:rPr>
                      <w:color w:val="auto"/>
                    </w:rPr>
                  </w:pPr>
                  <w:r>
                    <w:rPr>
                      <w:color w:val="auto"/>
                    </w:rPr>
                    <w:t>80</w:t>
                  </w:r>
                </w:p>
              </w:tc>
              <w:tc>
                <w:tcPr>
                  <w:tcW w:w="553" w:type="pct"/>
                  <w:tcBorders>
                    <w:tl2br w:val="nil"/>
                    <w:tr2bl w:val="nil"/>
                  </w:tcBorders>
                  <w:vAlign w:val="center"/>
                </w:tcPr>
                <w:p w14:paraId="207F7D0A">
                  <w:pPr>
                    <w:pStyle w:val="37"/>
                    <w:bidi w:val="0"/>
                    <w:rPr>
                      <w:color w:val="auto"/>
                    </w:rPr>
                  </w:pPr>
                  <w:r>
                    <w:rPr>
                      <w:color w:val="auto"/>
                    </w:rPr>
                    <w:t>50</w:t>
                  </w:r>
                </w:p>
              </w:tc>
              <w:tc>
                <w:tcPr>
                  <w:tcW w:w="563" w:type="pct"/>
                  <w:tcBorders>
                    <w:tl2br w:val="nil"/>
                    <w:tr2bl w:val="nil"/>
                  </w:tcBorders>
                  <w:vAlign w:val="center"/>
                </w:tcPr>
                <w:p w14:paraId="37DCD0A1">
                  <w:pPr>
                    <w:pStyle w:val="37"/>
                    <w:bidi w:val="0"/>
                    <w:rPr>
                      <w:color w:val="auto"/>
                    </w:rPr>
                  </w:pPr>
                  <w:r>
                    <w:rPr>
                      <w:color w:val="auto"/>
                    </w:rPr>
                    <w:t>50</w:t>
                  </w:r>
                </w:p>
              </w:tc>
              <w:tc>
                <w:tcPr>
                  <w:tcW w:w="706" w:type="pct"/>
                  <w:vMerge w:val="continue"/>
                  <w:tcBorders>
                    <w:tl2br w:val="nil"/>
                    <w:tr2bl w:val="nil"/>
                  </w:tcBorders>
                  <w:vAlign w:val="center"/>
                </w:tcPr>
                <w:p w14:paraId="1881FF60">
                  <w:pPr>
                    <w:pStyle w:val="34"/>
                    <w:bidi w:val="0"/>
                    <w:jc w:val="center"/>
                    <w:rPr>
                      <w:color w:val="auto"/>
                    </w:rPr>
                  </w:pPr>
                </w:p>
              </w:tc>
            </w:tr>
            <w:tr w14:paraId="5966CAA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81" w:type="pct"/>
                  <w:vMerge w:val="continue"/>
                  <w:tcBorders>
                    <w:tl2br w:val="nil"/>
                    <w:tr2bl w:val="nil"/>
                  </w:tcBorders>
                  <w:vAlign w:val="center"/>
                </w:tcPr>
                <w:p w14:paraId="52108A27">
                  <w:pPr>
                    <w:pStyle w:val="34"/>
                    <w:bidi w:val="0"/>
                    <w:jc w:val="center"/>
                    <w:rPr>
                      <w:color w:val="auto"/>
                    </w:rPr>
                  </w:pPr>
                </w:p>
              </w:tc>
              <w:tc>
                <w:tcPr>
                  <w:tcW w:w="864" w:type="pct"/>
                  <w:vMerge w:val="continue"/>
                  <w:tcBorders>
                    <w:tl2br w:val="nil"/>
                    <w:tr2bl w:val="nil"/>
                  </w:tcBorders>
                  <w:vAlign w:val="center"/>
                </w:tcPr>
                <w:p w14:paraId="31A4D8B5">
                  <w:pPr>
                    <w:pStyle w:val="34"/>
                    <w:bidi w:val="0"/>
                    <w:jc w:val="center"/>
                    <w:rPr>
                      <w:color w:val="auto"/>
                    </w:rPr>
                  </w:pPr>
                </w:p>
              </w:tc>
              <w:tc>
                <w:tcPr>
                  <w:tcW w:w="912" w:type="pct"/>
                  <w:tcBorders>
                    <w:tl2br w:val="nil"/>
                    <w:tr2bl w:val="nil"/>
                  </w:tcBorders>
                  <w:vAlign w:val="center"/>
                </w:tcPr>
                <w:p w14:paraId="1E9ED2F0">
                  <w:pPr>
                    <w:pStyle w:val="37"/>
                    <w:bidi w:val="0"/>
                    <w:rPr>
                      <w:color w:val="auto"/>
                    </w:rPr>
                  </w:pPr>
                  <w:r>
                    <w:rPr>
                      <w:color w:val="auto"/>
                    </w:rPr>
                    <w:t>1小时平均</w:t>
                  </w:r>
                </w:p>
              </w:tc>
              <w:tc>
                <w:tcPr>
                  <w:tcW w:w="563" w:type="pct"/>
                  <w:tcBorders>
                    <w:tl2br w:val="nil"/>
                    <w:tr2bl w:val="nil"/>
                  </w:tcBorders>
                  <w:vAlign w:val="center"/>
                </w:tcPr>
                <w:p w14:paraId="4D981E42">
                  <w:pPr>
                    <w:pStyle w:val="37"/>
                    <w:bidi w:val="0"/>
                    <w:rPr>
                      <w:color w:val="auto"/>
                    </w:rPr>
                  </w:pPr>
                  <w:r>
                    <w:rPr>
                      <w:color w:val="auto"/>
                    </w:rPr>
                    <w:t>200</w:t>
                  </w:r>
                </w:p>
              </w:tc>
              <w:tc>
                <w:tcPr>
                  <w:tcW w:w="553" w:type="pct"/>
                  <w:tcBorders>
                    <w:tl2br w:val="nil"/>
                    <w:tr2bl w:val="nil"/>
                  </w:tcBorders>
                  <w:vAlign w:val="center"/>
                </w:tcPr>
                <w:p w14:paraId="0286F9D0">
                  <w:pPr>
                    <w:pStyle w:val="37"/>
                    <w:bidi w:val="0"/>
                    <w:rPr>
                      <w:color w:val="auto"/>
                    </w:rPr>
                  </w:pPr>
                  <w:r>
                    <w:rPr>
                      <w:color w:val="auto"/>
                    </w:rPr>
                    <w:t>200</w:t>
                  </w:r>
                </w:p>
              </w:tc>
              <w:tc>
                <w:tcPr>
                  <w:tcW w:w="553" w:type="pct"/>
                  <w:tcBorders>
                    <w:tl2br w:val="nil"/>
                    <w:tr2bl w:val="nil"/>
                  </w:tcBorders>
                  <w:vAlign w:val="center"/>
                </w:tcPr>
                <w:p w14:paraId="05FF696D">
                  <w:pPr>
                    <w:pStyle w:val="37"/>
                    <w:bidi w:val="0"/>
                    <w:rPr>
                      <w:color w:val="auto"/>
                    </w:rPr>
                  </w:pPr>
                  <w:r>
                    <w:rPr>
                      <w:color w:val="auto"/>
                    </w:rPr>
                    <w:t>200</w:t>
                  </w:r>
                </w:p>
              </w:tc>
              <w:tc>
                <w:tcPr>
                  <w:tcW w:w="563" w:type="pct"/>
                  <w:tcBorders>
                    <w:tl2br w:val="nil"/>
                    <w:tr2bl w:val="nil"/>
                  </w:tcBorders>
                  <w:vAlign w:val="center"/>
                </w:tcPr>
                <w:p w14:paraId="60CA95C4">
                  <w:pPr>
                    <w:pStyle w:val="37"/>
                    <w:bidi w:val="0"/>
                    <w:rPr>
                      <w:color w:val="auto"/>
                    </w:rPr>
                  </w:pPr>
                  <w:r>
                    <w:rPr>
                      <w:color w:val="auto"/>
                    </w:rPr>
                    <w:t>200</w:t>
                  </w:r>
                </w:p>
              </w:tc>
              <w:tc>
                <w:tcPr>
                  <w:tcW w:w="706" w:type="pct"/>
                  <w:vMerge w:val="continue"/>
                  <w:tcBorders>
                    <w:tl2br w:val="nil"/>
                    <w:tr2bl w:val="nil"/>
                  </w:tcBorders>
                  <w:vAlign w:val="center"/>
                </w:tcPr>
                <w:p w14:paraId="662F9BBB">
                  <w:pPr>
                    <w:pStyle w:val="34"/>
                    <w:bidi w:val="0"/>
                    <w:jc w:val="center"/>
                    <w:rPr>
                      <w:color w:val="auto"/>
                    </w:rPr>
                  </w:pPr>
                </w:p>
              </w:tc>
            </w:tr>
            <w:tr w14:paraId="3938C1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50" w:hRule="atLeast"/>
              </w:trPr>
              <w:tc>
                <w:tcPr>
                  <w:tcW w:w="281" w:type="pct"/>
                  <w:vMerge w:val="restart"/>
                  <w:tcBorders>
                    <w:tl2br w:val="nil"/>
                    <w:tr2bl w:val="nil"/>
                  </w:tcBorders>
                  <w:vAlign w:val="center"/>
                </w:tcPr>
                <w:p w14:paraId="068DD5FB">
                  <w:pPr>
                    <w:pStyle w:val="37"/>
                    <w:bidi w:val="0"/>
                    <w:rPr>
                      <w:color w:val="auto"/>
                    </w:rPr>
                  </w:pPr>
                  <w:r>
                    <w:rPr>
                      <w:color w:val="auto"/>
                    </w:rPr>
                    <w:t>3</w:t>
                  </w:r>
                </w:p>
              </w:tc>
              <w:tc>
                <w:tcPr>
                  <w:tcW w:w="864" w:type="pct"/>
                  <w:vMerge w:val="restart"/>
                  <w:tcBorders>
                    <w:tl2br w:val="nil"/>
                    <w:tr2bl w:val="nil"/>
                  </w:tcBorders>
                  <w:vAlign w:val="center"/>
                </w:tcPr>
                <w:p w14:paraId="5BB0AB6B">
                  <w:pPr>
                    <w:pStyle w:val="37"/>
                    <w:bidi w:val="0"/>
                    <w:rPr>
                      <w:color w:val="auto"/>
                    </w:rPr>
                  </w:pPr>
                  <w:r>
                    <w:rPr>
                      <w:color w:val="auto"/>
                    </w:rPr>
                    <w:t>一氧化碳(CO)</w:t>
                  </w:r>
                </w:p>
              </w:tc>
              <w:tc>
                <w:tcPr>
                  <w:tcW w:w="912" w:type="pct"/>
                  <w:tcBorders>
                    <w:tl2br w:val="nil"/>
                    <w:tr2bl w:val="nil"/>
                  </w:tcBorders>
                  <w:vAlign w:val="center"/>
                </w:tcPr>
                <w:p w14:paraId="55FF9370">
                  <w:pPr>
                    <w:pStyle w:val="37"/>
                    <w:bidi w:val="0"/>
                    <w:rPr>
                      <w:color w:val="auto"/>
                    </w:rPr>
                  </w:pPr>
                  <w:r>
                    <w:rPr>
                      <w:color w:val="auto"/>
                    </w:rPr>
                    <w:t>日平均</w:t>
                  </w:r>
                </w:p>
              </w:tc>
              <w:tc>
                <w:tcPr>
                  <w:tcW w:w="563" w:type="pct"/>
                  <w:tcBorders>
                    <w:tl2br w:val="nil"/>
                    <w:tr2bl w:val="nil"/>
                  </w:tcBorders>
                  <w:vAlign w:val="center"/>
                </w:tcPr>
                <w:p w14:paraId="24C66C3D">
                  <w:pPr>
                    <w:pStyle w:val="37"/>
                    <w:bidi w:val="0"/>
                    <w:rPr>
                      <w:color w:val="auto"/>
                    </w:rPr>
                  </w:pPr>
                  <w:r>
                    <w:rPr>
                      <w:color w:val="auto"/>
                    </w:rPr>
                    <w:t>4</w:t>
                  </w:r>
                </w:p>
              </w:tc>
              <w:tc>
                <w:tcPr>
                  <w:tcW w:w="553" w:type="pct"/>
                  <w:tcBorders>
                    <w:tl2br w:val="nil"/>
                    <w:tr2bl w:val="nil"/>
                  </w:tcBorders>
                  <w:vAlign w:val="center"/>
                </w:tcPr>
                <w:p w14:paraId="70A1E297">
                  <w:pPr>
                    <w:pStyle w:val="37"/>
                    <w:bidi w:val="0"/>
                    <w:rPr>
                      <w:color w:val="auto"/>
                    </w:rPr>
                  </w:pPr>
                  <w:r>
                    <w:rPr>
                      <w:color w:val="auto"/>
                    </w:rPr>
                    <w:t>4</w:t>
                  </w:r>
                </w:p>
              </w:tc>
              <w:tc>
                <w:tcPr>
                  <w:tcW w:w="553" w:type="pct"/>
                  <w:tcBorders>
                    <w:tl2br w:val="nil"/>
                    <w:tr2bl w:val="nil"/>
                  </w:tcBorders>
                  <w:vAlign w:val="center"/>
                </w:tcPr>
                <w:p w14:paraId="10B4AF0F">
                  <w:pPr>
                    <w:pStyle w:val="37"/>
                    <w:bidi w:val="0"/>
                    <w:rPr>
                      <w:color w:val="auto"/>
                    </w:rPr>
                  </w:pPr>
                  <w:r>
                    <w:rPr>
                      <w:color w:val="auto"/>
                    </w:rPr>
                    <w:t>4</w:t>
                  </w:r>
                </w:p>
              </w:tc>
              <w:tc>
                <w:tcPr>
                  <w:tcW w:w="563" w:type="pct"/>
                  <w:tcBorders>
                    <w:tl2br w:val="nil"/>
                    <w:tr2bl w:val="nil"/>
                  </w:tcBorders>
                  <w:vAlign w:val="center"/>
                </w:tcPr>
                <w:p w14:paraId="25600024">
                  <w:pPr>
                    <w:pStyle w:val="37"/>
                    <w:bidi w:val="0"/>
                    <w:rPr>
                      <w:color w:val="auto"/>
                    </w:rPr>
                  </w:pPr>
                  <w:r>
                    <w:rPr>
                      <w:color w:val="auto"/>
                    </w:rPr>
                    <w:t>4</w:t>
                  </w:r>
                </w:p>
              </w:tc>
              <w:tc>
                <w:tcPr>
                  <w:tcW w:w="706" w:type="pct"/>
                  <w:vMerge w:val="restart"/>
                  <w:tcBorders>
                    <w:tl2br w:val="nil"/>
                    <w:tr2bl w:val="nil"/>
                  </w:tcBorders>
                  <w:vAlign w:val="center"/>
                </w:tcPr>
                <w:p w14:paraId="7D6C37ED">
                  <w:pPr>
                    <w:pStyle w:val="37"/>
                    <w:bidi w:val="0"/>
                    <w:rPr>
                      <w:color w:val="auto"/>
                    </w:rPr>
                  </w:pPr>
                  <w:r>
                    <w:rPr>
                      <w:color w:val="auto"/>
                    </w:rPr>
                    <w:t>mg/m³</w:t>
                  </w:r>
                </w:p>
              </w:tc>
            </w:tr>
            <w:tr w14:paraId="3B41C3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81" w:type="pct"/>
                  <w:vMerge w:val="continue"/>
                  <w:tcBorders>
                    <w:tl2br w:val="nil"/>
                    <w:tr2bl w:val="nil"/>
                  </w:tcBorders>
                  <w:vAlign w:val="center"/>
                </w:tcPr>
                <w:p w14:paraId="362E8ED7">
                  <w:pPr>
                    <w:pStyle w:val="34"/>
                    <w:bidi w:val="0"/>
                    <w:jc w:val="center"/>
                    <w:rPr>
                      <w:color w:val="auto"/>
                    </w:rPr>
                  </w:pPr>
                </w:p>
              </w:tc>
              <w:tc>
                <w:tcPr>
                  <w:tcW w:w="864" w:type="pct"/>
                  <w:vMerge w:val="continue"/>
                  <w:tcBorders>
                    <w:tl2br w:val="nil"/>
                    <w:tr2bl w:val="nil"/>
                  </w:tcBorders>
                  <w:vAlign w:val="center"/>
                </w:tcPr>
                <w:p w14:paraId="39ADF79F">
                  <w:pPr>
                    <w:pStyle w:val="34"/>
                    <w:bidi w:val="0"/>
                    <w:jc w:val="center"/>
                    <w:rPr>
                      <w:color w:val="auto"/>
                    </w:rPr>
                  </w:pPr>
                </w:p>
              </w:tc>
              <w:tc>
                <w:tcPr>
                  <w:tcW w:w="912" w:type="pct"/>
                  <w:tcBorders>
                    <w:tl2br w:val="nil"/>
                    <w:tr2bl w:val="nil"/>
                  </w:tcBorders>
                  <w:vAlign w:val="center"/>
                </w:tcPr>
                <w:p w14:paraId="381442BB">
                  <w:pPr>
                    <w:pStyle w:val="37"/>
                    <w:bidi w:val="0"/>
                    <w:rPr>
                      <w:color w:val="auto"/>
                    </w:rPr>
                  </w:pPr>
                  <w:r>
                    <w:rPr>
                      <w:color w:val="auto"/>
                    </w:rPr>
                    <w:t>1小时平均</w:t>
                  </w:r>
                </w:p>
              </w:tc>
              <w:tc>
                <w:tcPr>
                  <w:tcW w:w="563" w:type="pct"/>
                  <w:tcBorders>
                    <w:tl2br w:val="nil"/>
                    <w:tr2bl w:val="nil"/>
                  </w:tcBorders>
                  <w:vAlign w:val="center"/>
                </w:tcPr>
                <w:p w14:paraId="6841A305">
                  <w:pPr>
                    <w:pStyle w:val="37"/>
                    <w:bidi w:val="0"/>
                    <w:rPr>
                      <w:color w:val="auto"/>
                    </w:rPr>
                  </w:pPr>
                  <w:r>
                    <w:rPr>
                      <w:color w:val="auto"/>
                    </w:rPr>
                    <w:t>10</w:t>
                  </w:r>
                </w:p>
              </w:tc>
              <w:tc>
                <w:tcPr>
                  <w:tcW w:w="553" w:type="pct"/>
                  <w:tcBorders>
                    <w:tl2br w:val="nil"/>
                    <w:tr2bl w:val="nil"/>
                  </w:tcBorders>
                  <w:vAlign w:val="center"/>
                </w:tcPr>
                <w:p w14:paraId="0798A3A4">
                  <w:pPr>
                    <w:pStyle w:val="37"/>
                    <w:bidi w:val="0"/>
                    <w:rPr>
                      <w:color w:val="auto"/>
                    </w:rPr>
                  </w:pPr>
                  <w:r>
                    <w:rPr>
                      <w:color w:val="auto"/>
                    </w:rPr>
                    <w:t>10</w:t>
                  </w:r>
                </w:p>
              </w:tc>
              <w:tc>
                <w:tcPr>
                  <w:tcW w:w="553" w:type="pct"/>
                  <w:tcBorders>
                    <w:tl2br w:val="nil"/>
                    <w:tr2bl w:val="nil"/>
                  </w:tcBorders>
                  <w:vAlign w:val="center"/>
                </w:tcPr>
                <w:p w14:paraId="62F2AF3F">
                  <w:pPr>
                    <w:pStyle w:val="37"/>
                    <w:bidi w:val="0"/>
                    <w:rPr>
                      <w:color w:val="auto"/>
                    </w:rPr>
                  </w:pPr>
                  <w:r>
                    <w:rPr>
                      <w:color w:val="auto"/>
                    </w:rPr>
                    <w:t>10</w:t>
                  </w:r>
                </w:p>
              </w:tc>
              <w:tc>
                <w:tcPr>
                  <w:tcW w:w="563" w:type="pct"/>
                  <w:tcBorders>
                    <w:tl2br w:val="nil"/>
                    <w:tr2bl w:val="nil"/>
                  </w:tcBorders>
                  <w:vAlign w:val="center"/>
                </w:tcPr>
                <w:p w14:paraId="770FCFB0">
                  <w:pPr>
                    <w:pStyle w:val="37"/>
                    <w:bidi w:val="0"/>
                    <w:rPr>
                      <w:color w:val="auto"/>
                    </w:rPr>
                  </w:pPr>
                  <w:r>
                    <w:rPr>
                      <w:color w:val="auto"/>
                    </w:rPr>
                    <w:t>10</w:t>
                  </w:r>
                </w:p>
              </w:tc>
              <w:tc>
                <w:tcPr>
                  <w:tcW w:w="706" w:type="pct"/>
                  <w:vMerge w:val="continue"/>
                  <w:tcBorders>
                    <w:tl2br w:val="nil"/>
                    <w:tr2bl w:val="nil"/>
                  </w:tcBorders>
                  <w:vAlign w:val="center"/>
                </w:tcPr>
                <w:p w14:paraId="0C219736">
                  <w:pPr>
                    <w:pStyle w:val="34"/>
                    <w:bidi w:val="0"/>
                    <w:jc w:val="center"/>
                    <w:rPr>
                      <w:color w:val="auto"/>
                    </w:rPr>
                  </w:pPr>
                </w:p>
              </w:tc>
            </w:tr>
            <w:tr w14:paraId="2608747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81" w:type="pct"/>
                  <w:vMerge w:val="restart"/>
                  <w:tcBorders>
                    <w:tl2br w:val="nil"/>
                    <w:tr2bl w:val="nil"/>
                  </w:tcBorders>
                  <w:vAlign w:val="center"/>
                </w:tcPr>
                <w:p w14:paraId="55393E77">
                  <w:pPr>
                    <w:pStyle w:val="37"/>
                    <w:bidi w:val="0"/>
                    <w:rPr>
                      <w:color w:val="auto"/>
                    </w:rPr>
                  </w:pPr>
                  <w:r>
                    <w:rPr>
                      <w:color w:val="auto"/>
                    </w:rPr>
                    <w:t>4</w:t>
                  </w:r>
                </w:p>
              </w:tc>
              <w:tc>
                <w:tcPr>
                  <w:tcW w:w="864" w:type="pct"/>
                  <w:vMerge w:val="restart"/>
                  <w:tcBorders>
                    <w:tl2br w:val="nil"/>
                    <w:tr2bl w:val="nil"/>
                  </w:tcBorders>
                  <w:vAlign w:val="center"/>
                </w:tcPr>
                <w:p w14:paraId="26971E31">
                  <w:pPr>
                    <w:pStyle w:val="37"/>
                    <w:bidi w:val="0"/>
                    <w:rPr>
                      <w:color w:val="auto"/>
                    </w:rPr>
                  </w:pPr>
                  <w:r>
                    <w:rPr>
                      <w:color w:val="auto"/>
                    </w:rPr>
                    <w:t>臭氧(O₃)</w:t>
                  </w:r>
                </w:p>
              </w:tc>
              <w:tc>
                <w:tcPr>
                  <w:tcW w:w="912" w:type="pct"/>
                  <w:tcBorders>
                    <w:tl2br w:val="nil"/>
                    <w:tr2bl w:val="nil"/>
                  </w:tcBorders>
                  <w:vAlign w:val="center"/>
                </w:tcPr>
                <w:p w14:paraId="1F69A945">
                  <w:pPr>
                    <w:pStyle w:val="37"/>
                    <w:bidi w:val="0"/>
                    <w:rPr>
                      <w:color w:val="auto"/>
                    </w:rPr>
                  </w:pPr>
                  <w:r>
                    <w:rPr>
                      <w:color w:val="auto"/>
                    </w:rPr>
                    <w:t>日最大8小时平均</w:t>
                  </w:r>
                </w:p>
              </w:tc>
              <w:tc>
                <w:tcPr>
                  <w:tcW w:w="563" w:type="pct"/>
                  <w:tcBorders>
                    <w:tl2br w:val="nil"/>
                    <w:tr2bl w:val="nil"/>
                  </w:tcBorders>
                  <w:vAlign w:val="center"/>
                </w:tcPr>
                <w:p w14:paraId="43A9F3AD">
                  <w:pPr>
                    <w:pStyle w:val="37"/>
                    <w:bidi w:val="0"/>
                    <w:rPr>
                      <w:color w:val="auto"/>
                    </w:rPr>
                  </w:pPr>
                  <w:r>
                    <w:rPr>
                      <w:color w:val="auto"/>
                    </w:rPr>
                    <w:t>100</w:t>
                  </w:r>
                </w:p>
              </w:tc>
              <w:tc>
                <w:tcPr>
                  <w:tcW w:w="553" w:type="pct"/>
                  <w:tcBorders>
                    <w:tl2br w:val="nil"/>
                    <w:tr2bl w:val="nil"/>
                  </w:tcBorders>
                  <w:vAlign w:val="center"/>
                </w:tcPr>
                <w:p w14:paraId="02E5456C">
                  <w:pPr>
                    <w:pStyle w:val="37"/>
                    <w:bidi w:val="0"/>
                    <w:rPr>
                      <w:color w:val="auto"/>
                    </w:rPr>
                  </w:pPr>
                  <w:r>
                    <w:rPr>
                      <w:color w:val="auto"/>
                    </w:rPr>
                    <w:t>160</w:t>
                  </w:r>
                </w:p>
              </w:tc>
              <w:tc>
                <w:tcPr>
                  <w:tcW w:w="553" w:type="pct"/>
                  <w:tcBorders>
                    <w:tl2br w:val="nil"/>
                    <w:tr2bl w:val="nil"/>
                  </w:tcBorders>
                  <w:vAlign w:val="center"/>
                </w:tcPr>
                <w:p w14:paraId="3E9BE308">
                  <w:pPr>
                    <w:pStyle w:val="37"/>
                    <w:bidi w:val="0"/>
                    <w:rPr>
                      <w:color w:val="auto"/>
                    </w:rPr>
                  </w:pPr>
                  <w:r>
                    <w:rPr>
                      <w:color w:val="auto"/>
                    </w:rPr>
                    <w:t>100</w:t>
                  </w:r>
                </w:p>
              </w:tc>
              <w:tc>
                <w:tcPr>
                  <w:tcW w:w="563" w:type="pct"/>
                  <w:tcBorders>
                    <w:tl2br w:val="nil"/>
                    <w:tr2bl w:val="nil"/>
                  </w:tcBorders>
                  <w:vAlign w:val="center"/>
                </w:tcPr>
                <w:p w14:paraId="7FD49EEF">
                  <w:pPr>
                    <w:pStyle w:val="37"/>
                    <w:bidi w:val="0"/>
                    <w:rPr>
                      <w:color w:val="auto"/>
                    </w:rPr>
                  </w:pPr>
                  <w:r>
                    <w:rPr>
                      <w:color w:val="auto"/>
                    </w:rPr>
                    <w:t>160</w:t>
                  </w:r>
                </w:p>
              </w:tc>
              <w:tc>
                <w:tcPr>
                  <w:tcW w:w="706" w:type="pct"/>
                  <w:vMerge w:val="restart"/>
                  <w:tcBorders>
                    <w:tl2br w:val="nil"/>
                    <w:tr2bl w:val="nil"/>
                  </w:tcBorders>
                  <w:vAlign w:val="center"/>
                </w:tcPr>
                <w:p w14:paraId="507AD49E">
                  <w:pPr>
                    <w:pStyle w:val="37"/>
                    <w:bidi w:val="0"/>
                    <w:rPr>
                      <w:color w:val="auto"/>
                    </w:rPr>
                  </w:pPr>
                  <w:r>
                    <w:rPr>
                      <w:color w:val="auto"/>
                    </w:rPr>
                    <w:t>μg/m³</w:t>
                  </w:r>
                </w:p>
              </w:tc>
            </w:tr>
            <w:tr w14:paraId="2ED9E1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99" w:hRule="atLeast"/>
              </w:trPr>
              <w:tc>
                <w:tcPr>
                  <w:tcW w:w="281" w:type="pct"/>
                  <w:vMerge w:val="continue"/>
                  <w:tcBorders>
                    <w:tl2br w:val="nil"/>
                    <w:tr2bl w:val="nil"/>
                  </w:tcBorders>
                  <w:vAlign w:val="center"/>
                </w:tcPr>
                <w:p w14:paraId="082654CD">
                  <w:pPr>
                    <w:pStyle w:val="34"/>
                    <w:bidi w:val="0"/>
                    <w:jc w:val="center"/>
                    <w:rPr>
                      <w:color w:val="auto"/>
                    </w:rPr>
                  </w:pPr>
                </w:p>
              </w:tc>
              <w:tc>
                <w:tcPr>
                  <w:tcW w:w="864" w:type="pct"/>
                  <w:vMerge w:val="continue"/>
                  <w:tcBorders>
                    <w:tl2br w:val="nil"/>
                    <w:tr2bl w:val="nil"/>
                  </w:tcBorders>
                  <w:vAlign w:val="center"/>
                </w:tcPr>
                <w:p w14:paraId="349AEDF6">
                  <w:pPr>
                    <w:pStyle w:val="34"/>
                    <w:bidi w:val="0"/>
                    <w:jc w:val="center"/>
                    <w:rPr>
                      <w:color w:val="auto"/>
                    </w:rPr>
                  </w:pPr>
                </w:p>
              </w:tc>
              <w:tc>
                <w:tcPr>
                  <w:tcW w:w="912" w:type="pct"/>
                  <w:tcBorders>
                    <w:tl2br w:val="nil"/>
                    <w:tr2bl w:val="nil"/>
                  </w:tcBorders>
                  <w:vAlign w:val="center"/>
                </w:tcPr>
                <w:p w14:paraId="05652879">
                  <w:pPr>
                    <w:pStyle w:val="37"/>
                    <w:bidi w:val="0"/>
                    <w:rPr>
                      <w:color w:val="auto"/>
                    </w:rPr>
                  </w:pPr>
                  <w:r>
                    <w:rPr>
                      <w:color w:val="auto"/>
                    </w:rPr>
                    <w:t>1小时平均</w:t>
                  </w:r>
                </w:p>
              </w:tc>
              <w:tc>
                <w:tcPr>
                  <w:tcW w:w="563" w:type="pct"/>
                  <w:tcBorders>
                    <w:tl2br w:val="nil"/>
                    <w:tr2bl w:val="nil"/>
                  </w:tcBorders>
                  <w:vAlign w:val="center"/>
                </w:tcPr>
                <w:p w14:paraId="52ECBF62">
                  <w:pPr>
                    <w:pStyle w:val="37"/>
                    <w:bidi w:val="0"/>
                    <w:rPr>
                      <w:color w:val="auto"/>
                    </w:rPr>
                  </w:pPr>
                  <w:r>
                    <w:rPr>
                      <w:color w:val="auto"/>
                    </w:rPr>
                    <w:t>160</w:t>
                  </w:r>
                </w:p>
              </w:tc>
              <w:tc>
                <w:tcPr>
                  <w:tcW w:w="553" w:type="pct"/>
                  <w:tcBorders>
                    <w:tl2br w:val="nil"/>
                    <w:tr2bl w:val="nil"/>
                  </w:tcBorders>
                  <w:vAlign w:val="center"/>
                </w:tcPr>
                <w:p w14:paraId="3ACC7A81">
                  <w:pPr>
                    <w:pStyle w:val="37"/>
                    <w:bidi w:val="0"/>
                    <w:rPr>
                      <w:color w:val="auto"/>
                    </w:rPr>
                  </w:pPr>
                  <w:r>
                    <w:rPr>
                      <w:color w:val="auto"/>
                    </w:rPr>
                    <w:t>200</w:t>
                  </w:r>
                </w:p>
              </w:tc>
              <w:tc>
                <w:tcPr>
                  <w:tcW w:w="553" w:type="pct"/>
                  <w:tcBorders>
                    <w:tl2br w:val="nil"/>
                    <w:tr2bl w:val="nil"/>
                  </w:tcBorders>
                  <w:vAlign w:val="center"/>
                </w:tcPr>
                <w:p w14:paraId="7E957466">
                  <w:pPr>
                    <w:pStyle w:val="37"/>
                    <w:bidi w:val="0"/>
                    <w:rPr>
                      <w:color w:val="auto"/>
                    </w:rPr>
                  </w:pPr>
                  <w:r>
                    <w:rPr>
                      <w:color w:val="auto"/>
                    </w:rPr>
                    <w:t>160</w:t>
                  </w:r>
                </w:p>
              </w:tc>
              <w:tc>
                <w:tcPr>
                  <w:tcW w:w="563" w:type="pct"/>
                  <w:tcBorders>
                    <w:tl2br w:val="nil"/>
                    <w:tr2bl w:val="nil"/>
                  </w:tcBorders>
                  <w:vAlign w:val="center"/>
                </w:tcPr>
                <w:p w14:paraId="55617A09">
                  <w:pPr>
                    <w:pStyle w:val="37"/>
                    <w:bidi w:val="0"/>
                    <w:rPr>
                      <w:color w:val="auto"/>
                    </w:rPr>
                  </w:pPr>
                  <w:r>
                    <w:rPr>
                      <w:color w:val="auto"/>
                    </w:rPr>
                    <w:t>200</w:t>
                  </w:r>
                </w:p>
              </w:tc>
              <w:tc>
                <w:tcPr>
                  <w:tcW w:w="706" w:type="pct"/>
                  <w:vMerge w:val="continue"/>
                  <w:tcBorders>
                    <w:tl2br w:val="nil"/>
                    <w:tr2bl w:val="nil"/>
                  </w:tcBorders>
                  <w:vAlign w:val="center"/>
                </w:tcPr>
                <w:p w14:paraId="64D5B6C5">
                  <w:pPr>
                    <w:pStyle w:val="34"/>
                    <w:bidi w:val="0"/>
                    <w:jc w:val="center"/>
                    <w:rPr>
                      <w:color w:val="auto"/>
                    </w:rPr>
                  </w:pPr>
                </w:p>
              </w:tc>
            </w:tr>
            <w:tr w14:paraId="4DFEACD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81" w:type="pct"/>
                  <w:vMerge w:val="restart"/>
                  <w:tcBorders>
                    <w:tl2br w:val="nil"/>
                    <w:tr2bl w:val="nil"/>
                  </w:tcBorders>
                  <w:vAlign w:val="center"/>
                </w:tcPr>
                <w:p w14:paraId="2C6DB018">
                  <w:pPr>
                    <w:pStyle w:val="37"/>
                    <w:bidi w:val="0"/>
                    <w:rPr>
                      <w:color w:val="auto"/>
                    </w:rPr>
                  </w:pPr>
                  <w:r>
                    <w:rPr>
                      <w:color w:val="auto"/>
                    </w:rPr>
                    <w:t>5</w:t>
                  </w:r>
                </w:p>
              </w:tc>
              <w:tc>
                <w:tcPr>
                  <w:tcW w:w="864" w:type="pct"/>
                  <w:vMerge w:val="restart"/>
                  <w:tcBorders>
                    <w:tl2br w:val="nil"/>
                    <w:tr2bl w:val="nil"/>
                  </w:tcBorders>
                  <w:vAlign w:val="center"/>
                </w:tcPr>
                <w:p w14:paraId="73395BEA">
                  <w:pPr>
                    <w:pStyle w:val="37"/>
                    <w:bidi w:val="0"/>
                    <w:rPr>
                      <w:color w:val="auto"/>
                    </w:rPr>
                  </w:pPr>
                  <w:r>
                    <w:rPr>
                      <w:color w:val="auto"/>
                    </w:rPr>
                    <w:t>颗粒物(粒径小于等于10μm</w:t>
                  </w:r>
                  <w:r>
                    <w:rPr>
                      <w:rFonts w:hint="eastAsia"/>
                      <w:color w:val="auto"/>
                      <w:lang w:eastAsia="zh-CN"/>
                    </w:rPr>
                    <w:t>，</w:t>
                  </w:r>
                  <w:r>
                    <w:rPr>
                      <w:color w:val="auto"/>
                    </w:rPr>
                    <w:t>PM₁₀)</w:t>
                  </w:r>
                </w:p>
              </w:tc>
              <w:tc>
                <w:tcPr>
                  <w:tcW w:w="912" w:type="pct"/>
                  <w:tcBorders>
                    <w:tl2br w:val="nil"/>
                    <w:tr2bl w:val="nil"/>
                  </w:tcBorders>
                  <w:vAlign w:val="center"/>
                </w:tcPr>
                <w:p w14:paraId="61F15DDB">
                  <w:pPr>
                    <w:pStyle w:val="37"/>
                    <w:bidi w:val="0"/>
                    <w:rPr>
                      <w:color w:val="auto"/>
                    </w:rPr>
                  </w:pPr>
                  <w:r>
                    <w:rPr>
                      <w:color w:val="auto"/>
                    </w:rPr>
                    <w:t>年平均</w:t>
                  </w:r>
                </w:p>
              </w:tc>
              <w:tc>
                <w:tcPr>
                  <w:tcW w:w="563" w:type="pct"/>
                  <w:tcBorders>
                    <w:tl2br w:val="nil"/>
                    <w:tr2bl w:val="nil"/>
                  </w:tcBorders>
                  <w:vAlign w:val="center"/>
                </w:tcPr>
                <w:p w14:paraId="1238A09D">
                  <w:pPr>
                    <w:pStyle w:val="37"/>
                    <w:bidi w:val="0"/>
                    <w:rPr>
                      <w:color w:val="auto"/>
                    </w:rPr>
                  </w:pPr>
                  <w:r>
                    <w:rPr>
                      <w:color w:val="auto"/>
                    </w:rPr>
                    <w:t>40</w:t>
                  </w:r>
                </w:p>
              </w:tc>
              <w:tc>
                <w:tcPr>
                  <w:tcW w:w="553" w:type="pct"/>
                  <w:tcBorders>
                    <w:tl2br w:val="nil"/>
                    <w:tr2bl w:val="nil"/>
                  </w:tcBorders>
                  <w:vAlign w:val="center"/>
                </w:tcPr>
                <w:p w14:paraId="70652AA7">
                  <w:pPr>
                    <w:pStyle w:val="37"/>
                    <w:bidi w:val="0"/>
                    <w:rPr>
                      <w:color w:val="auto"/>
                    </w:rPr>
                  </w:pPr>
                  <w:r>
                    <w:rPr>
                      <w:color w:val="auto"/>
                    </w:rPr>
                    <w:t>60</w:t>
                  </w:r>
                </w:p>
              </w:tc>
              <w:tc>
                <w:tcPr>
                  <w:tcW w:w="553" w:type="pct"/>
                  <w:tcBorders>
                    <w:tl2br w:val="nil"/>
                    <w:tr2bl w:val="nil"/>
                  </w:tcBorders>
                  <w:vAlign w:val="center"/>
                </w:tcPr>
                <w:p w14:paraId="03A26212">
                  <w:pPr>
                    <w:pStyle w:val="37"/>
                    <w:bidi w:val="0"/>
                    <w:rPr>
                      <w:color w:val="auto"/>
                    </w:rPr>
                  </w:pPr>
                  <w:r>
                    <w:rPr>
                      <w:color w:val="auto"/>
                    </w:rPr>
                    <w:t>20</w:t>
                  </w:r>
                </w:p>
              </w:tc>
              <w:tc>
                <w:tcPr>
                  <w:tcW w:w="563" w:type="pct"/>
                  <w:tcBorders>
                    <w:tl2br w:val="nil"/>
                    <w:tr2bl w:val="nil"/>
                  </w:tcBorders>
                  <w:vAlign w:val="center"/>
                </w:tcPr>
                <w:p w14:paraId="7E6B4C65">
                  <w:pPr>
                    <w:pStyle w:val="37"/>
                    <w:bidi w:val="0"/>
                    <w:rPr>
                      <w:color w:val="auto"/>
                    </w:rPr>
                  </w:pPr>
                  <w:r>
                    <w:rPr>
                      <w:color w:val="auto"/>
                    </w:rPr>
                    <w:t>50</w:t>
                  </w:r>
                </w:p>
              </w:tc>
              <w:tc>
                <w:tcPr>
                  <w:tcW w:w="706" w:type="pct"/>
                  <w:vMerge w:val="continue"/>
                  <w:tcBorders>
                    <w:tl2br w:val="nil"/>
                    <w:tr2bl w:val="nil"/>
                  </w:tcBorders>
                  <w:vAlign w:val="center"/>
                </w:tcPr>
                <w:p w14:paraId="08D9242F">
                  <w:pPr>
                    <w:pStyle w:val="34"/>
                    <w:bidi w:val="0"/>
                    <w:jc w:val="center"/>
                    <w:rPr>
                      <w:color w:val="auto"/>
                    </w:rPr>
                  </w:pPr>
                </w:p>
              </w:tc>
            </w:tr>
            <w:tr w14:paraId="1D70DA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70" w:hRule="atLeast"/>
              </w:trPr>
              <w:tc>
                <w:tcPr>
                  <w:tcW w:w="281" w:type="pct"/>
                  <w:vMerge w:val="continue"/>
                  <w:tcBorders>
                    <w:tl2br w:val="nil"/>
                    <w:tr2bl w:val="nil"/>
                  </w:tcBorders>
                  <w:vAlign w:val="center"/>
                </w:tcPr>
                <w:p w14:paraId="4A38FA79">
                  <w:pPr>
                    <w:pStyle w:val="34"/>
                    <w:bidi w:val="0"/>
                    <w:jc w:val="center"/>
                    <w:rPr>
                      <w:color w:val="auto"/>
                    </w:rPr>
                  </w:pPr>
                </w:p>
              </w:tc>
              <w:tc>
                <w:tcPr>
                  <w:tcW w:w="864" w:type="pct"/>
                  <w:vMerge w:val="continue"/>
                  <w:tcBorders>
                    <w:tl2br w:val="nil"/>
                    <w:tr2bl w:val="nil"/>
                  </w:tcBorders>
                  <w:vAlign w:val="center"/>
                </w:tcPr>
                <w:p w14:paraId="0D6B226B">
                  <w:pPr>
                    <w:pStyle w:val="34"/>
                    <w:bidi w:val="0"/>
                    <w:jc w:val="center"/>
                    <w:rPr>
                      <w:color w:val="auto"/>
                    </w:rPr>
                  </w:pPr>
                </w:p>
              </w:tc>
              <w:tc>
                <w:tcPr>
                  <w:tcW w:w="912" w:type="pct"/>
                  <w:tcBorders>
                    <w:tl2br w:val="nil"/>
                    <w:tr2bl w:val="nil"/>
                  </w:tcBorders>
                  <w:vAlign w:val="center"/>
                </w:tcPr>
                <w:p w14:paraId="3D9EA4B8">
                  <w:pPr>
                    <w:pStyle w:val="37"/>
                    <w:bidi w:val="0"/>
                    <w:rPr>
                      <w:color w:val="auto"/>
                    </w:rPr>
                  </w:pPr>
                  <w:r>
                    <w:rPr>
                      <w:color w:val="auto"/>
                    </w:rPr>
                    <w:t>日平均</w:t>
                  </w:r>
                </w:p>
              </w:tc>
              <w:tc>
                <w:tcPr>
                  <w:tcW w:w="563" w:type="pct"/>
                  <w:tcBorders>
                    <w:tl2br w:val="nil"/>
                    <w:tr2bl w:val="nil"/>
                  </w:tcBorders>
                  <w:vAlign w:val="center"/>
                </w:tcPr>
                <w:p w14:paraId="01978705">
                  <w:pPr>
                    <w:pStyle w:val="37"/>
                    <w:bidi w:val="0"/>
                    <w:rPr>
                      <w:color w:val="auto"/>
                    </w:rPr>
                  </w:pPr>
                  <w:r>
                    <w:rPr>
                      <w:color w:val="auto"/>
                    </w:rPr>
                    <w:t>50</w:t>
                  </w:r>
                </w:p>
              </w:tc>
              <w:tc>
                <w:tcPr>
                  <w:tcW w:w="553" w:type="pct"/>
                  <w:tcBorders>
                    <w:tl2br w:val="nil"/>
                    <w:tr2bl w:val="nil"/>
                  </w:tcBorders>
                  <w:vAlign w:val="center"/>
                </w:tcPr>
                <w:p w14:paraId="32EEA36C">
                  <w:pPr>
                    <w:pStyle w:val="37"/>
                    <w:bidi w:val="0"/>
                    <w:rPr>
                      <w:color w:val="auto"/>
                    </w:rPr>
                  </w:pPr>
                  <w:r>
                    <w:rPr>
                      <w:color w:val="auto"/>
                    </w:rPr>
                    <w:t>120</w:t>
                  </w:r>
                </w:p>
              </w:tc>
              <w:tc>
                <w:tcPr>
                  <w:tcW w:w="553" w:type="pct"/>
                  <w:tcBorders>
                    <w:tl2br w:val="nil"/>
                    <w:tr2bl w:val="nil"/>
                  </w:tcBorders>
                  <w:vAlign w:val="center"/>
                </w:tcPr>
                <w:p w14:paraId="21040BE0">
                  <w:pPr>
                    <w:pStyle w:val="37"/>
                    <w:bidi w:val="0"/>
                    <w:rPr>
                      <w:color w:val="auto"/>
                    </w:rPr>
                  </w:pPr>
                  <w:r>
                    <w:rPr>
                      <w:color w:val="auto"/>
                    </w:rPr>
                    <w:t>50</w:t>
                  </w:r>
                </w:p>
              </w:tc>
              <w:tc>
                <w:tcPr>
                  <w:tcW w:w="563" w:type="pct"/>
                  <w:tcBorders>
                    <w:tl2br w:val="nil"/>
                    <w:tr2bl w:val="nil"/>
                  </w:tcBorders>
                  <w:vAlign w:val="center"/>
                </w:tcPr>
                <w:p w14:paraId="1E1CF6EA">
                  <w:pPr>
                    <w:pStyle w:val="37"/>
                    <w:bidi w:val="0"/>
                    <w:rPr>
                      <w:color w:val="auto"/>
                    </w:rPr>
                  </w:pPr>
                  <w:r>
                    <w:rPr>
                      <w:color w:val="auto"/>
                    </w:rPr>
                    <w:t>100</w:t>
                  </w:r>
                </w:p>
              </w:tc>
              <w:tc>
                <w:tcPr>
                  <w:tcW w:w="706" w:type="pct"/>
                  <w:vMerge w:val="continue"/>
                  <w:tcBorders>
                    <w:tl2br w:val="nil"/>
                    <w:tr2bl w:val="nil"/>
                  </w:tcBorders>
                  <w:vAlign w:val="center"/>
                </w:tcPr>
                <w:p w14:paraId="7DF61236">
                  <w:pPr>
                    <w:pStyle w:val="34"/>
                    <w:bidi w:val="0"/>
                    <w:jc w:val="center"/>
                    <w:rPr>
                      <w:color w:val="auto"/>
                    </w:rPr>
                  </w:pPr>
                </w:p>
              </w:tc>
            </w:tr>
            <w:tr w14:paraId="6D3AA18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81" w:type="pct"/>
                  <w:vMerge w:val="restart"/>
                  <w:tcBorders>
                    <w:tl2br w:val="nil"/>
                    <w:tr2bl w:val="nil"/>
                  </w:tcBorders>
                  <w:vAlign w:val="center"/>
                </w:tcPr>
                <w:p w14:paraId="578EA9CE">
                  <w:pPr>
                    <w:pStyle w:val="37"/>
                    <w:bidi w:val="0"/>
                    <w:rPr>
                      <w:color w:val="auto"/>
                    </w:rPr>
                  </w:pPr>
                  <w:r>
                    <w:rPr>
                      <w:color w:val="auto"/>
                    </w:rPr>
                    <w:t>6</w:t>
                  </w:r>
                </w:p>
              </w:tc>
              <w:tc>
                <w:tcPr>
                  <w:tcW w:w="864" w:type="pct"/>
                  <w:vMerge w:val="restart"/>
                  <w:tcBorders>
                    <w:tl2br w:val="nil"/>
                    <w:tr2bl w:val="nil"/>
                  </w:tcBorders>
                  <w:vAlign w:val="center"/>
                </w:tcPr>
                <w:p w14:paraId="331F79AF">
                  <w:pPr>
                    <w:pStyle w:val="37"/>
                    <w:bidi w:val="0"/>
                    <w:rPr>
                      <w:color w:val="auto"/>
                    </w:rPr>
                  </w:pPr>
                  <w:r>
                    <w:rPr>
                      <w:color w:val="auto"/>
                    </w:rPr>
                    <w:t>颗粒物(粒径小于等于2.5μm</w:t>
                  </w:r>
                  <w:r>
                    <w:rPr>
                      <w:rFonts w:hint="eastAsia"/>
                      <w:color w:val="auto"/>
                      <w:lang w:eastAsia="zh-CN"/>
                    </w:rPr>
                    <w:t>，</w:t>
                  </w:r>
                  <w:r>
                    <w:rPr>
                      <w:color w:val="auto"/>
                    </w:rPr>
                    <w:t>PM₂.5)</w:t>
                  </w:r>
                </w:p>
              </w:tc>
              <w:tc>
                <w:tcPr>
                  <w:tcW w:w="912" w:type="pct"/>
                  <w:tcBorders>
                    <w:tl2br w:val="nil"/>
                    <w:tr2bl w:val="nil"/>
                  </w:tcBorders>
                  <w:vAlign w:val="center"/>
                </w:tcPr>
                <w:p w14:paraId="0D3C1CBD">
                  <w:pPr>
                    <w:pStyle w:val="37"/>
                    <w:bidi w:val="0"/>
                    <w:rPr>
                      <w:color w:val="auto"/>
                    </w:rPr>
                  </w:pPr>
                  <w:r>
                    <w:rPr>
                      <w:color w:val="auto"/>
                    </w:rPr>
                    <w:t>年平均</w:t>
                  </w:r>
                </w:p>
              </w:tc>
              <w:tc>
                <w:tcPr>
                  <w:tcW w:w="563" w:type="pct"/>
                  <w:tcBorders>
                    <w:tl2br w:val="nil"/>
                    <w:tr2bl w:val="nil"/>
                  </w:tcBorders>
                  <w:vAlign w:val="center"/>
                </w:tcPr>
                <w:p w14:paraId="5A285B18">
                  <w:pPr>
                    <w:pStyle w:val="37"/>
                    <w:bidi w:val="0"/>
                    <w:rPr>
                      <w:color w:val="auto"/>
                    </w:rPr>
                  </w:pPr>
                  <w:r>
                    <w:rPr>
                      <w:color w:val="auto"/>
                    </w:rPr>
                    <w:t>15</w:t>
                  </w:r>
                </w:p>
              </w:tc>
              <w:tc>
                <w:tcPr>
                  <w:tcW w:w="553" w:type="pct"/>
                  <w:tcBorders>
                    <w:tl2br w:val="nil"/>
                    <w:tr2bl w:val="nil"/>
                  </w:tcBorders>
                  <w:vAlign w:val="center"/>
                </w:tcPr>
                <w:p w14:paraId="08CFC738">
                  <w:pPr>
                    <w:pStyle w:val="37"/>
                    <w:bidi w:val="0"/>
                    <w:rPr>
                      <w:color w:val="auto"/>
                    </w:rPr>
                  </w:pPr>
                  <w:r>
                    <w:rPr>
                      <w:color w:val="auto"/>
                    </w:rPr>
                    <w:t>30</w:t>
                  </w:r>
                </w:p>
              </w:tc>
              <w:tc>
                <w:tcPr>
                  <w:tcW w:w="553" w:type="pct"/>
                  <w:tcBorders>
                    <w:tl2br w:val="nil"/>
                    <w:tr2bl w:val="nil"/>
                  </w:tcBorders>
                  <w:vAlign w:val="center"/>
                </w:tcPr>
                <w:p w14:paraId="2748A3B2">
                  <w:pPr>
                    <w:pStyle w:val="37"/>
                    <w:bidi w:val="0"/>
                    <w:rPr>
                      <w:color w:val="auto"/>
                    </w:rPr>
                  </w:pPr>
                  <w:r>
                    <w:rPr>
                      <w:color w:val="auto"/>
                    </w:rPr>
                    <w:t>10</w:t>
                  </w:r>
                </w:p>
              </w:tc>
              <w:tc>
                <w:tcPr>
                  <w:tcW w:w="563" w:type="pct"/>
                  <w:tcBorders>
                    <w:tl2br w:val="nil"/>
                    <w:tr2bl w:val="nil"/>
                  </w:tcBorders>
                  <w:vAlign w:val="center"/>
                </w:tcPr>
                <w:p w14:paraId="63716494">
                  <w:pPr>
                    <w:pStyle w:val="37"/>
                    <w:bidi w:val="0"/>
                    <w:rPr>
                      <w:color w:val="auto"/>
                    </w:rPr>
                  </w:pPr>
                  <w:r>
                    <w:rPr>
                      <w:color w:val="auto"/>
                    </w:rPr>
                    <w:t>25</w:t>
                  </w:r>
                </w:p>
              </w:tc>
              <w:tc>
                <w:tcPr>
                  <w:tcW w:w="706" w:type="pct"/>
                  <w:vMerge w:val="continue"/>
                  <w:tcBorders>
                    <w:tl2br w:val="nil"/>
                    <w:tr2bl w:val="nil"/>
                  </w:tcBorders>
                  <w:vAlign w:val="center"/>
                </w:tcPr>
                <w:p w14:paraId="57CF302C">
                  <w:pPr>
                    <w:pStyle w:val="34"/>
                    <w:bidi w:val="0"/>
                    <w:jc w:val="center"/>
                    <w:rPr>
                      <w:color w:val="auto"/>
                    </w:rPr>
                  </w:pPr>
                </w:p>
              </w:tc>
            </w:tr>
            <w:tr w14:paraId="362B57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81" w:type="pct"/>
                  <w:vMerge w:val="continue"/>
                  <w:tcBorders>
                    <w:tl2br w:val="nil"/>
                    <w:tr2bl w:val="nil"/>
                  </w:tcBorders>
                  <w:vAlign w:val="center"/>
                </w:tcPr>
                <w:p w14:paraId="41649CB6">
                  <w:pPr>
                    <w:pStyle w:val="34"/>
                    <w:bidi w:val="0"/>
                    <w:jc w:val="center"/>
                    <w:rPr>
                      <w:color w:val="auto"/>
                    </w:rPr>
                  </w:pPr>
                </w:p>
              </w:tc>
              <w:tc>
                <w:tcPr>
                  <w:tcW w:w="864" w:type="pct"/>
                  <w:vMerge w:val="continue"/>
                  <w:tcBorders>
                    <w:tl2br w:val="nil"/>
                    <w:tr2bl w:val="nil"/>
                  </w:tcBorders>
                  <w:vAlign w:val="center"/>
                </w:tcPr>
                <w:p w14:paraId="7DDABCCF">
                  <w:pPr>
                    <w:pStyle w:val="34"/>
                    <w:bidi w:val="0"/>
                    <w:jc w:val="center"/>
                    <w:rPr>
                      <w:color w:val="auto"/>
                    </w:rPr>
                  </w:pPr>
                </w:p>
              </w:tc>
              <w:tc>
                <w:tcPr>
                  <w:tcW w:w="912" w:type="pct"/>
                  <w:tcBorders>
                    <w:tl2br w:val="nil"/>
                    <w:tr2bl w:val="nil"/>
                  </w:tcBorders>
                  <w:vAlign w:val="center"/>
                </w:tcPr>
                <w:p w14:paraId="561CCE3A">
                  <w:pPr>
                    <w:pStyle w:val="37"/>
                    <w:bidi w:val="0"/>
                    <w:rPr>
                      <w:color w:val="auto"/>
                    </w:rPr>
                  </w:pPr>
                  <w:r>
                    <w:rPr>
                      <w:color w:val="auto"/>
                    </w:rPr>
                    <w:t>日平均</w:t>
                  </w:r>
                </w:p>
              </w:tc>
              <w:tc>
                <w:tcPr>
                  <w:tcW w:w="563" w:type="pct"/>
                  <w:tcBorders>
                    <w:tl2br w:val="nil"/>
                    <w:tr2bl w:val="nil"/>
                  </w:tcBorders>
                  <w:vAlign w:val="center"/>
                </w:tcPr>
                <w:p w14:paraId="262FBD50">
                  <w:pPr>
                    <w:pStyle w:val="37"/>
                    <w:bidi w:val="0"/>
                    <w:rPr>
                      <w:color w:val="auto"/>
                    </w:rPr>
                  </w:pPr>
                  <w:r>
                    <w:rPr>
                      <w:color w:val="auto"/>
                    </w:rPr>
                    <w:t>35</w:t>
                  </w:r>
                </w:p>
              </w:tc>
              <w:tc>
                <w:tcPr>
                  <w:tcW w:w="553" w:type="pct"/>
                  <w:tcBorders>
                    <w:tl2br w:val="nil"/>
                    <w:tr2bl w:val="nil"/>
                  </w:tcBorders>
                  <w:vAlign w:val="center"/>
                </w:tcPr>
                <w:p w14:paraId="5FDD33E8">
                  <w:pPr>
                    <w:pStyle w:val="37"/>
                    <w:bidi w:val="0"/>
                    <w:rPr>
                      <w:color w:val="auto"/>
                    </w:rPr>
                  </w:pPr>
                  <w:r>
                    <w:rPr>
                      <w:color w:val="auto"/>
                    </w:rPr>
                    <w:t>60</w:t>
                  </w:r>
                </w:p>
              </w:tc>
              <w:tc>
                <w:tcPr>
                  <w:tcW w:w="553" w:type="pct"/>
                  <w:tcBorders>
                    <w:tl2br w:val="nil"/>
                    <w:tr2bl w:val="nil"/>
                  </w:tcBorders>
                  <w:vAlign w:val="center"/>
                </w:tcPr>
                <w:p w14:paraId="6EA72E40">
                  <w:pPr>
                    <w:pStyle w:val="37"/>
                    <w:bidi w:val="0"/>
                    <w:rPr>
                      <w:color w:val="auto"/>
                    </w:rPr>
                  </w:pPr>
                  <w:r>
                    <w:rPr>
                      <w:color w:val="auto"/>
                    </w:rPr>
                    <w:t>25</w:t>
                  </w:r>
                </w:p>
              </w:tc>
              <w:tc>
                <w:tcPr>
                  <w:tcW w:w="563" w:type="pct"/>
                  <w:tcBorders>
                    <w:tl2br w:val="nil"/>
                    <w:tr2bl w:val="nil"/>
                  </w:tcBorders>
                  <w:vAlign w:val="center"/>
                </w:tcPr>
                <w:p w14:paraId="171BDAF4">
                  <w:pPr>
                    <w:pStyle w:val="37"/>
                    <w:bidi w:val="0"/>
                    <w:rPr>
                      <w:color w:val="auto"/>
                    </w:rPr>
                  </w:pPr>
                  <w:r>
                    <w:rPr>
                      <w:color w:val="auto"/>
                    </w:rPr>
                    <w:t>50</w:t>
                  </w:r>
                </w:p>
              </w:tc>
              <w:tc>
                <w:tcPr>
                  <w:tcW w:w="706" w:type="pct"/>
                  <w:vMerge w:val="continue"/>
                  <w:tcBorders>
                    <w:tl2br w:val="nil"/>
                    <w:tr2bl w:val="nil"/>
                  </w:tcBorders>
                  <w:vAlign w:val="center"/>
                </w:tcPr>
                <w:p w14:paraId="6FD414F3">
                  <w:pPr>
                    <w:pStyle w:val="34"/>
                    <w:bidi w:val="0"/>
                    <w:jc w:val="center"/>
                    <w:rPr>
                      <w:color w:val="auto"/>
                    </w:rPr>
                  </w:pPr>
                </w:p>
              </w:tc>
            </w:tr>
            <w:tr w14:paraId="1B8C00C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5000" w:type="pct"/>
                  <w:gridSpan w:val="8"/>
                  <w:tcBorders>
                    <w:tl2br w:val="nil"/>
                    <w:tr2bl w:val="nil"/>
                  </w:tcBorders>
                  <w:vAlign w:val="center"/>
                </w:tcPr>
                <w:p w14:paraId="470E6A54">
                  <w:pPr>
                    <w:pStyle w:val="37"/>
                    <w:bidi w:val="0"/>
                    <w:rPr>
                      <w:rFonts w:hint="eastAsia" w:eastAsia="宋体"/>
                      <w:color w:val="auto"/>
                      <w:lang w:eastAsia="zh-CN"/>
                    </w:rPr>
                  </w:pPr>
                  <w:r>
                    <w:rPr>
                      <w:rFonts w:hint="eastAsia"/>
                      <w:color w:val="auto"/>
                    </w:rPr>
                    <w:t>本标准自实施之日起至2030年12月31日，环境空气污染物基本项目实施过渡阶段浓度限值</w:t>
                  </w:r>
                  <w:r>
                    <w:rPr>
                      <w:rFonts w:hint="eastAsia"/>
                      <w:color w:val="auto"/>
                      <w:lang w:eastAsia="zh-CN"/>
                    </w:rPr>
                    <w:t>。</w:t>
                  </w:r>
                </w:p>
              </w:tc>
            </w:tr>
          </w:tbl>
          <w:p w14:paraId="680EA1FC">
            <w:pPr>
              <w:pStyle w:val="37"/>
              <w:bidi w:val="0"/>
              <w:rPr>
                <w:rFonts w:hint="eastAsia"/>
                <w:color w:val="auto"/>
                <w:lang w:val="en-US" w:eastAsia="zh-CN"/>
              </w:rPr>
            </w:pPr>
          </w:p>
          <w:p w14:paraId="51C2B576">
            <w:pPr>
              <w:bidi w:val="0"/>
              <w:rPr>
                <w:rFonts w:hint="eastAsia"/>
                <w:color w:val="auto"/>
                <w:lang w:val="en-US" w:eastAsia="zh-CN"/>
              </w:rPr>
            </w:pPr>
            <w:r>
              <w:rPr>
                <w:rFonts w:hint="eastAsia"/>
                <w:color w:val="auto"/>
                <w:lang w:val="en-US" w:eastAsia="zh-CN"/>
              </w:rPr>
              <w:t>（2）地表水环境质量标准</w:t>
            </w:r>
          </w:p>
          <w:p w14:paraId="2BD6F03C">
            <w:pPr>
              <w:bidi w:val="0"/>
              <w:rPr>
                <w:rFonts w:hint="eastAsia"/>
                <w:color w:val="auto"/>
                <w:highlight w:val="none"/>
                <w:lang w:val="en-US" w:eastAsia="zh-CN"/>
              </w:rPr>
            </w:pPr>
            <w:r>
              <w:rPr>
                <w:rFonts w:hint="eastAsia"/>
                <w:color w:val="auto"/>
                <w:highlight w:val="none"/>
                <w:lang w:val="en-US" w:eastAsia="zh-CN"/>
              </w:rPr>
              <w:t>项目位于牛栏江流域，水质目标为</w:t>
            </w:r>
            <w:r>
              <w:rPr>
                <w:rFonts w:hint="default"/>
                <w:color w:val="auto"/>
                <w:lang w:val="en-US" w:eastAsia="zh-CN"/>
              </w:rPr>
              <w:t>Ⅲ</w:t>
            </w:r>
            <w:r>
              <w:rPr>
                <w:rFonts w:hint="eastAsia"/>
                <w:color w:val="auto"/>
                <w:highlight w:val="none"/>
                <w:lang w:val="en-US" w:eastAsia="zh-CN"/>
              </w:rPr>
              <w:t>类，故项目周边地表水体绿水河和双菱角水库执行《地表水环境质量标准》（GB3838-2002）</w:t>
            </w:r>
            <w:r>
              <w:rPr>
                <w:rFonts w:hint="default"/>
                <w:color w:val="auto"/>
                <w:lang w:val="en-US" w:eastAsia="zh-CN"/>
              </w:rPr>
              <w:t>Ⅲ</w:t>
            </w:r>
            <w:r>
              <w:rPr>
                <w:rFonts w:hint="eastAsia"/>
                <w:color w:val="auto"/>
                <w:highlight w:val="none"/>
                <w:lang w:val="en-US" w:eastAsia="zh-CN"/>
              </w:rPr>
              <w:t>类标准。</w:t>
            </w:r>
          </w:p>
          <w:p w14:paraId="67442F12">
            <w:pPr>
              <w:pStyle w:val="27"/>
              <w:bidi w:val="0"/>
              <w:rPr>
                <w:rFonts w:ascii="Times New Roman" w:hAnsi="Times New Roman" w:eastAsia="宋体" w:cs="Times New Roman"/>
                <w:b/>
                <w:caps w:val="0"/>
                <w:color w:val="auto"/>
                <w:szCs w:val="21"/>
                <w:highlight w:val="none"/>
              </w:rPr>
            </w:pPr>
            <w:r>
              <w:rPr>
                <w:color w:val="auto"/>
              </w:rPr>
              <w:t>表3-</w:t>
            </w:r>
            <w:r>
              <w:rPr>
                <w:rFonts w:hint="eastAsia"/>
                <w:color w:val="auto"/>
                <w:lang w:val="en-US" w:eastAsia="zh-CN"/>
              </w:rPr>
              <w:t xml:space="preserve">9  </w:t>
            </w:r>
            <w:r>
              <w:rPr>
                <w:color w:val="auto"/>
              </w:rPr>
              <w:t>地表水环境质量标准限值单位：pH无量纲，其余均为mg/L</w:t>
            </w:r>
          </w:p>
          <w:tbl>
            <w:tblPr>
              <w:tblStyle w:val="20"/>
              <w:tblW w:w="766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5"/>
              <w:gridCol w:w="765"/>
              <w:gridCol w:w="761"/>
              <w:gridCol w:w="660"/>
              <w:gridCol w:w="765"/>
              <w:gridCol w:w="787"/>
              <w:gridCol w:w="919"/>
              <w:gridCol w:w="1611"/>
              <w:gridCol w:w="619"/>
            </w:tblGrid>
            <w:tr w14:paraId="0A338AC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75" w:type="dxa"/>
                  <w:tcBorders>
                    <w:tl2br w:val="nil"/>
                    <w:tr2bl w:val="nil"/>
                  </w:tcBorders>
                  <w:noWrap w:val="0"/>
                  <w:vAlign w:val="center"/>
                </w:tcPr>
                <w:p w14:paraId="09D4ED56">
                  <w:pPr>
                    <w:pStyle w:val="37"/>
                    <w:bidi w:val="0"/>
                    <w:rPr>
                      <w:color w:val="auto"/>
                    </w:rPr>
                  </w:pPr>
                  <w:r>
                    <w:rPr>
                      <w:color w:val="auto"/>
                    </w:rPr>
                    <w:t>项目</w:t>
                  </w:r>
                </w:p>
              </w:tc>
              <w:tc>
                <w:tcPr>
                  <w:tcW w:w="765" w:type="dxa"/>
                  <w:tcBorders>
                    <w:tl2br w:val="nil"/>
                    <w:tr2bl w:val="nil"/>
                  </w:tcBorders>
                  <w:noWrap w:val="0"/>
                  <w:vAlign w:val="center"/>
                </w:tcPr>
                <w:p w14:paraId="3A59F033">
                  <w:pPr>
                    <w:pStyle w:val="37"/>
                    <w:bidi w:val="0"/>
                    <w:rPr>
                      <w:color w:val="auto"/>
                    </w:rPr>
                  </w:pPr>
                  <w:r>
                    <w:rPr>
                      <w:color w:val="auto"/>
                    </w:rPr>
                    <w:t>pH</w:t>
                  </w:r>
                </w:p>
              </w:tc>
              <w:tc>
                <w:tcPr>
                  <w:tcW w:w="761" w:type="dxa"/>
                  <w:tcBorders>
                    <w:tl2br w:val="nil"/>
                    <w:tr2bl w:val="nil"/>
                  </w:tcBorders>
                  <w:noWrap w:val="0"/>
                  <w:vAlign w:val="center"/>
                </w:tcPr>
                <w:p w14:paraId="7998DCF2">
                  <w:pPr>
                    <w:pStyle w:val="37"/>
                    <w:bidi w:val="0"/>
                    <w:rPr>
                      <w:color w:val="auto"/>
                    </w:rPr>
                  </w:pPr>
                  <w:r>
                    <w:rPr>
                      <w:color w:val="auto"/>
                    </w:rPr>
                    <w:t>溶解氧</w:t>
                  </w:r>
                </w:p>
              </w:tc>
              <w:tc>
                <w:tcPr>
                  <w:tcW w:w="660" w:type="dxa"/>
                  <w:tcBorders>
                    <w:tl2br w:val="nil"/>
                    <w:tr2bl w:val="nil"/>
                  </w:tcBorders>
                  <w:noWrap w:val="0"/>
                  <w:vAlign w:val="center"/>
                </w:tcPr>
                <w:p w14:paraId="549F62D0">
                  <w:pPr>
                    <w:pStyle w:val="37"/>
                    <w:bidi w:val="0"/>
                    <w:rPr>
                      <w:color w:val="auto"/>
                    </w:rPr>
                  </w:pPr>
                  <w:r>
                    <w:rPr>
                      <w:color w:val="auto"/>
                    </w:rPr>
                    <w:t>COD</w:t>
                  </w:r>
                </w:p>
              </w:tc>
              <w:tc>
                <w:tcPr>
                  <w:tcW w:w="765" w:type="dxa"/>
                  <w:tcBorders>
                    <w:tl2br w:val="nil"/>
                    <w:tr2bl w:val="nil"/>
                  </w:tcBorders>
                  <w:noWrap w:val="0"/>
                  <w:vAlign w:val="center"/>
                </w:tcPr>
                <w:p w14:paraId="39CBBC07">
                  <w:pPr>
                    <w:pStyle w:val="37"/>
                    <w:bidi w:val="0"/>
                    <w:rPr>
                      <w:color w:val="auto"/>
                    </w:rPr>
                  </w:pPr>
                  <w:r>
                    <w:rPr>
                      <w:color w:val="auto"/>
                    </w:rPr>
                    <w:t>BOD</w:t>
                  </w:r>
                  <w:r>
                    <w:rPr>
                      <w:color w:val="auto"/>
                      <w:vertAlign w:val="subscript"/>
                    </w:rPr>
                    <w:t>5</w:t>
                  </w:r>
                </w:p>
              </w:tc>
              <w:tc>
                <w:tcPr>
                  <w:tcW w:w="787" w:type="dxa"/>
                  <w:tcBorders>
                    <w:tl2br w:val="nil"/>
                    <w:tr2bl w:val="nil"/>
                  </w:tcBorders>
                  <w:noWrap w:val="0"/>
                  <w:vAlign w:val="center"/>
                </w:tcPr>
                <w:p w14:paraId="2972F86A">
                  <w:pPr>
                    <w:pStyle w:val="37"/>
                    <w:bidi w:val="0"/>
                    <w:rPr>
                      <w:color w:val="auto"/>
                    </w:rPr>
                  </w:pPr>
                  <w:r>
                    <w:rPr>
                      <w:color w:val="auto"/>
                    </w:rPr>
                    <w:t>石油类</w:t>
                  </w:r>
                </w:p>
              </w:tc>
              <w:tc>
                <w:tcPr>
                  <w:tcW w:w="919" w:type="dxa"/>
                  <w:tcBorders>
                    <w:tl2br w:val="nil"/>
                    <w:tr2bl w:val="nil"/>
                  </w:tcBorders>
                  <w:noWrap w:val="0"/>
                  <w:vAlign w:val="center"/>
                </w:tcPr>
                <w:p w14:paraId="51D160A5">
                  <w:pPr>
                    <w:pStyle w:val="37"/>
                    <w:bidi w:val="0"/>
                    <w:rPr>
                      <w:color w:val="auto"/>
                    </w:rPr>
                  </w:pPr>
                  <w:r>
                    <w:rPr>
                      <w:color w:val="auto"/>
                    </w:rPr>
                    <w:t>氨氮</w:t>
                  </w:r>
                </w:p>
              </w:tc>
              <w:tc>
                <w:tcPr>
                  <w:tcW w:w="1611" w:type="dxa"/>
                  <w:tcBorders>
                    <w:tl2br w:val="nil"/>
                    <w:tr2bl w:val="nil"/>
                  </w:tcBorders>
                  <w:noWrap w:val="0"/>
                  <w:vAlign w:val="center"/>
                </w:tcPr>
                <w:p w14:paraId="45DFD071">
                  <w:pPr>
                    <w:pStyle w:val="37"/>
                    <w:bidi w:val="0"/>
                    <w:rPr>
                      <w:color w:val="auto"/>
                    </w:rPr>
                  </w:pPr>
                  <w:r>
                    <w:rPr>
                      <w:color w:val="auto"/>
                    </w:rPr>
                    <w:t>总磷</w:t>
                  </w:r>
                </w:p>
              </w:tc>
              <w:tc>
                <w:tcPr>
                  <w:tcW w:w="619" w:type="dxa"/>
                  <w:tcBorders>
                    <w:tl2br w:val="nil"/>
                    <w:tr2bl w:val="nil"/>
                  </w:tcBorders>
                  <w:noWrap w:val="0"/>
                  <w:vAlign w:val="center"/>
                </w:tcPr>
                <w:p w14:paraId="54995984">
                  <w:pPr>
                    <w:pStyle w:val="37"/>
                    <w:bidi w:val="0"/>
                    <w:rPr>
                      <w:color w:val="auto"/>
                    </w:rPr>
                  </w:pPr>
                  <w:r>
                    <w:rPr>
                      <w:color w:val="auto"/>
                    </w:rPr>
                    <w:t>总氮</w:t>
                  </w:r>
                </w:p>
              </w:tc>
            </w:tr>
            <w:tr w14:paraId="278DFB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775" w:type="dxa"/>
                  <w:tcBorders>
                    <w:tl2br w:val="nil"/>
                    <w:tr2bl w:val="nil"/>
                  </w:tcBorders>
                  <w:noWrap w:val="0"/>
                  <w:vAlign w:val="center"/>
                </w:tcPr>
                <w:p w14:paraId="7CD19AF2">
                  <w:pPr>
                    <w:pStyle w:val="34"/>
                    <w:bidi w:val="0"/>
                    <w:ind w:firstLine="0" w:firstLineChars="0"/>
                    <w:rPr>
                      <w:color w:val="auto"/>
                    </w:rPr>
                  </w:pPr>
                  <w:r>
                    <w:rPr>
                      <w:rFonts w:hint="default" w:ascii="Times New Roman" w:hAnsi="Times New Roman" w:cs="Times New Roman"/>
                      <w:color w:val="auto"/>
                      <w:lang w:val="en-US" w:eastAsia="zh-CN"/>
                    </w:rPr>
                    <w:t>Ⅲ</w:t>
                  </w:r>
                  <w:r>
                    <w:rPr>
                      <w:color w:val="auto"/>
                    </w:rPr>
                    <w:t>类标准</w:t>
                  </w:r>
                </w:p>
              </w:tc>
              <w:tc>
                <w:tcPr>
                  <w:tcW w:w="765" w:type="dxa"/>
                  <w:tcBorders>
                    <w:tl2br w:val="nil"/>
                    <w:tr2bl w:val="nil"/>
                  </w:tcBorders>
                  <w:noWrap w:val="0"/>
                  <w:vAlign w:val="center"/>
                </w:tcPr>
                <w:p w14:paraId="67CAE525">
                  <w:pPr>
                    <w:pStyle w:val="34"/>
                    <w:bidi w:val="0"/>
                    <w:ind w:firstLine="0" w:firstLineChars="0"/>
                    <w:rPr>
                      <w:color w:val="auto"/>
                    </w:rPr>
                  </w:pPr>
                  <w:r>
                    <w:rPr>
                      <w:color w:val="auto"/>
                    </w:rPr>
                    <w:t>6</w:t>
                  </w:r>
                  <w:r>
                    <w:rPr>
                      <w:rFonts w:hint="eastAsia"/>
                      <w:color w:val="auto"/>
                      <w:lang w:eastAsia="zh-CN"/>
                    </w:rPr>
                    <w:t>~</w:t>
                  </w:r>
                  <w:r>
                    <w:rPr>
                      <w:color w:val="auto"/>
                    </w:rPr>
                    <w:t>9</w:t>
                  </w:r>
                </w:p>
              </w:tc>
              <w:tc>
                <w:tcPr>
                  <w:tcW w:w="761" w:type="dxa"/>
                  <w:tcBorders>
                    <w:tl2br w:val="nil"/>
                    <w:tr2bl w:val="nil"/>
                  </w:tcBorders>
                  <w:noWrap w:val="0"/>
                  <w:vAlign w:val="center"/>
                </w:tcPr>
                <w:p w14:paraId="565614B2">
                  <w:pPr>
                    <w:pStyle w:val="34"/>
                    <w:bidi w:val="0"/>
                    <w:ind w:firstLine="0" w:firstLineChars="0"/>
                    <w:rPr>
                      <w:rFonts w:hint="eastAsia" w:eastAsia="宋体"/>
                      <w:color w:val="auto"/>
                      <w:lang w:val="en-US" w:eastAsia="zh-CN"/>
                    </w:rPr>
                  </w:pPr>
                  <w:r>
                    <w:rPr>
                      <w:color w:val="auto"/>
                    </w:rPr>
                    <w:t>≥</w:t>
                  </w:r>
                  <w:r>
                    <w:rPr>
                      <w:rFonts w:hint="eastAsia"/>
                      <w:color w:val="auto"/>
                      <w:lang w:val="en-US" w:eastAsia="zh-CN"/>
                    </w:rPr>
                    <w:t>5</w:t>
                  </w:r>
                </w:p>
              </w:tc>
              <w:tc>
                <w:tcPr>
                  <w:tcW w:w="660" w:type="dxa"/>
                  <w:tcBorders>
                    <w:tl2br w:val="nil"/>
                    <w:tr2bl w:val="nil"/>
                  </w:tcBorders>
                  <w:noWrap w:val="0"/>
                  <w:vAlign w:val="center"/>
                </w:tcPr>
                <w:p w14:paraId="4E08CBF6">
                  <w:pPr>
                    <w:pStyle w:val="34"/>
                    <w:bidi w:val="0"/>
                    <w:ind w:firstLine="0" w:firstLineChars="0"/>
                    <w:rPr>
                      <w:rFonts w:hint="default"/>
                      <w:color w:val="auto"/>
                      <w:lang w:val="en-US" w:eastAsia="zh-CN"/>
                    </w:rPr>
                  </w:pPr>
                  <w:r>
                    <w:rPr>
                      <w:color w:val="auto"/>
                    </w:rPr>
                    <w:t>≤</w:t>
                  </w:r>
                  <w:r>
                    <w:rPr>
                      <w:rFonts w:hint="eastAsia"/>
                      <w:color w:val="auto"/>
                      <w:lang w:val="en-US" w:eastAsia="zh-CN"/>
                    </w:rPr>
                    <w:t>50</w:t>
                  </w:r>
                </w:p>
              </w:tc>
              <w:tc>
                <w:tcPr>
                  <w:tcW w:w="765" w:type="dxa"/>
                  <w:tcBorders>
                    <w:tl2br w:val="nil"/>
                    <w:tr2bl w:val="nil"/>
                  </w:tcBorders>
                  <w:noWrap w:val="0"/>
                  <w:vAlign w:val="center"/>
                </w:tcPr>
                <w:p w14:paraId="017F8EC4">
                  <w:pPr>
                    <w:pStyle w:val="34"/>
                    <w:bidi w:val="0"/>
                    <w:ind w:firstLine="0" w:firstLineChars="0"/>
                    <w:rPr>
                      <w:rFonts w:hint="eastAsia"/>
                      <w:color w:val="auto"/>
                      <w:lang w:eastAsia="zh-CN"/>
                    </w:rPr>
                  </w:pPr>
                  <w:r>
                    <w:rPr>
                      <w:color w:val="auto"/>
                    </w:rPr>
                    <w:t>≤</w:t>
                  </w:r>
                  <w:r>
                    <w:rPr>
                      <w:rFonts w:hint="eastAsia"/>
                      <w:color w:val="auto"/>
                      <w:lang w:val="en-US" w:eastAsia="zh-CN"/>
                    </w:rPr>
                    <w:t>4</w:t>
                  </w:r>
                </w:p>
              </w:tc>
              <w:tc>
                <w:tcPr>
                  <w:tcW w:w="787" w:type="dxa"/>
                  <w:tcBorders>
                    <w:tl2br w:val="nil"/>
                    <w:tr2bl w:val="nil"/>
                  </w:tcBorders>
                  <w:noWrap w:val="0"/>
                  <w:vAlign w:val="center"/>
                </w:tcPr>
                <w:p w14:paraId="40C355BB">
                  <w:pPr>
                    <w:pStyle w:val="34"/>
                    <w:bidi w:val="0"/>
                    <w:ind w:firstLine="0" w:firstLineChars="0"/>
                    <w:rPr>
                      <w:color w:val="auto"/>
                    </w:rPr>
                  </w:pPr>
                  <w:r>
                    <w:rPr>
                      <w:color w:val="auto"/>
                    </w:rPr>
                    <w:t>≤0.05</w:t>
                  </w:r>
                </w:p>
              </w:tc>
              <w:tc>
                <w:tcPr>
                  <w:tcW w:w="919" w:type="dxa"/>
                  <w:tcBorders>
                    <w:tl2br w:val="nil"/>
                    <w:tr2bl w:val="nil"/>
                  </w:tcBorders>
                  <w:noWrap w:val="0"/>
                  <w:vAlign w:val="center"/>
                </w:tcPr>
                <w:p w14:paraId="426A95EA">
                  <w:pPr>
                    <w:pStyle w:val="34"/>
                    <w:bidi w:val="0"/>
                    <w:ind w:firstLine="0" w:firstLineChars="0"/>
                    <w:rPr>
                      <w:rFonts w:hint="default"/>
                      <w:color w:val="auto"/>
                      <w:lang w:val="en-US" w:eastAsia="zh-CN"/>
                    </w:rPr>
                  </w:pPr>
                  <w:r>
                    <w:rPr>
                      <w:color w:val="auto"/>
                    </w:rPr>
                    <w:t>≤</w:t>
                  </w:r>
                  <w:r>
                    <w:rPr>
                      <w:rFonts w:hint="eastAsia"/>
                      <w:color w:val="auto"/>
                      <w:lang w:val="en-US" w:eastAsia="zh-CN"/>
                    </w:rPr>
                    <w:t>1.0</w:t>
                  </w:r>
                </w:p>
              </w:tc>
              <w:tc>
                <w:tcPr>
                  <w:tcW w:w="1611" w:type="dxa"/>
                  <w:tcBorders>
                    <w:tl2br w:val="nil"/>
                    <w:tr2bl w:val="nil"/>
                  </w:tcBorders>
                  <w:noWrap w:val="0"/>
                  <w:vAlign w:val="center"/>
                </w:tcPr>
                <w:p w14:paraId="5BAB7EBB">
                  <w:pPr>
                    <w:pStyle w:val="34"/>
                    <w:bidi w:val="0"/>
                    <w:ind w:firstLine="0" w:firstLineChars="0"/>
                    <w:rPr>
                      <w:rFonts w:hint="eastAsia"/>
                      <w:color w:val="auto"/>
                      <w:lang w:eastAsia="zh-CN"/>
                    </w:rPr>
                  </w:pPr>
                  <w:r>
                    <w:rPr>
                      <w:color w:val="auto"/>
                    </w:rPr>
                    <w:t>≤0.</w:t>
                  </w:r>
                  <w:r>
                    <w:rPr>
                      <w:rFonts w:hint="eastAsia"/>
                      <w:color w:val="auto"/>
                      <w:lang w:val="en-US" w:eastAsia="zh-CN"/>
                    </w:rPr>
                    <w:t>2（湖、库0.05）</w:t>
                  </w:r>
                </w:p>
              </w:tc>
              <w:tc>
                <w:tcPr>
                  <w:tcW w:w="619" w:type="dxa"/>
                  <w:tcBorders>
                    <w:tl2br w:val="nil"/>
                    <w:tr2bl w:val="nil"/>
                  </w:tcBorders>
                  <w:noWrap w:val="0"/>
                  <w:vAlign w:val="center"/>
                </w:tcPr>
                <w:p w14:paraId="75257105">
                  <w:pPr>
                    <w:pStyle w:val="34"/>
                    <w:bidi w:val="0"/>
                    <w:ind w:firstLine="0" w:firstLineChars="0"/>
                    <w:rPr>
                      <w:rFonts w:hint="default"/>
                      <w:color w:val="auto"/>
                      <w:lang w:val="en-US" w:eastAsia="zh-CN"/>
                    </w:rPr>
                  </w:pPr>
                  <w:r>
                    <w:rPr>
                      <w:color w:val="auto"/>
                    </w:rPr>
                    <w:t>≤</w:t>
                  </w:r>
                  <w:r>
                    <w:rPr>
                      <w:rFonts w:hint="eastAsia"/>
                      <w:color w:val="auto"/>
                      <w:lang w:val="en-US" w:eastAsia="zh-CN"/>
                    </w:rPr>
                    <w:t>1.0</w:t>
                  </w:r>
                </w:p>
              </w:tc>
            </w:tr>
          </w:tbl>
          <w:p w14:paraId="0D9CB1D1">
            <w:pPr>
              <w:bidi w:val="0"/>
              <w:rPr>
                <w:color w:val="auto"/>
              </w:rPr>
            </w:pPr>
            <w:r>
              <w:rPr>
                <w:color w:val="auto"/>
              </w:rPr>
              <w:t>（2）</w:t>
            </w:r>
            <w:r>
              <w:rPr>
                <w:rFonts w:hint="eastAsia"/>
                <w:color w:val="auto"/>
              </w:rPr>
              <w:t>声环境质量标准</w:t>
            </w:r>
          </w:p>
          <w:p w14:paraId="06E7EB61">
            <w:pPr>
              <w:bidi w:val="0"/>
              <w:rPr>
                <w:color w:val="auto"/>
              </w:rPr>
            </w:pPr>
            <w:r>
              <w:rPr>
                <w:rFonts w:hint="eastAsia"/>
                <w:color w:val="auto"/>
                <w:lang w:val="en-US" w:eastAsia="zh-CN"/>
              </w:rPr>
              <w:t>项目位于村庄周边，</w:t>
            </w:r>
            <w:r>
              <w:rPr>
                <w:color w:val="auto"/>
              </w:rPr>
              <w:t>执行《声环境质量标准》（GB3096-2008）</w:t>
            </w:r>
            <w:r>
              <w:rPr>
                <w:rFonts w:hint="eastAsia"/>
                <w:color w:val="auto"/>
                <w:lang w:val="en-US" w:eastAsia="zh-CN"/>
              </w:rPr>
              <w:t>1类区</w:t>
            </w:r>
            <w:r>
              <w:rPr>
                <w:color w:val="auto"/>
              </w:rPr>
              <w:t>标准。</w:t>
            </w:r>
          </w:p>
          <w:p w14:paraId="13AEFEE6">
            <w:pPr>
              <w:adjustRightInd w:val="0"/>
              <w:snapToGrid w:val="0"/>
              <w:spacing w:line="240" w:lineRule="auto"/>
              <w:ind w:firstLine="482" w:firstLineChars="200"/>
              <w:jc w:val="center"/>
              <w:rPr>
                <w:rFonts w:hint="eastAsia" w:ascii="Times New Roman" w:hAnsi="Times New Roman" w:eastAsia="宋体" w:cs="Times New Roman"/>
                <w:b/>
                <w:bCs/>
                <w:caps w:val="0"/>
                <w:color w:val="auto"/>
                <w:kern w:val="0"/>
                <w:sz w:val="24"/>
                <w:szCs w:val="24"/>
                <w:highlight w:val="none"/>
              </w:rPr>
            </w:pPr>
            <w:r>
              <w:rPr>
                <w:rFonts w:hint="eastAsia" w:ascii="Times New Roman" w:hAnsi="Times New Roman" w:eastAsia="宋体" w:cs="Times New Roman"/>
                <w:b/>
                <w:bCs/>
                <w:caps w:val="0"/>
                <w:color w:val="auto"/>
                <w:kern w:val="0"/>
                <w:sz w:val="24"/>
                <w:szCs w:val="24"/>
                <w:highlight w:val="none"/>
              </w:rPr>
              <w:t>表3-</w:t>
            </w:r>
            <w:r>
              <w:rPr>
                <w:rFonts w:hint="eastAsia" w:cs="Times New Roman"/>
                <w:b/>
                <w:bCs/>
                <w:caps w:val="0"/>
                <w:color w:val="auto"/>
                <w:kern w:val="0"/>
                <w:sz w:val="24"/>
                <w:szCs w:val="24"/>
                <w:highlight w:val="none"/>
                <w:lang w:val="en-US" w:eastAsia="zh-CN"/>
              </w:rPr>
              <w:t>10</w:t>
            </w:r>
            <w:r>
              <w:rPr>
                <w:rFonts w:hint="eastAsia" w:ascii="Times New Roman" w:hAnsi="Times New Roman" w:eastAsia="宋体" w:cs="Times New Roman"/>
                <w:b/>
                <w:bCs/>
                <w:caps w:val="0"/>
                <w:color w:val="auto"/>
                <w:kern w:val="0"/>
                <w:sz w:val="24"/>
                <w:szCs w:val="24"/>
                <w:highlight w:val="none"/>
                <w:lang w:val="en-US" w:eastAsia="zh-CN"/>
              </w:rPr>
              <w:t xml:space="preserve">  </w:t>
            </w:r>
            <w:r>
              <w:rPr>
                <w:rFonts w:ascii="Times New Roman" w:hAnsi="Times New Roman" w:eastAsia="宋体" w:cs="Times New Roman"/>
                <w:b/>
                <w:bCs/>
                <w:caps w:val="0"/>
                <w:color w:val="auto"/>
                <w:kern w:val="0"/>
                <w:sz w:val="24"/>
                <w:highlight w:val="none"/>
              </w:rPr>
              <w:t>声环境质量标准</w:t>
            </w:r>
            <w:r>
              <w:rPr>
                <w:rFonts w:hint="eastAsia" w:ascii="Times New Roman" w:hAnsi="Times New Roman" w:eastAsia="宋体" w:cs="Times New Roman"/>
                <w:b/>
                <w:bCs/>
                <w:caps w:val="0"/>
                <w:color w:val="auto"/>
                <w:kern w:val="0"/>
                <w:sz w:val="24"/>
                <w:szCs w:val="24"/>
                <w:highlight w:val="none"/>
              </w:rPr>
              <w:t>限值</w:t>
            </w:r>
            <w:r>
              <w:rPr>
                <w:rFonts w:hint="eastAsia" w:ascii="Times New Roman" w:hAnsi="Times New Roman" w:eastAsia="宋体" w:cs="Times New Roman"/>
                <w:b/>
                <w:bCs/>
                <w:caps w:val="0"/>
                <w:color w:val="auto"/>
                <w:kern w:val="0"/>
                <w:sz w:val="24"/>
                <w:szCs w:val="24"/>
                <w:highlight w:val="none"/>
                <w:lang w:val="en-US" w:eastAsia="zh-CN"/>
              </w:rPr>
              <w:t xml:space="preserve">  </w:t>
            </w:r>
            <w:r>
              <w:rPr>
                <w:rFonts w:hint="eastAsia" w:ascii="Times New Roman" w:hAnsi="Times New Roman" w:eastAsia="宋体" w:cs="Times New Roman"/>
                <w:b/>
                <w:bCs/>
                <w:caps w:val="0"/>
                <w:color w:val="auto"/>
                <w:kern w:val="0"/>
                <w:sz w:val="24"/>
                <w:szCs w:val="24"/>
                <w:highlight w:val="none"/>
              </w:rPr>
              <w:t>单位：dB（A）</w:t>
            </w:r>
          </w:p>
          <w:tbl>
            <w:tblPr>
              <w:tblStyle w:val="20"/>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682"/>
              <w:gridCol w:w="2081"/>
              <w:gridCol w:w="2098"/>
            </w:tblGrid>
            <w:tr w14:paraId="30D964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42" w:type="pct"/>
                  <w:vMerge w:val="restart"/>
                  <w:tcBorders>
                    <w:tl2br w:val="nil"/>
                    <w:tr2bl w:val="nil"/>
                  </w:tcBorders>
                  <w:noWrap w:val="0"/>
                  <w:vAlign w:val="center"/>
                </w:tcPr>
                <w:p w14:paraId="355F428A">
                  <w:pPr>
                    <w:pStyle w:val="37"/>
                    <w:bidi w:val="0"/>
                    <w:rPr>
                      <w:color w:val="auto"/>
                    </w:rPr>
                  </w:pPr>
                  <w:bookmarkStart w:id="28" w:name="_Hlk69374558"/>
                  <w:r>
                    <w:rPr>
                      <w:color w:val="auto"/>
                    </w:rPr>
                    <w:t>声环境功能区划</w:t>
                  </w:r>
                </w:p>
              </w:tc>
              <w:tc>
                <w:tcPr>
                  <w:tcW w:w="2657" w:type="pct"/>
                  <w:gridSpan w:val="2"/>
                  <w:tcBorders>
                    <w:tl2br w:val="nil"/>
                    <w:tr2bl w:val="nil"/>
                  </w:tcBorders>
                  <w:noWrap w:val="0"/>
                  <w:vAlign w:val="center"/>
                </w:tcPr>
                <w:p w14:paraId="5258C923">
                  <w:pPr>
                    <w:pStyle w:val="37"/>
                    <w:bidi w:val="0"/>
                    <w:rPr>
                      <w:rFonts w:hint="eastAsia"/>
                      <w:color w:val="auto"/>
                    </w:rPr>
                  </w:pPr>
                  <w:r>
                    <w:rPr>
                      <w:color w:val="auto"/>
                    </w:rPr>
                    <w:t>等效声级Leq</w:t>
                  </w:r>
                </w:p>
              </w:tc>
            </w:tr>
            <w:tr w14:paraId="03A1E5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42" w:type="pct"/>
                  <w:vMerge w:val="continue"/>
                  <w:tcBorders>
                    <w:tl2br w:val="nil"/>
                    <w:tr2bl w:val="nil"/>
                  </w:tcBorders>
                  <w:noWrap w:val="0"/>
                  <w:vAlign w:val="center"/>
                </w:tcPr>
                <w:p w14:paraId="6C12A6E3">
                  <w:pPr>
                    <w:pStyle w:val="34"/>
                    <w:bidi w:val="0"/>
                    <w:rPr>
                      <w:color w:val="auto"/>
                    </w:rPr>
                  </w:pPr>
                </w:p>
              </w:tc>
              <w:tc>
                <w:tcPr>
                  <w:tcW w:w="1323" w:type="pct"/>
                  <w:tcBorders>
                    <w:tl2br w:val="nil"/>
                    <w:tr2bl w:val="nil"/>
                  </w:tcBorders>
                  <w:noWrap w:val="0"/>
                  <w:vAlign w:val="center"/>
                </w:tcPr>
                <w:p w14:paraId="026D4C81">
                  <w:pPr>
                    <w:pStyle w:val="37"/>
                    <w:bidi w:val="0"/>
                    <w:rPr>
                      <w:color w:val="auto"/>
                    </w:rPr>
                  </w:pPr>
                  <w:r>
                    <w:rPr>
                      <w:color w:val="auto"/>
                    </w:rPr>
                    <w:t>昼间</w:t>
                  </w:r>
                </w:p>
              </w:tc>
              <w:tc>
                <w:tcPr>
                  <w:tcW w:w="1333" w:type="pct"/>
                  <w:tcBorders>
                    <w:tl2br w:val="nil"/>
                    <w:tr2bl w:val="nil"/>
                  </w:tcBorders>
                  <w:noWrap w:val="0"/>
                  <w:vAlign w:val="center"/>
                </w:tcPr>
                <w:p w14:paraId="4BDB9146">
                  <w:pPr>
                    <w:pStyle w:val="37"/>
                    <w:bidi w:val="0"/>
                    <w:rPr>
                      <w:color w:val="auto"/>
                    </w:rPr>
                  </w:pPr>
                  <w:r>
                    <w:rPr>
                      <w:color w:val="auto"/>
                    </w:rPr>
                    <w:t>夜间</w:t>
                  </w:r>
                </w:p>
              </w:tc>
            </w:tr>
            <w:tr w14:paraId="333F42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2342" w:type="pct"/>
                  <w:tcBorders>
                    <w:tl2br w:val="nil"/>
                    <w:tr2bl w:val="nil"/>
                  </w:tcBorders>
                  <w:noWrap w:val="0"/>
                  <w:vAlign w:val="center"/>
                </w:tcPr>
                <w:p w14:paraId="1794717B">
                  <w:pPr>
                    <w:pStyle w:val="37"/>
                    <w:bidi w:val="0"/>
                    <w:rPr>
                      <w:color w:val="auto"/>
                    </w:rPr>
                  </w:pPr>
                  <w:r>
                    <w:rPr>
                      <w:rFonts w:hint="eastAsia"/>
                      <w:color w:val="auto"/>
                      <w:lang w:val="en-US" w:eastAsia="zh-CN"/>
                    </w:rPr>
                    <w:t>1类区</w:t>
                  </w:r>
                </w:p>
              </w:tc>
              <w:tc>
                <w:tcPr>
                  <w:tcW w:w="1323" w:type="pct"/>
                  <w:tcBorders>
                    <w:tl2br w:val="nil"/>
                    <w:tr2bl w:val="nil"/>
                  </w:tcBorders>
                  <w:noWrap w:val="0"/>
                  <w:vAlign w:val="center"/>
                </w:tcPr>
                <w:p w14:paraId="53A92BC3">
                  <w:pPr>
                    <w:pStyle w:val="37"/>
                    <w:bidi w:val="0"/>
                    <w:rPr>
                      <w:rFonts w:hint="default"/>
                      <w:color w:val="auto"/>
                      <w:lang w:val="en-US" w:eastAsia="zh-CN"/>
                    </w:rPr>
                  </w:pPr>
                  <w:r>
                    <w:rPr>
                      <w:rFonts w:hint="eastAsia"/>
                      <w:color w:val="auto"/>
                      <w:lang w:val="en-US" w:eastAsia="zh-CN"/>
                    </w:rPr>
                    <w:t>55</w:t>
                  </w:r>
                </w:p>
              </w:tc>
              <w:tc>
                <w:tcPr>
                  <w:tcW w:w="1333" w:type="pct"/>
                  <w:tcBorders>
                    <w:tl2br w:val="nil"/>
                    <w:tr2bl w:val="nil"/>
                  </w:tcBorders>
                  <w:noWrap w:val="0"/>
                  <w:vAlign w:val="center"/>
                </w:tcPr>
                <w:p w14:paraId="4E3A6183">
                  <w:pPr>
                    <w:pStyle w:val="37"/>
                    <w:bidi w:val="0"/>
                    <w:rPr>
                      <w:rFonts w:hint="default"/>
                      <w:color w:val="auto"/>
                      <w:lang w:val="en-US" w:eastAsia="zh-CN"/>
                    </w:rPr>
                  </w:pPr>
                  <w:r>
                    <w:rPr>
                      <w:rFonts w:hint="eastAsia"/>
                      <w:color w:val="auto"/>
                      <w:lang w:val="en-US" w:eastAsia="zh-CN"/>
                    </w:rPr>
                    <w:t>45</w:t>
                  </w:r>
                </w:p>
              </w:tc>
            </w:tr>
            <w:bookmarkEnd w:id="28"/>
          </w:tbl>
          <w:p w14:paraId="18DC508A">
            <w:pPr>
              <w:numPr>
                <w:ilvl w:val="0"/>
                <w:numId w:val="0"/>
              </w:numPr>
              <w:bidi w:val="0"/>
              <w:ind w:firstLine="480" w:firstLineChars="200"/>
              <w:rPr>
                <w:rFonts w:hint="eastAsia"/>
                <w:color w:val="auto"/>
                <w:highlight w:val="none"/>
                <w:lang w:val="en-US" w:eastAsia="zh-CN"/>
              </w:rPr>
            </w:pPr>
            <w:r>
              <w:rPr>
                <w:rFonts w:hint="eastAsia" w:ascii="Times New Roman" w:hAnsi="Times New Roman" w:eastAsia="宋体" w:cs="Arial"/>
                <w:snapToGrid w:val="0"/>
                <w:color w:val="auto"/>
                <w:kern w:val="0"/>
                <w:sz w:val="24"/>
                <w:szCs w:val="21"/>
                <w:highlight w:val="none"/>
                <w:lang w:val="en-US" w:eastAsia="zh-CN" w:bidi="ar-SA"/>
              </w:rPr>
              <w:t>（</w:t>
            </w:r>
            <w:r>
              <w:rPr>
                <w:rFonts w:hint="eastAsia" w:cs="Arial"/>
                <w:snapToGrid w:val="0"/>
                <w:color w:val="auto"/>
                <w:kern w:val="0"/>
                <w:sz w:val="24"/>
                <w:szCs w:val="21"/>
                <w:highlight w:val="none"/>
                <w:lang w:val="en-US" w:eastAsia="zh-CN" w:bidi="ar-SA"/>
              </w:rPr>
              <w:t>4</w:t>
            </w:r>
            <w:r>
              <w:rPr>
                <w:rFonts w:hint="eastAsia" w:ascii="Times New Roman" w:hAnsi="Times New Roman" w:eastAsia="宋体" w:cs="Arial"/>
                <w:snapToGrid w:val="0"/>
                <w:color w:val="auto"/>
                <w:kern w:val="0"/>
                <w:sz w:val="24"/>
                <w:szCs w:val="21"/>
                <w:highlight w:val="none"/>
                <w:lang w:val="en-US" w:eastAsia="zh-CN" w:bidi="ar-SA"/>
              </w:rPr>
              <w:t>）</w:t>
            </w:r>
            <w:r>
              <w:rPr>
                <w:rFonts w:hint="eastAsia"/>
                <w:color w:val="auto"/>
                <w:highlight w:val="none"/>
                <w:lang w:val="en-US" w:eastAsia="zh-CN"/>
              </w:rPr>
              <w:t>电磁环境质量标准</w:t>
            </w:r>
          </w:p>
          <w:p w14:paraId="0E06F69B">
            <w:pPr>
              <w:bidi w:val="0"/>
              <w:rPr>
                <w:color w:val="auto"/>
                <w:highlight w:val="none"/>
              </w:rPr>
            </w:pPr>
            <w:r>
              <w:rPr>
                <w:rFonts w:hint="eastAsia"/>
                <w:color w:val="auto"/>
                <w:highlight w:val="none"/>
                <w:lang w:val="en-US" w:eastAsia="zh-CN"/>
              </w:rPr>
              <w:t>执行《电磁环境控制限值》（</w:t>
            </w:r>
            <w:r>
              <w:rPr>
                <w:rFonts w:hint="default"/>
                <w:color w:val="auto"/>
                <w:highlight w:val="none"/>
                <w:lang w:val="en-US" w:eastAsia="zh-CN"/>
              </w:rPr>
              <w:t>GB8702-2014</w:t>
            </w:r>
            <w:r>
              <w:rPr>
                <w:rFonts w:hint="eastAsia"/>
                <w:color w:val="auto"/>
                <w:highlight w:val="none"/>
                <w:lang w:val="en-US" w:eastAsia="zh-CN"/>
              </w:rPr>
              <w:t>），如下表所示。</w:t>
            </w:r>
          </w:p>
          <w:p w14:paraId="1A84BD75">
            <w:pPr>
              <w:pStyle w:val="27"/>
              <w:pageBreakBefore w:val="0"/>
              <w:kinsoku/>
              <w:wordWrap/>
              <w:overflowPunct/>
              <w:bidi w:val="0"/>
              <w:rPr>
                <w:rFonts w:hint="default"/>
                <w:color w:val="auto"/>
                <w:highlight w:val="none"/>
                <w:lang w:val="en-US" w:eastAsia="zh-CN"/>
              </w:rPr>
            </w:pPr>
            <w:r>
              <w:rPr>
                <w:rFonts w:hint="default"/>
                <w:color w:val="auto"/>
                <w:highlight w:val="none"/>
                <w:lang w:val="en-US" w:eastAsia="zh-CN"/>
              </w:rPr>
              <w:t>表3-</w:t>
            </w:r>
            <w:r>
              <w:rPr>
                <w:rFonts w:hint="eastAsia"/>
                <w:color w:val="auto"/>
                <w:highlight w:val="none"/>
                <w:lang w:val="en-US" w:eastAsia="zh-CN"/>
              </w:rPr>
              <w:t xml:space="preserve">11  </w:t>
            </w:r>
            <w:r>
              <w:rPr>
                <w:rFonts w:hint="default"/>
                <w:color w:val="auto"/>
                <w:highlight w:val="none"/>
                <w:lang w:val="en-US" w:eastAsia="zh-CN"/>
              </w:rPr>
              <w:t>电磁环境公众曝露控制限值标准明细表</w:t>
            </w:r>
          </w:p>
          <w:tbl>
            <w:tblPr>
              <w:tblStyle w:val="21"/>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27"/>
              <w:gridCol w:w="1838"/>
              <w:gridCol w:w="718"/>
              <w:gridCol w:w="1078"/>
              <w:gridCol w:w="977"/>
              <w:gridCol w:w="2522"/>
            </w:tblGrid>
            <w:tr w14:paraId="25BF78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470" w:type="pct"/>
                  <w:vMerge w:val="restart"/>
                  <w:tcBorders>
                    <w:tl2br w:val="nil"/>
                    <w:tr2bl w:val="nil"/>
                  </w:tcBorders>
                  <w:noWrap w:val="0"/>
                  <w:vAlign w:val="center"/>
                </w:tcPr>
                <w:p w14:paraId="54863549">
                  <w:pPr>
                    <w:pStyle w:val="37"/>
                    <w:bidi w:val="0"/>
                    <w:rPr>
                      <w:rFonts w:hint="default" w:ascii="Times New Roman" w:hAnsi="Times New Roman" w:cs="Times New Roman"/>
                      <w:b/>
                      <w:bCs/>
                      <w:color w:val="auto"/>
                      <w:lang w:val="en-US" w:eastAsia="zh-CN"/>
                    </w:rPr>
                  </w:pPr>
                  <w:r>
                    <w:rPr>
                      <w:rFonts w:hint="default"/>
                      <w:color w:val="auto"/>
                      <w:lang w:val="en-US" w:eastAsia="zh-CN"/>
                    </w:rPr>
                    <w:t>要素分类</w:t>
                  </w:r>
                </w:p>
              </w:tc>
              <w:tc>
                <w:tcPr>
                  <w:tcW w:w="1130" w:type="pct"/>
                  <w:vMerge w:val="restart"/>
                  <w:tcBorders>
                    <w:tl2br w:val="nil"/>
                    <w:tr2bl w:val="nil"/>
                  </w:tcBorders>
                  <w:noWrap w:val="0"/>
                  <w:vAlign w:val="center"/>
                </w:tcPr>
                <w:p w14:paraId="6721B8F4">
                  <w:pPr>
                    <w:pStyle w:val="37"/>
                    <w:bidi w:val="0"/>
                    <w:rPr>
                      <w:rFonts w:hint="default" w:ascii="Times New Roman" w:hAnsi="Times New Roman" w:cs="Times New Roman"/>
                      <w:b/>
                      <w:bCs/>
                      <w:color w:val="auto"/>
                      <w:lang w:val="en-US" w:eastAsia="zh-CN"/>
                    </w:rPr>
                  </w:pPr>
                  <w:r>
                    <w:rPr>
                      <w:rFonts w:hint="default"/>
                      <w:color w:val="auto"/>
                      <w:lang w:val="en-US" w:eastAsia="zh-CN"/>
                    </w:rPr>
                    <w:t>标准名称</w:t>
                  </w:r>
                </w:p>
              </w:tc>
              <w:tc>
                <w:tcPr>
                  <w:tcW w:w="464" w:type="pct"/>
                  <w:vMerge w:val="restart"/>
                  <w:tcBorders>
                    <w:tl2br w:val="nil"/>
                    <w:tr2bl w:val="nil"/>
                  </w:tcBorders>
                  <w:noWrap w:val="0"/>
                  <w:vAlign w:val="center"/>
                </w:tcPr>
                <w:p w14:paraId="6927D1AC">
                  <w:pPr>
                    <w:pStyle w:val="37"/>
                    <w:bidi w:val="0"/>
                    <w:rPr>
                      <w:rFonts w:hint="default" w:ascii="Times New Roman" w:hAnsi="Times New Roman" w:cs="Times New Roman"/>
                      <w:b/>
                      <w:bCs/>
                      <w:color w:val="auto"/>
                      <w:lang w:val="en-US" w:eastAsia="zh-CN"/>
                    </w:rPr>
                  </w:pPr>
                  <w:r>
                    <w:rPr>
                      <w:rFonts w:hint="default"/>
                      <w:color w:val="auto"/>
                      <w:lang w:val="en-US" w:eastAsia="zh-CN"/>
                    </w:rPr>
                    <w:t>适用类别</w:t>
                  </w:r>
                </w:p>
              </w:tc>
              <w:tc>
                <w:tcPr>
                  <w:tcW w:w="1322" w:type="pct"/>
                  <w:gridSpan w:val="2"/>
                  <w:tcBorders>
                    <w:tl2br w:val="nil"/>
                    <w:tr2bl w:val="nil"/>
                  </w:tcBorders>
                  <w:noWrap w:val="0"/>
                  <w:vAlign w:val="center"/>
                </w:tcPr>
                <w:p w14:paraId="63FAA7E1">
                  <w:pPr>
                    <w:pStyle w:val="37"/>
                    <w:bidi w:val="0"/>
                    <w:rPr>
                      <w:rFonts w:hint="default" w:ascii="Times New Roman" w:hAnsi="Times New Roman" w:cs="Times New Roman"/>
                      <w:b/>
                      <w:bCs/>
                      <w:color w:val="auto"/>
                      <w:lang w:val="en-US" w:eastAsia="zh-CN"/>
                    </w:rPr>
                  </w:pPr>
                  <w:r>
                    <w:rPr>
                      <w:rFonts w:hint="default"/>
                      <w:color w:val="auto"/>
                      <w:lang w:val="en-US" w:eastAsia="zh-CN"/>
                    </w:rPr>
                    <w:t>标准值</w:t>
                  </w:r>
                </w:p>
              </w:tc>
              <w:tc>
                <w:tcPr>
                  <w:tcW w:w="1611" w:type="pct"/>
                  <w:vMerge w:val="restart"/>
                  <w:tcBorders>
                    <w:tl2br w:val="nil"/>
                    <w:tr2bl w:val="nil"/>
                  </w:tcBorders>
                  <w:noWrap w:val="0"/>
                  <w:vAlign w:val="center"/>
                </w:tcPr>
                <w:p w14:paraId="120FBF90">
                  <w:pPr>
                    <w:pStyle w:val="37"/>
                    <w:bidi w:val="0"/>
                    <w:rPr>
                      <w:rFonts w:hint="default" w:ascii="Times New Roman" w:hAnsi="Times New Roman" w:cs="Times New Roman"/>
                      <w:b/>
                      <w:bCs/>
                      <w:color w:val="auto"/>
                      <w:lang w:val="en-US" w:eastAsia="zh-CN"/>
                    </w:rPr>
                  </w:pPr>
                  <w:r>
                    <w:rPr>
                      <w:rFonts w:hint="default"/>
                      <w:color w:val="auto"/>
                      <w:lang w:val="en-US" w:eastAsia="zh-CN"/>
                    </w:rPr>
                    <w:t>评价对象</w:t>
                  </w:r>
                </w:p>
              </w:tc>
            </w:tr>
            <w:tr w14:paraId="1450FA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470" w:type="pct"/>
                  <w:vMerge w:val="continue"/>
                  <w:tcBorders>
                    <w:bottom w:val="single" w:color="auto" w:sz="12" w:space="0"/>
                    <w:tl2br w:val="nil"/>
                    <w:tr2bl w:val="nil"/>
                  </w:tcBorders>
                  <w:noWrap w:val="0"/>
                  <w:vAlign w:val="center"/>
                </w:tcPr>
                <w:p w14:paraId="1A6EA3B3">
                  <w:pPr>
                    <w:pStyle w:val="34"/>
                    <w:bidi w:val="0"/>
                    <w:rPr>
                      <w:rFonts w:hint="default" w:ascii="Times New Roman" w:hAnsi="Times New Roman" w:cs="Times New Roman"/>
                      <w:color w:val="auto"/>
                    </w:rPr>
                  </w:pPr>
                </w:p>
              </w:tc>
              <w:tc>
                <w:tcPr>
                  <w:tcW w:w="1130" w:type="pct"/>
                  <w:vMerge w:val="continue"/>
                  <w:tcBorders>
                    <w:bottom w:val="single" w:color="auto" w:sz="12" w:space="0"/>
                    <w:tl2br w:val="nil"/>
                    <w:tr2bl w:val="nil"/>
                  </w:tcBorders>
                  <w:noWrap w:val="0"/>
                  <w:vAlign w:val="center"/>
                </w:tcPr>
                <w:p w14:paraId="61EB2349">
                  <w:pPr>
                    <w:pStyle w:val="34"/>
                    <w:bidi w:val="0"/>
                    <w:rPr>
                      <w:rFonts w:hint="default" w:ascii="Times New Roman" w:hAnsi="Times New Roman" w:cs="Times New Roman"/>
                      <w:color w:val="auto"/>
                    </w:rPr>
                  </w:pPr>
                </w:p>
              </w:tc>
              <w:tc>
                <w:tcPr>
                  <w:tcW w:w="464" w:type="pct"/>
                  <w:vMerge w:val="continue"/>
                  <w:tcBorders>
                    <w:bottom w:val="single" w:color="auto" w:sz="12" w:space="0"/>
                    <w:tl2br w:val="nil"/>
                    <w:tr2bl w:val="nil"/>
                  </w:tcBorders>
                  <w:noWrap w:val="0"/>
                  <w:vAlign w:val="center"/>
                </w:tcPr>
                <w:p w14:paraId="00C6DB54">
                  <w:pPr>
                    <w:pStyle w:val="34"/>
                    <w:bidi w:val="0"/>
                    <w:rPr>
                      <w:rFonts w:hint="default" w:ascii="Times New Roman" w:hAnsi="Times New Roman" w:cs="Times New Roman"/>
                      <w:color w:val="auto"/>
                    </w:rPr>
                  </w:pPr>
                </w:p>
              </w:tc>
              <w:tc>
                <w:tcPr>
                  <w:tcW w:w="693" w:type="pct"/>
                  <w:tcBorders>
                    <w:bottom w:val="single" w:color="auto" w:sz="12" w:space="0"/>
                    <w:tl2br w:val="nil"/>
                    <w:tr2bl w:val="nil"/>
                  </w:tcBorders>
                  <w:noWrap w:val="0"/>
                  <w:vAlign w:val="center"/>
                </w:tcPr>
                <w:p w14:paraId="7AFC0916">
                  <w:pPr>
                    <w:pStyle w:val="37"/>
                    <w:bidi w:val="0"/>
                    <w:rPr>
                      <w:rFonts w:hint="default" w:ascii="Times New Roman" w:hAnsi="Times New Roman" w:cs="Times New Roman"/>
                      <w:b/>
                      <w:bCs/>
                      <w:color w:val="auto"/>
                      <w:lang w:val="en-US" w:eastAsia="zh-CN"/>
                    </w:rPr>
                  </w:pPr>
                  <w:r>
                    <w:rPr>
                      <w:rFonts w:hint="default"/>
                      <w:color w:val="auto"/>
                      <w:lang w:val="en-US" w:eastAsia="zh-CN"/>
                    </w:rPr>
                    <w:t>参数名称</w:t>
                  </w:r>
                </w:p>
              </w:tc>
              <w:tc>
                <w:tcPr>
                  <w:tcW w:w="629" w:type="pct"/>
                  <w:tcBorders>
                    <w:bottom w:val="single" w:color="auto" w:sz="12" w:space="0"/>
                    <w:tl2br w:val="nil"/>
                    <w:tr2bl w:val="nil"/>
                  </w:tcBorders>
                  <w:noWrap w:val="0"/>
                  <w:vAlign w:val="center"/>
                </w:tcPr>
                <w:p w14:paraId="1FF20F20">
                  <w:pPr>
                    <w:pStyle w:val="37"/>
                    <w:bidi w:val="0"/>
                    <w:rPr>
                      <w:rFonts w:hint="default" w:ascii="Times New Roman" w:hAnsi="Times New Roman" w:cs="Times New Roman"/>
                      <w:b/>
                      <w:bCs/>
                      <w:color w:val="auto"/>
                      <w:lang w:val="en-US" w:eastAsia="zh-CN"/>
                    </w:rPr>
                  </w:pPr>
                  <w:r>
                    <w:rPr>
                      <w:rFonts w:hint="default"/>
                      <w:color w:val="auto"/>
                      <w:lang w:val="en-US" w:eastAsia="zh-CN"/>
                    </w:rPr>
                    <w:t>限值</w:t>
                  </w:r>
                </w:p>
              </w:tc>
              <w:tc>
                <w:tcPr>
                  <w:tcW w:w="1611" w:type="pct"/>
                  <w:vMerge w:val="continue"/>
                  <w:tcBorders>
                    <w:bottom w:val="single" w:color="auto" w:sz="12" w:space="0"/>
                    <w:tl2br w:val="nil"/>
                    <w:tr2bl w:val="nil"/>
                  </w:tcBorders>
                  <w:noWrap w:val="0"/>
                  <w:vAlign w:val="center"/>
                </w:tcPr>
                <w:p w14:paraId="5C2D43E8">
                  <w:pPr>
                    <w:pStyle w:val="34"/>
                    <w:bidi w:val="0"/>
                    <w:rPr>
                      <w:rFonts w:hint="default" w:ascii="Times New Roman" w:hAnsi="Times New Roman" w:cs="Times New Roman"/>
                      <w:color w:val="auto"/>
                    </w:rPr>
                  </w:pPr>
                </w:p>
              </w:tc>
            </w:tr>
            <w:tr w14:paraId="1C4600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70" w:type="pct"/>
                  <w:vMerge w:val="restart"/>
                  <w:tcBorders>
                    <w:top w:val="single" w:color="auto" w:sz="12" w:space="0"/>
                    <w:tl2br w:val="nil"/>
                    <w:tr2bl w:val="nil"/>
                  </w:tcBorders>
                  <w:noWrap w:val="0"/>
                  <w:vAlign w:val="center"/>
                </w:tcPr>
                <w:p w14:paraId="401A615E">
                  <w:pPr>
                    <w:pStyle w:val="37"/>
                    <w:bidi w:val="0"/>
                    <w:rPr>
                      <w:rFonts w:hint="default" w:ascii="Times New Roman" w:hAnsi="Times New Roman" w:cs="Times New Roman"/>
                      <w:color w:val="auto"/>
                      <w:lang w:val="en-US" w:eastAsia="zh-CN"/>
                    </w:rPr>
                  </w:pPr>
                  <w:r>
                    <w:rPr>
                      <w:rFonts w:hint="default"/>
                      <w:color w:val="auto"/>
                      <w:lang w:val="en-US" w:eastAsia="zh-CN"/>
                    </w:rPr>
                    <w:t>电磁环境</w:t>
                  </w:r>
                </w:p>
              </w:tc>
              <w:tc>
                <w:tcPr>
                  <w:tcW w:w="1130" w:type="pct"/>
                  <w:vMerge w:val="restart"/>
                  <w:tcBorders>
                    <w:top w:val="single" w:color="auto" w:sz="12" w:space="0"/>
                    <w:tl2br w:val="nil"/>
                    <w:tr2bl w:val="nil"/>
                  </w:tcBorders>
                  <w:noWrap w:val="0"/>
                  <w:vAlign w:val="center"/>
                </w:tcPr>
                <w:p w14:paraId="7D504A1B">
                  <w:pPr>
                    <w:pStyle w:val="37"/>
                    <w:bidi w:val="0"/>
                    <w:rPr>
                      <w:rFonts w:hint="default" w:ascii="Times New Roman" w:hAnsi="Times New Roman" w:cs="Times New Roman"/>
                      <w:color w:val="auto"/>
                      <w:lang w:val="en-US" w:eastAsia="zh-CN"/>
                    </w:rPr>
                  </w:pPr>
                  <w:r>
                    <w:rPr>
                      <w:rFonts w:hint="default"/>
                      <w:color w:val="auto"/>
                      <w:lang w:val="en-US" w:eastAsia="zh-CN"/>
                    </w:rPr>
                    <w:t>《电磁环境控制限值》（GB8702-2014）</w:t>
                  </w:r>
                </w:p>
              </w:tc>
              <w:tc>
                <w:tcPr>
                  <w:tcW w:w="464" w:type="pct"/>
                  <w:vMerge w:val="restart"/>
                  <w:tcBorders>
                    <w:top w:val="single" w:color="auto" w:sz="12" w:space="0"/>
                    <w:tl2br w:val="nil"/>
                    <w:tr2bl w:val="nil"/>
                  </w:tcBorders>
                  <w:noWrap w:val="0"/>
                  <w:vAlign w:val="center"/>
                </w:tcPr>
                <w:p w14:paraId="45436449">
                  <w:pPr>
                    <w:pStyle w:val="37"/>
                    <w:bidi w:val="0"/>
                    <w:rPr>
                      <w:rFonts w:hint="default" w:ascii="Times New Roman" w:hAnsi="Times New Roman" w:cs="Times New Roman"/>
                      <w:color w:val="auto"/>
                      <w:lang w:val="en-US" w:eastAsia="zh-CN"/>
                    </w:rPr>
                  </w:pPr>
                  <w:r>
                    <w:rPr>
                      <w:rFonts w:hint="default"/>
                      <w:color w:val="auto"/>
                      <w:lang w:val="en-US" w:eastAsia="zh-CN"/>
                    </w:rPr>
                    <w:t>50Hz</w:t>
                  </w:r>
                </w:p>
              </w:tc>
              <w:tc>
                <w:tcPr>
                  <w:tcW w:w="693" w:type="pct"/>
                  <w:vMerge w:val="restart"/>
                  <w:tcBorders>
                    <w:top w:val="single" w:color="auto" w:sz="12" w:space="0"/>
                    <w:tl2br w:val="nil"/>
                    <w:tr2bl w:val="nil"/>
                  </w:tcBorders>
                  <w:noWrap w:val="0"/>
                  <w:vAlign w:val="center"/>
                </w:tcPr>
                <w:p w14:paraId="46EFC86E">
                  <w:pPr>
                    <w:pStyle w:val="37"/>
                    <w:bidi w:val="0"/>
                    <w:rPr>
                      <w:rFonts w:hint="default" w:ascii="Times New Roman" w:hAnsi="Times New Roman" w:cs="Times New Roman"/>
                      <w:color w:val="auto"/>
                      <w:lang w:val="en-US" w:eastAsia="zh-CN"/>
                    </w:rPr>
                  </w:pPr>
                  <w:r>
                    <w:rPr>
                      <w:rFonts w:hint="default"/>
                      <w:color w:val="auto"/>
                      <w:lang w:val="en-US" w:eastAsia="zh-CN"/>
                    </w:rPr>
                    <w:t>工频电场</w:t>
                  </w:r>
                </w:p>
              </w:tc>
              <w:tc>
                <w:tcPr>
                  <w:tcW w:w="629" w:type="pct"/>
                  <w:tcBorders>
                    <w:top w:val="single" w:color="auto" w:sz="12" w:space="0"/>
                    <w:tl2br w:val="nil"/>
                    <w:tr2bl w:val="nil"/>
                  </w:tcBorders>
                  <w:noWrap w:val="0"/>
                  <w:vAlign w:val="center"/>
                </w:tcPr>
                <w:p w14:paraId="3D70390B">
                  <w:pPr>
                    <w:pStyle w:val="37"/>
                    <w:bidi w:val="0"/>
                    <w:rPr>
                      <w:rFonts w:hint="default" w:ascii="Times New Roman" w:hAnsi="Times New Roman" w:cs="Times New Roman"/>
                      <w:color w:val="auto"/>
                      <w:lang w:val="en-US" w:eastAsia="zh-CN"/>
                    </w:rPr>
                  </w:pPr>
                  <w:r>
                    <w:rPr>
                      <w:rFonts w:hint="default"/>
                      <w:color w:val="auto"/>
                      <w:lang w:val="en-US" w:eastAsia="zh-CN"/>
                    </w:rPr>
                    <w:t>4kV/m</w:t>
                  </w:r>
                </w:p>
              </w:tc>
              <w:tc>
                <w:tcPr>
                  <w:tcW w:w="1611" w:type="pct"/>
                  <w:tcBorders>
                    <w:top w:val="single" w:color="auto" w:sz="12" w:space="0"/>
                    <w:tl2br w:val="nil"/>
                    <w:tr2bl w:val="nil"/>
                  </w:tcBorders>
                  <w:noWrap w:val="0"/>
                  <w:vAlign w:val="center"/>
                </w:tcPr>
                <w:p w14:paraId="386D66E2">
                  <w:pPr>
                    <w:pStyle w:val="37"/>
                    <w:bidi w:val="0"/>
                    <w:rPr>
                      <w:rFonts w:hint="default" w:ascii="Times New Roman" w:hAnsi="Times New Roman" w:cs="Times New Roman"/>
                      <w:color w:val="auto"/>
                      <w:lang w:val="en-US" w:eastAsia="zh-CN"/>
                    </w:rPr>
                  </w:pPr>
                  <w:r>
                    <w:rPr>
                      <w:rFonts w:hint="default"/>
                      <w:color w:val="auto"/>
                      <w:lang w:val="en-US" w:eastAsia="zh-CN"/>
                    </w:rPr>
                    <w:t>评价范围内电磁环境保护目标的公众曝露限值</w:t>
                  </w:r>
                </w:p>
              </w:tc>
            </w:tr>
            <w:tr w14:paraId="112BFB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70" w:type="pct"/>
                  <w:vMerge w:val="continue"/>
                  <w:tcBorders>
                    <w:tl2br w:val="nil"/>
                    <w:tr2bl w:val="nil"/>
                  </w:tcBorders>
                  <w:noWrap w:val="0"/>
                  <w:vAlign w:val="center"/>
                </w:tcPr>
                <w:p w14:paraId="1656C5DA">
                  <w:pPr>
                    <w:pStyle w:val="34"/>
                    <w:bidi w:val="0"/>
                    <w:rPr>
                      <w:rFonts w:hint="default" w:ascii="Times New Roman" w:hAnsi="Times New Roman" w:cs="Times New Roman"/>
                      <w:color w:val="auto"/>
                      <w:lang w:val="en-US" w:eastAsia="zh-CN"/>
                    </w:rPr>
                  </w:pPr>
                </w:p>
              </w:tc>
              <w:tc>
                <w:tcPr>
                  <w:tcW w:w="1130" w:type="pct"/>
                  <w:vMerge w:val="continue"/>
                  <w:tcBorders>
                    <w:tl2br w:val="nil"/>
                    <w:tr2bl w:val="nil"/>
                  </w:tcBorders>
                  <w:noWrap w:val="0"/>
                  <w:vAlign w:val="center"/>
                </w:tcPr>
                <w:p w14:paraId="79DBB943">
                  <w:pPr>
                    <w:pStyle w:val="34"/>
                    <w:bidi w:val="0"/>
                    <w:rPr>
                      <w:rFonts w:hint="default" w:ascii="Times New Roman" w:hAnsi="Times New Roman" w:cs="Times New Roman"/>
                      <w:color w:val="auto"/>
                      <w:lang w:val="en-US" w:eastAsia="zh-CN"/>
                    </w:rPr>
                  </w:pPr>
                </w:p>
              </w:tc>
              <w:tc>
                <w:tcPr>
                  <w:tcW w:w="464" w:type="pct"/>
                  <w:vMerge w:val="continue"/>
                  <w:tcBorders>
                    <w:tl2br w:val="nil"/>
                    <w:tr2bl w:val="nil"/>
                  </w:tcBorders>
                  <w:noWrap w:val="0"/>
                  <w:vAlign w:val="center"/>
                </w:tcPr>
                <w:p w14:paraId="45EAEDF8">
                  <w:pPr>
                    <w:pStyle w:val="34"/>
                    <w:bidi w:val="0"/>
                    <w:rPr>
                      <w:rFonts w:hint="default" w:ascii="Times New Roman" w:hAnsi="Times New Roman" w:cs="Times New Roman"/>
                      <w:color w:val="auto"/>
                      <w:lang w:val="en-US" w:eastAsia="zh-CN"/>
                    </w:rPr>
                  </w:pPr>
                </w:p>
              </w:tc>
              <w:tc>
                <w:tcPr>
                  <w:tcW w:w="693" w:type="pct"/>
                  <w:vMerge w:val="continue"/>
                  <w:tcBorders>
                    <w:tl2br w:val="nil"/>
                    <w:tr2bl w:val="nil"/>
                  </w:tcBorders>
                  <w:noWrap w:val="0"/>
                  <w:vAlign w:val="center"/>
                </w:tcPr>
                <w:p w14:paraId="505363EF">
                  <w:pPr>
                    <w:pStyle w:val="34"/>
                    <w:bidi w:val="0"/>
                    <w:rPr>
                      <w:rFonts w:hint="default" w:ascii="Times New Roman" w:hAnsi="Times New Roman" w:cs="Times New Roman"/>
                      <w:color w:val="auto"/>
                      <w:lang w:val="en-US" w:eastAsia="zh-CN"/>
                    </w:rPr>
                  </w:pPr>
                </w:p>
              </w:tc>
              <w:tc>
                <w:tcPr>
                  <w:tcW w:w="629" w:type="pct"/>
                  <w:tcBorders>
                    <w:tl2br w:val="nil"/>
                    <w:tr2bl w:val="nil"/>
                  </w:tcBorders>
                  <w:noWrap w:val="0"/>
                  <w:vAlign w:val="center"/>
                </w:tcPr>
                <w:p w14:paraId="1B9F80D8">
                  <w:pPr>
                    <w:pStyle w:val="37"/>
                    <w:bidi w:val="0"/>
                    <w:rPr>
                      <w:rFonts w:hint="default" w:ascii="Times New Roman" w:hAnsi="Times New Roman" w:cs="Times New Roman"/>
                      <w:color w:val="auto"/>
                      <w:lang w:val="en-US" w:eastAsia="zh-CN"/>
                    </w:rPr>
                  </w:pPr>
                  <w:r>
                    <w:rPr>
                      <w:rFonts w:hint="default"/>
                      <w:color w:val="auto"/>
                      <w:lang w:val="en-US" w:eastAsia="zh-CN"/>
                    </w:rPr>
                    <w:t>10kV/m</w:t>
                  </w:r>
                </w:p>
              </w:tc>
              <w:tc>
                <w:tcPr>
                  <w:tcW w:w="1611" w:type="pct"/>
                  <w:tcBorders>
                    <w:tl2br w:val="nil"/>
                    <w:tr2bl w:val="nil"/>
                  </w:tcBorders>
                  <w:noWrap w:val="0"/>
                  <w:vAlign w:val="center"/>
                </w:tcPr>
                <w:p w14:paraId="2F402160">
                  <w:pPr>
                    <w:pStyle w:val="37"/>
                    <w:bidi w:val="0"/>
                    <w:rPr>
                      <w:rFonts w:hint="default"/>
                      <w:color w:val="auto"/>
                      <w:lang w:val="en-US" w:eastAsia="zh-CN"/>
                    </w:rPr>
                  </w:pPr>
                  <w:r>
                    <w:rPr>
                      <w:rFonts w:hint="default"/>
                      <w:color w:val="auto"/>
                      <w:lang w:val="en-US" w:eastAsia="zh-CN"/>
                    </w:rPr>
                    <w:t>架空输电线路线下的耕地、园地、牧草地、畜禽</w:t>
                  </w:r>
                </w:p>
                <w:p w14:paraId="2CC491D3">
                  <w:pPr>
                    <w:pStyle w:val="37"/>
                    <w:bidi w:val="0"/>
                    <w:rPr>
                      <w:rFonts w:hint="default"/>
                      <w:color w:val="auto"/>
                      <w:lang w:val="en-US" w:eastAsia="zh-CN"/>
                    </w:rPr>
                  </w:pPr>
                  <w:r>
                    <w:rPr>
                      <w:rFonts w:hint="default"/>
                      <w:color w:val="auto"/>
                      <w:lang w:val="en-US" w:eastAsia="zh-CN"/>
                    </w:rPr>
                    <w:t>饲养地、养殖水面、道路</w:t>
                  </w:r>
                </w:p>
                <w:p w14:paraId="67745EB0">
                  <w:pPr>
                    <w:pStyle w:val="37"/>
                    <w:bidi w:val="0"/>
                    <w:rPr>
                      <w:rFonts w:hint="default" w:ascii="Times New Roman" w:hAnsi="Times New Roman" w:cs="Times New Roman"/>
                      <w:color w:val="auto"/>
                      <w:lang w:val="en-US" w:eastAsia="zh-CN"/>
                    </w:rPr>
                  </w:pPr>
                  <w:r>
                    <w:rPr>
                      <w:rFonts w:hint="default"/>
                      <w:color w:val="auto"/>
                      <w:lang w:val="en-US" w:eastAsia="zh-CN"/>
                    </w:rPr>
                    <w:t>等场所</w:t>
                  </w:r>
                </w:p>
              </w:tc>
            </w:tr>
            <w:tr w14:paraId="7356B10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70" w:type="pct"/>
                  <w:vMerge w:val="continue"/>
                  <w:tcBorders>
                    <w:tl2br w:val="nil"/>
                    <w:tr2bl w:val="nil"/>
                  </w:tcBorders>
                  <w:noWrap w:val="0"/>
                  <w:vAlign w:val="center"/>
                </w:tcPr>
                <w:p w14:paraId="52DB719A">
                  <w:pPr>
                    <w:pStyle w:val="34"/>
                    <w:bidi w:val="0"/>
                    <w:rPr>
                      <w:rFonts w:hint="default" w:ascii="Times New Roman" w:hAnsi="Times New Roman" w:cs="Times New Roman"/>
                      <w:color w:val="auto"/>
                      <w:lang w:val="en-US" w:eastAsia="zh-CN"/>
                    </w:rPr>
                  </w:pPr>
                </w:p>
              </w:tc>
              <w:tc>
                <w:tcPr>
                  <w:tcW w:w="1130" w:type="pct"/>
                  <w:vMerge w:val="continue"/>
                  <w:tcBorders>
                    <w:tl2br w:val="nil"/>
                    <w:tr2bl w:val="nil"/>
                  </w:tcBorders>
                  <w:noWrap w:val="0"/>
                  <w:vAlign w:val="center"/>
                </w:tcPr>
                <w:p w14:paraId="40CA631F">
                  <w:pPr>
                    <w:pStyle w:val="34"/>
                    <w:bidi w:val="0"/>
                    <w:rPr>
                      <w:rFonts w:hint="default" w:ascii="Times New Roman" w:hAnsi="Times New Roman" w:cs="Times New Roman"/>
                      <w:color w:val="auto"/>
                      <w:lang w:val="en-US" w:eastAsia="zh-CN"/>
                    </w:rPr>
                  </w:pPr>
                </w:p>
              </w:tc>
              <w:tc>
                <w:tcPr>
                  <w:tcW w:w="464" w:type="pct"/>
                  <w:vMerge w:val="continue"/>
                  <w:tcBorders>
                    <w:tl2br w:val="nil"/>
                    <w:tr2bl w:val="nil"/>
                  </w:tcBorders>
                  <w:noWrap w:val="0"/>
                  <w:vAlign w:val="center"/>
                </w:tcPr>
                <w:p w14:paraId="56255048">
                  <w:pPr>
                    <w:pStyle w:val="34"/>
                    <w:bidi w:val="0"/>
                    <w:rPr>
                      <w:rFonts w:hint="default" w:ascii="Times New Roman" w:hAnsi="Times New Roman" w:cs="Times New Roman"/>
                      <w:color w:val="auto"/>
                      <w:lang w:val="en-US" w:eastAsia="zh-CN"/>
                    </w:rPr>
                  </w:pPr>
                </w:p>
              </w:tc>
              <w:tc>
                <w:tcPr>
                  <w:tcW w:w="693" w:type="pct"/>
                  <w:tcBorders>
                    <w:tl2br w:val="nil"/>
                    <w:tr2bl w:val="nil"/>
                  </w:tcBorders>
                  <w:noWrap w:val="0"/>
                  <w:vAlign w:val="center"/>
                </w:tcPr>
                <w:p w14:paraId="67E2E7E1">
                  <w:pPr>
                    <w:pStyle w:val="37"/>
                    <w:bidi w:val="0"/>
                    <w:rPr>
                      <w:rFonts w:hint="default" w:ascii="Times New Roman" w:hAnsi="Times New Roman" w:cs="Times New Roman"/>
                      <w:color w:val="auto"/>
                      <w:lang w:val="en-US" w:eastAsia="zh-CN"/>
                    </w:rPr>
                  </w:pPr>
                  <w:r>
                    <w:rPr>
                      <w:rFonts w:hint="default"/>
                      <w:color w:val="auto"/>
                      <w:lang w:val="en-US" w:eastAsia="zh-CN"/>
                    </w:rPr>
                    <w:t>工频磁场</w:t>
                  </w:r>
                </w:p>
              </w:tc>
              <w:tc>
                <w:tcPr>
                  <w:tcW w:w="629" w:type="pct"/>
                  <w:tcBorders>
                    <w:tl2br w:val="nil"/>
                    <w:tr2bl w:val="nil"/>
                  </w:tcBorders>
                  <w:noWrap w:val="0"/>
                  <w:vAlign w:val="center"/>
                </w:tcPr>
                <w:p w14:paraId="59807AFD">
                  <w:pPr>
                    <w:pStyle w:val="37"/>
                    <w:bidi w:val="0"/>
                    <w:rPr>
                      <w:rFonts w:hint="default" w:ascii="Times New Roman" w:hAnsi="Times New Roman" w:cs="Times New Roman"/>
                      <w:color w:val="auto"/>
                      <w:lang w:val="en-US" w:eastAsia="zh-CN"/>
                    </w:rPr>
                  </w:pPr>
                  <w:r>
                    <w:rPr>
                      <w:rFonts w:hint="default"/>
                      <w:color w:val="auto"/>
                      <w:lang w:val="en-US" w:eastAsia="zh-CN"/>
                    </w:rPr>
                    <w:t>100μT</w:t>
                  </w:r>
                </w:p>
              </w:tc>
              <w:tc>
                <w:tcPr>
                  <w:tcW w:w="1611" w:type="pct"/>
                  <w:tcBorders>
                    <w:tl2br w:val="nil"/>
                    <w:tr2bl w:val="nil"/>
                  </w:tcBorders>
                  <w:noWrap w:val="0"/>
                  <w:vAlign w:val="center"/>
                </w:tcPr>
                <w:p w14:paraId="67FF38D6">
                  <w:pPr>
                    <w:pStyle w:val="37"/>
                    <w:bidi w:val="0"/>
                    <w:rPr>
                      <w:rFonts w:hint="default" w:ascii="Times New Roman" w:hAnsi="Times New Roman" w:cs="Times New Roman"/>
                      <w:color w:val="auto"/>
                      <w:lang w:val="en-US" w:eastAsia="zh-CN"/>
                    </w:rPr>
                  </w:pPr>
                  <w:r>
                    <w:rPr>
                      <w:rFonts w:hint="default"/>
                      <w:color w:val="auto"/>
                      <w:lang w:val="en-US" w:eastAsia="zh-CN"/>
                    </w:rPr>
                    <w:t>评价范围内电磁环境保护目标的公众曝露限值</w:t>
                  </w:r>
                </w:p>
              </w:tc>
            </w:tr>
          </w:tbl>
          <w:p w14:paraId="6E352582">
            <w:pPr>
              <w:pStyle w:val="27"/>
              <w:pageBreakBefore w:val="0"/>
              <w:kinsoku/>
              <w:wordWrap/>
              <w:overflowPunct/>
              <w:bidi w:val="0"/>
              <w:rPr>
                <w:rFonts w:hint="default"/>
                <w:color w:val="auto"/>
                <w:highlight w:val="yellow"/>
                <w:lang w:val="en-US" w:eastAsia="zh-CN"/>
              </w:rPr>
            </w:pPr>
          </w:p>
          <w:p w14:paraId="0A6AB869">
            <w:pPr>
              <w:bidi w:val="0"/>
              <w:rPr>
                <w:b/>
                <w:bCs/>
                <w:color w:val="auto"/>
              </w:rPr>
            </w:pPr>
            <w:r>
              <w:rPr>
                <w:rFonts w:hint="eastAsia"/>
                <w:b/>
                <w:bCs/>
                <w:color w:val="auto"/>
                <w:lang w:val="en-US" w:eastAsia="zh-CN"/>
              </w:rPr>
              <w:t>1.2</w:t>
            </w:r>
            <w:r>
              <w:rPr>
                <w:rFonts w:hint="eastAsia"/>
                <w:b/>
                <w:bCs/>
                <w:color w:val="auto"/>
              </w:rPr>
              <w:t>污染物排放标准</w:t>
            </w:r>
          </w:p>
          <w:p w14:paraId="5A08FCB0">
            <w:pPr>
              <w:bidi w:val="0"/>
              <w:rPr>
                <w:color w:val="auto"/>
              </w:rPr>
            </w:pPr>
            <w:r>
              <w:rPr>
                <w:rFonts w:hint="eastAsia"/>
                <w:color w:val="auto"/>
              </w:rPr>
              <w:t>（1）大气污染物</w:t>
            </w:r>
          </w:p>
          <w:p w14:paraId="131FA15B">
            <w:pPr>
              <w:bidi w:val="0"/>
              <w:rPr>
                <w:color w:val="auto"/>
              </w:rPr>
            </w:pPr>
            <w:r>
              <w:rPr>
                <w:color w:val="auto"/>
              </w:rPr>
              <w:t>项目施工期扬尘排放执行《大气污染物综合排放标准》（GB16279-1996）无组织排放监控浓度限值，即周界外浓度最高点颗粒物≤1.0mg/m</w:t>
            </w:r>
            <w:r>
              <w:rPr>
                <w:color w:val="auto"/>
                <w:vertAlign w:val="superscript"/>
              </w:rPr>
              <w:t>3</w:t>
            </w:r>
            <w:r>
              <w:rPr>
                <w:color w:val="auto"/>
              </w:rPr>
              <w:t>。</w:t>
            </w:r>
          </w:p>
          <w:p w14:paraId="23D645F0">
            <w:pPr>
              <w:pStyle w:val="27"/>
              <w:pageBreakBefore w:val="0"/>
              <w:kinsoku/>
              <w:wordWrap/>
              <w:overflowPunct/>
              <w:bidi w:val="0"/>
              <w:rPr>
                <w:color w:val="auto"/>
              </w:rPr>
            </w:pPr>
            <w:r>
              <w:rPr>
                <w:color w:val="auto"/>
              </w:rPr>
              <w:t>表</w:t>
            </w:r>
            <w:r>
              <w:rPr>
                <w:rFonts w:hint="eastAsia"/>
                <w:color w:val="auto"/>
              </w:rPr>
              <w:t>3-</w:t>
            </w:r>
            <w:r>
              <w:rPr>
                <w:rFonts w:hint="eastAsia"/>
                <w:color w:val="auto"/>
                <w:lang w:val="en-US" w:eastAsia="zh-CN"/>
              </w:rPr>
              <w:t xml:space="preserve">12  </w:t>
            </w:r>
            <w:r>
              <w:rPr>
                <w:color w:val="auto"/>
              </w:rPr>
              <w:t>废气</w:t>
            </w:r>
            <w:r>
              <w:rPr>
                <w:rFonts w:hint="eastAsia"/>
                <w:color w:val="auto"/>
              </w:rPr>
              <w:t>污染物</w:t>
            </w:r>
            <w:r>
              <w:rPr>
                <w:color w:val="auto"/>
              </w:rPr>
              <w:t>排放标准限值</w:t>
            </w:r>
          </w:p>
          <w:tbl>
            <w:tblPr>
              <w:tblStyle w:val="20"/>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088"/>
              <w:gridCol w:w="2835"/>
              <w:gridCol w:w="2835"/>
            </w:tblGrid>
            <w:tr w14:paraId="386A70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2088" w:type="dxa"/>
                  <w:tcBorders>
                    <w:tl2br w:val="nil"/>
                    <w:tr2bl w:val="nil"/>
                  </w:tcBorders>
                  <w:noWrap w:val="0"/>
                  <w:vAlign w:val="center"/>
                </w:tcPr>
                <w:p w14:paraId="5C42C07D">
                  <w:pPr>
                    <w:pStyle w:val="37"/>
                    <w:bidi w:val="0"/>
                    <w:rPr>
                      <w:color w:val="auto"/>
                    </w:rPr>
                  </w:pPr>
                  <w:r>
                    <w:rPr>
                      <w:color w:val="auto"/>
                    </w:rPr>
                    <w:t>污染物</w:t>
                  </w:r>
                </w:p>
              </w:tc>
              <w:tc>
                <w:tcPr>
                  <w:tcW w:w="2835" w:type="dxa"/>
                  <w:tcBorders>
                    <w:tl2br w:val="nil"/>
                    <w:tr2bl w:val="nil"/>
                  </w:tcBorders>
                  <w:noWrap w:val="0"/>
                  <w:vAlign w:val="center"/>
                </w:tcPr>
                <w:p w14:paraId="40B57811">
                  <w:pPr>
                    <w:pStyle w:val="37"/>
                    <w:bidi w:val="0"/>
                    <w:rPr>
                      <w:color w:val="auto"/>
                    </w:rPr>
                  </w:pPr>
                  <w:r>
                    <w:rPr>
                      <w:color w:val="auto"/>
                    </w:rPr>
                    <w:t>标准限值</w:t>
                  </w:r>
                  <w:r>
                    <w:rPr>
                      <w:rFonts w:hint="eastAsia"/>
                      <w:color w:val="auto"/>
                      <w:lang w:eastAsia="zh-CN"/>
                    </w:rPr>
                    <w:t>（</w:t>
                  </w:r>
                  <w:r>
                    <w:rPr>
                      <w:color w:val="auto"/>
                    </w:rPr>
                    <w:t>mg/m3</w:t>
                  </w:r>
                  <w:r>
                    <w:rPr>
                      <w:rFonts w:hint="eastAsia"/>
                      <w:color w:val="auto"/>
                      <w:lang w:eastAsia="zh-CN"/>
                    </w:rPr>
                    <w:t>）</w:t>
                  </w:r>
                </w:p>
              </w:tc>
              <w:tc>
                <w:tcPr>
                  <w:tcW w:w="2835" w:type="dxa"/>
                  <w:tcBorders>
                    <w:tl2br w:val="nil"/>
                    <w:tr2bl w:val="nil"/>
                  </w:tcBorders>
                  <w:noWrap w:val="0"/>
                  <w:vAlign w:val="center"/>
                </w:tcPr>
                <w:p w14:paraId="34E5E66D">
                  <w:pPr>
                    <w:pStyle w:val="37"/>
                    <w:bidi w:val="0"/>
                    <w:rPr>
                      <w:color w:val="auto"/>
                    </w:rPr>
                  </w:pPr>
                  <w:r>
                    <w:rPr>
                      <w:color w:val="auto"/>
                    </w:rPr>
                    <w:t>标准来源</w:t>
                  </w:r>
                </w:p>
              </w:tc>
            </w:tr>
            <w:tr w14:paraId="3CC463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2088" w:type="dxa"/>
                  <w:tcBorders>
                    <w:tl2br w:val="nil"/>
                    <w:tr2bl w:val="nil"/>
                  </w:tcBorders>
                  <w:noWrap w:val="0"/>
                  <w:vAlign w:val="center"/>
                </w:tcPr>
                <w:p w14:paraId="3E1A0457">
                  <w:pPr>
                    <w:pStyle w:val="37"/>
                    <w:bidi w:val="0"/>
                    <w:rPr>
                      <w:color w:val="auto"/>
                    </w:rPr>
                  </w:pPr>
                  <w:r>
                    <w:rPr>
                      <w:color w:val="auto"/>
                    </w:rPr>
                    <w:t>TSP</w:t>
                  </w:r>
                </w:p>
              </w:tc>
              <w:tc>
                <w:tcPr>
                  <w:tcW w:w="2835" w:type="dxa"/>
                  <w:tcBorders>
                    <w:tl2br w:val="nil"/>
                    <w:tr2bl w:val="nil"/>
                  </w:tcBorders>
                  <w:noWrap w:val="0"/>
                  <w:vAlign w:val="center"/>
                </w:tcPr>
                <w:p w14:paraId="4810178B">
                  <w:pPr>
                    <w:pStyle w:val="37"/>
                    <w:bidi w:val="0"/>
                    <w:rPr>
                      <w:color w:val="auto"/>
                    </w:rPr>
                  </w:pPr>
                  <w:r>
                    <w:rPr>
                      <w:color w:val="auto"/>
                    </w:rPr>
                    <w:t>1.0</w:t>
                  </w:r>
                </w:p>
              </w:tc>
              <w:tc>
                <w:tcPr>
                  <w:tcW w:w="2835" w:type="dxa"/>
                  <w:tcBorders>
                    <w:tl2br w:val="nil"/>
                    <w:tr2bl w:val="nil"/>
                  </w:tcBorders>
                  <w:noWrap w:val="0"/>
                  <w:vAlign w:val="center"/>
                </w:tcPr>
                <w:p w14:paraId="03C9159D">
                  <w:pPr>
                    <w:pStyle w:val="37"/>
                    <w:bidi w:val="0"/>
                    <w:rPr>
                      <w:color w:val="auto"/>
                    </w:rPr>
                  </w:pPr>
                  <w:r>
                    <w:rPr>
                      <w:color w:val="auto"/>
                    </w:rPr>
                    <w:t>《大气污染物综合排放标准》（GB16297-1996）</w:t>
                  </w:r>
                </w:p>
              </w:tc>
            </w:tr>
          </w:tbl>
          <w:p w14:paraId="416697C0">
            <w:pPr>
              <w:bidi w:val="0"/>
              <w:rPr>
                <w:color w:val="auto"/>
              </w:rPr>
            </w:pPr>
            <w:r>
              <w:rPr>
                <w:color w:val="auto"/>
              </w:rPr>
              <w:t>（2）废水</w:t>
            </w:r>
          </w:p>
          <w:p w14:paraId="6F41AA84">
            <w:pPr>
              <w:bidi w:val="0"/>
              <w:rPr>
                <w:color w:val="auto"/>
              </w:rPr>
            </w:pPr>
            <w:r>
              <w:rPr>
                <w:color w:val="auto"/>
              </w:rPr>
              <w:t>施工期</w:t>
            </w:r>
            <w:r>
              <w:rPr>
                <w:rFonts w:hint="eastAsia"/>
                <w:color w:val="auto"/>
                <w:lang w:val="en-US" w:eastAsia="zh-CN"/>
              </w:rPr>
              <w:t>在风机施工区域</w:t>
            </w:r>
            <w:r>
              <w:rPr>
                <w:color w:val="auto"/>
              </w:rPr>
              <w:t>设置</w:t>
            </w:r>
            <w:r>
              <w:rPr>
                <w:rFonts w:hint="eastAsia"/>
                <w:color w:val="auto"/>
                <w:lang w:val="en-US" w:eastAsia="zh-CN"/>
              </w:rPr>
              <w:t>1座旱厕</w:t>
            </w:r>
            <w:r>
              <w:rPr>
                <w:color w:val="auto"/>
              </w:rPr>
              <w:t>，</w:t>
            </w:r>
            <w:r>
              <w:rPr>
                <w:rFonts w:hint="eastAsia"/>
                <w:color w:val="auto"/>
                <w:lang w:eastAsia="zh-CN"/>
              </w:rPr>
              <w:t>产生粪便</w:t>
            </w:r>
            <w:r>
              <w:rPr>
                <w:color w:val="auto"/>
              </w:rPr>
              <w:t>排入</w:t>
            </w:r>
            <w:r>
              <w:rPr>
                <w:rFonts w:hint="eastAsia"/>
                <w:color w:val="auto"/>
                <w:lang w:val="en-US" w:eastAsia="zh-CN"/>
              </w:rPr>
              <w:t>旱厕</w:t>
            </w:r>
            <w:r>
              <w:rPr>
                <w:color w:val="auto"/>
              </w:rPr>
              <w:t>后</w:t>
            </w:r>
            <w:r>
              <w:rPr>
                <w:rFonts w:hint="eastAsia"/>
                <w:color w:val="auto"/>
                <w:lang w:val="en-US" w:eastAsia="zh-CN"/>
              </w:rPr>
              <w:t>进入化粪池</w:t>
            </w:r>
            <w:r>
              <w:rPr>
                <w:color w:val="auto"/>
              </w:rPr>
              <w:t>，</w:t>
            </w:r>
            <w:r>
              <w:rPr>
                <w:rFonts w:hint="eastAsia"/>
                <w:color w:val="auto"/>
                <w:lang w:val="en-US" w:eastAsia="zh-CN"/>
              </w:rPr>
              <w:t>最终回用农田</w:t>
            </w:r>
            <w:r>
              <w:rPr>
                <w:color w:val="auto"/>
              </w:rPr>
              <w:t>。施工生产废水经沉淀池处理后，回用于洒水降尘及生产用水，废水</w:t>
            </w:r>
            <w:r>
              <w:rPr>
                <w:rFonts w:hint="eastAsia"/>
                <w:color w:val="auto"/>
              </w:rPr>
              <w:t>不</w:t>
            </w:r>
            <w:r>
              <w:rPr>
                <w:color w:val="auto"/>
              </w:rPr>
              <w:t>外排。</w:t>
            </w:r>
          </w:p>
          <w:p w14:paraId="319E8468">
            <w:pPr>
              <w:pStyle w:val="6"/>
              <w:bidi w:val="0"/>
              <w:rPr>
                <w:rFonts w:hint="eastAsia"/>
                <w:color w:val="auto"/>
                <w:lang w:eastAsia="zh-CN"/>
              </w:rPr>
            </w:pPr>
            <w:r>
              <w:rPr>
                <w:rFonts w:hint="eastAsia"/>
                <w:color w:val="auto"/>
                <w:lang w:eastAsia="zh-CN"/>
              </w:rPr>
              <w:t>（</w:t>
            </w:r>
            <w:r>
              <w:rPr>
                <w:rFonts w:hint="eastAsia"/>
                <w:color w:val="auto"/>
                <w:lang w:val="en-US" w:eastAsia="zh-CN"/>
              </w:rPr>
              <w:t>3</w:t>
            </w:r>
            <w:r>
              <w:rPr>
                <w:rFonts w:hint="eastAsia"/>
                <w:color w:val="auto"/>
                <w:lang w:eastAsia="zh-CN"/>
              </w:rPr>
              <w:t>）噪声</w:t>
            </w:r>
          </w:p>
          <w:p w14:paraId="18741808">
            <w:pPr>
              <w:pStyle w:val="6"/>
              <w:bidi w:val="0"/>
              <w:rPr>
                <w:rFonts w:hint="default" w:ascii="Times New Roman" w:hAnsi="Times New Roman" w:cs="Times New Roman"/>
                <w:b/>
                <w:color w:val="auto"/>
                <w:szCs w:val="21"/>
                <w:highlight w:val="none"/>
              </w:rPr>
            </w:pPr>
            <w:r>
              <w:rPr>
                <w:rFonts w:hint="default"/>
                <w:color w:val="auto"/>
              </w:rPr>
              <w:t>施工期噪声执行《建筑施工噪声排放标准》（GB12523-20</w:t>
            </w:r>
            <w:r>
              <w:rPr>
                <w:rFonts w:hint="eastAsia"/>
                <w:color w:val="auto"/>
                <w:lang w:val="en-US" w:eastAsia="zh-CN"/>
              </w:rPr>
              <w:t>25</w:t>
            </w:r>
            <w:r>
              <w:rPr>
                <w:rFonts w:hint="default"/>
                <w:color w:val="auto"/>
              </w:rPr>
              <w:t>）</w:t>
            </w:r>
            <w:r>
              <w:rPr>
                <w:rFonts w:hint="default"/>
                <w:color w:val="auto"/>
                <w:lang w:eastAsia="zh-CN"/>
              </w:rPr>
              <w:t>。</w:t>
            </w:r>
            <w:r>
              <w:rPr>
                <w:rFonts w:hint="default"/>
                <w:color w:val="auto"/>
              </w:rPr>
              <w:t>运营期噪声执行《工业企业厂界环境噪声排放标准》（GB12348-2008）</w:t>
            </w:r>
            <w:r>
              <w:rPr>
                <w:rFonts w:hint="eastAsia"/>
                <w:color w:val="auto"/>
                <w:lang w:val="en-US" w:eastAsia="zh-CN"/>
              </w:rPr>
              <w:t>1</w:t>
            </w:r>
            <w:r>
              <w:rPr>
                <w:rFonts w:hint="default"/>
                <w:color w:val="auto"/>
              </w:rPr>
              <w:t>类标准。本项目噪声排放执行标准详见下表。</w:t>
            </w:r>
          </w:p>
          <w:p w14:paraId="49765CB0">
            <w:pPr>
              <w:pStyle w:val="42"/>
              <w:widowControl w:val="0"/>
              <w:bidi w:val="0"/>
              <w:rPr>
                <w:rFonts w:hint="default"/>
                <w:color w:val="auto"/>
              </w:rPr>
            </w:pPr>
            <w:r>
              <w:rPr>
                <w:rFonts w:hint="default"/>
                <w:color w:val="auto"/>
              </w:rPr>
              <w:t>表3-</w:t>
            </w:r>
            <w:r>
              <w:rPr>
                <w:rFonts w:hint="eastAsia"/>
                <w:color w:val="auto"/>
                <w:lang w:val="en-US" w:eastAsia="zh-CN"/>
              </w:rPr>
              <w:t xml:space="preserve">13  </w:t>
            </w:r>
            <w:r>
              <w:rPr>
                <w:rFonts w:hint="default"/>
                <w:color w:val="auto"/>
              </w:rPr>
              <w:t>建筑施工噪声排放限值</w:t>
            </w:r>
            <w:r>
              <w:rPr>
                <w:rFonts w:hint="eastAsia"/>
                <w:color w:val="auto"/>
                <w:lang w:val="en-US" w:eastAsia="zh-CN"/>
              </w:rPr>
              <w:t xml:space="preserve">  </w:t>
            </w:r>
            <w:r>
              <w:rPr>
                <w:rFonts w:hint="default"/>
                <w:color w:val="auto"/>
              </w:rPr>
              <w:t>单位：dB(A)</w:t>
            </w:r>
          </w:p>
          <w:tbl>
            <w:tblPr>
              <w:tblStyle w:val="20"/>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057"/>
              <w:gridCol w:w="3806"/>
            </w:tblGrid>
            <w:tr w14:paraId="1F83C7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8" w:hRule="atLeast"/>
                <w:jc w:val="center"/>
              </w:trPr>
              <w:tc>
                <w:tcPr>
                  <w:tcW w:w="4878" w:type="dxa"/>
                  <w:tcBorders>
                    <w:tl2br w:val="nil"/>
                    <w:tr2bl w:val="nil"/>
                  </w:tcBorders>
                  <w:noWrap w:val="0"/>
                  <w:vAlign w:val="center"/>
                </w:tcPr>
                <w:p w14:paraId="5E6E6E9C">
                  <w:pPr>
                    <w:pStyle w:val="37"/>
                    <w:bidi w:val="0"/>
                    <w:rPr>
                      <w:rFonts w:hint="default"/>
                      <w:color w:val="auto"/>
                    </w:rPr>
                  </w:pPr>
                  <w:r>
                    <w:rPr>
                      <w:rFonts w:hint="default"/>
                      <w:color w:val="auto"/>
                    </w:rPr>
                    <w:t>昼间</w:t>
                  </w:r>
                </w:p>
              </w:tc>
              <w:tc>
                <w:tcPr>
                  <w:tcW w:w="4570" w:type="dxa"/>
                  <w:tcBorders>
                    <w:tl2br w:val="nil"/>
                    <w:tr2bl w:val="nil"/>
                  </w:tcBorders>
                  <w:noWrap w:val="0"/>
                  <w:vAlign w:val="center"/>
                </w:tcPr>
                <w:p w14:paraId="338D67AB">
                  <w:pPr>
                    <w:pStyle w:val="37"/>
                    <w:bidi w:val="0"/>
                    <w:rPr>
                      <w:rFonts w:hint="default"/>
                      <w:color w:val="auto"/>
                    </w:rPr>
                  </w:pPr>
                  <w:r>
                    <w:rPr>
                      <w:rFonts w:hint="default"/>
                      <w:color w:val="auto"/>
                    </w:rPr>
                    <w:t>夜间</w:t>
                  </w:r>
                </w:p>
              </w:tc>
            </w:tr>
            <w:tr w14:paraId="056CD3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4878" w:type="dxa"/>
                  <w:tcBorders>
                    <w:tl2br w:val="nil"/>
                    <w:tr2bl w:val="nil"/>
                  </w:tcBorders>
                  <w:noWrap w:val="0"/>
                  <w:vAlign w:val="center"/>
                </w:tcPr>
                <w:p w14:paraId="28492A58">
                  <w:pPr>
                    <w:pStyle w:val="37"/>
                    <w:bidi w:val="0"/>
                    <w:rPr>
                      <w:rFonts w:hint="default"/>
                      <w:color w:val="auto"/>
                    </w:rPr>
                  </w:pPr>
                  <w:r>
                    <w:rPr>
                      <w:rFonts w:hint="default"/>
                      <w:color w:val="auto"/>
                    </w:rPr>
                    <w:t>70</w:t>
                  </w:r>
                </w:p>
              </w:tc>
              <w:tc>
                <w:tcPr>
                  <w:tcW w:w="4570" w:type="dxa"/>
                  <w:tcBorders>
                    <w:tl2br w:val="nil"/>
                    <w:tr2bl w:val="nil"/>
                  </w:tcBorders>
                  <w:noWrap w:val="0"/>
                  <w:vAlign w:val="center"/>
                </w:tcPr>
                <w:p w14:paraId="58B1AE34">
                  <w:pPr>
                    <w:pStyle w:val="37"/>
                    <w:bidi w:val="0"/>
                    <w:rPr>
                      <w:rFonts w:hint="default"/>
                      <w:color w:val="auto"/>
                    </w:rPr>
                  </w:pPr>
                  <w:r>
                    <w:rPr>
                      <w:rFonts w:hint="default"/>
                      <w:color w:val="auto"/>
                    </w:rPr>
                    <w:t>55</w:t>
                  </w:r>
                </w:p>
              </w:tc>
            </w:tr>
          </w:tbl>
          <w:p w14:paraId="57CD59B7">
            <w:pPr>
              <w:pStyle w:val="42"/>
              <w:widowControl w:val="0"/>
              <w:bidi w:val="0"/>
              <w:rPr>
                <w:rFonts w:hint="default"/>
                <w:color w:val="auto"/>
              </w:rPr>
            </w:pPr>
            <w:r>
              <w:rPr>
                <w:rFonts w:hint="default"/>
                <w:color w:val="auto"/>
              </w:rPr>
              <w:t>表3-</w:t>
            </w:r>
            <w:r>
              <w:rPr>
                <w:rFonts w:hint="eastAsia"/>
                <w:color w:val="auto"/>
                <w:lang w:val="en-US" w:eastAsia="zh-CN"/>
              </w:rPr>
              <w:t xml:space="preserve">14  </w:t>
            </w:r>
            <w:r>
              <w:rPr>
                <w:rFonts w:hint="default"/>
                <w:color w:val="auto"/>
              </w:rPr>
              <w:t>工业企业厂界环境噪声排放标准</w:t>
            </w:r>
            <w:r>
              <w:rPr>
                <w:rFonts w:hint="eastAsia"/>
                <w:color w:val="auto"/>
                <w:lang w:val="en-US" w:eastAsia="zh-CN"/>
              </w:rPr>
              <w:t xml:space="preserve">  </w:t>
            </w:r>
            <w:r>
              <w:rPr>
                <w:rFonts w:hint="default"/>
                <w:color w:val="auto"/>
              </w:rPr>
              <w:t>单位：dB(A)</w:t>
            </w:r>
          </w:p>
          <w:tbl>
            <w:tblPr>
              <w:tblStyle w:val="20"/>
              <w:tblW w:w="499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607"/>
              <w:gridCol w:w="2332"/>
              <w:gridCol w:w="2922"/>
            </w:tblGrid>
            <w:tr w14:paraId="3785B6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81" w:hRule="exact"/>
                <w:jc w:val="center"/>
              </w:trPr>
              <w:tc>
                <w:tcPr>
                  <w:tcW w:w="1658" w:type="pct"/>
                  <w:tcBorders>
                    <w:tl2br w:val="nil"/>
                    <w:tr2bl w:val="nil"/>
                  </w:tcBorders>
                  <w:noWrap w:val="0"/>
                  <w:vAlign w:val="center"/>
                </w:tcPr>
                <w:p w14:paraId="4A0833BF">
                  <w:pPr>
                    <w:pStyle w:val="37"/>
                    <w:bidi w:val="0"/>
                    <w:rPr>
                      <w:rFonts w:hint="default"/>
                      <w:color w:val="auto"/>
                    </w:rPr>
                  </w:pPr>
                  <w:r>
                    <w:rPr>
                      <w:rFonts w:hint="default"/>
                      <w:color w:val="auto"/>
                    </w:rPr>
                    <w:t>类别</w:t>
                  </w:r>
                </w:p>
              </w:tc>
              <w:tc>
                <w:tcPr>
                  <w:tcW w:w="1483" w:type="pct"/>
                  <w:tcBorders>
                    <w:tl2br w:val="nil"/>
                    <w:tr2bl w:val="nil"/>
                  </w:tcBorders>
                  <w:noWrap w:val="0"/>
                  <w:vAlign w:val="center"/>
                </w:tcPr>
                <w:p w14:paraId="0084ADC7">
                  <w:pPr>
                    <w:pStyle w:val="37"/>
                    <w:bidi w:val="0"/>
                    <w:rPr>
                      <w:rFonts w:hint="default"/>
                      <w:color w:val="auto"/>
                    </w:rPr>
                  </w:pPr>
                  <w:r>
                    <w:rPr>
                      <w:rFonts w:hint="default"/>
                      <w:color w:val="auto"/>
                    </w:rPr>
                    <w:t>昼间</w:t>
                  </w:r>
                </w:p>
              </w:tc>
              <w:tc>
                <w:tcPr>
                  <w:tcW w:w="1858" w:type="pct"/>
                  <w:tcBorders>
                    <w:tl2br w:val="nil"/>
                    <w:tr2bl w:val="nil"/>
                  </w:tcBorders>
                  <w:noWrap w:val="0"/>
                  <w:vAlign w:val="center"/>
                </w:tcPr>
                <w:p w14:paraId="60FACBF3">
                  <w:pPr>
                    <w:pStyle w:val="37"/>
                    <w:bidi w:val="0"/>
                    <w:rPr>
                      <w:rFonts w:hint="default"/>
                      <w:color w:val="auto"/>
                    </w:rPr>
                  </w:pPr>
                  <w:r>
                    <w:rPr>
                      <w:rFonts w:hint="default"/>
                      <w:color w:val="auto"/>
                    </w:rPr>
                    <w:t>夜间</w:t>
                  </w:r>
                </w:p>
              </w:tc>
            </w:tr>
            <w:tr w14:paraId="6F4215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89" w:hRule="exact"/>
                <w:jc w:val="center"/>
              </w:trPr>
              <w:tc>
                <w:tcPr>
                  <w:tcW w:w="1658" w:type="pct"/>
                  <w:tcBorders>
                    <w:tl2br w:val="nil"/>
                    <w:tr2bl w:val="nil"/>
                  </w:tcBorders>
                  <w:noWrap w:val="0"/>
                  <w:vAlign w:val="center"/>
                </w:tcPr>
                <w:p w14:paraId="3F78203B">
                  <w:pPr>
                    <w:pStyle w:val="37"/>
                    <w:bidi w:val="0"/>
                    <w:rPr>
                      <w:rFonts w:hint="default"/>
                      <w:color w:val="auto"/>
                    </w:rPr>
                  </w:pPr>
                  <w:r>
                    <w:rPr>
                      <w:rFonts w:hint="eastAsia"/>
                      <w:color w:val="auto"/>
                      <w:lang w:val="en-US" w:eastAsia="zh-CN"/>
                    </w:rPr>
                    <w:t>2</w:t>
                  </w:r>
                  <w:r>
                    <w:rPr>
                      <w:rFonts w:hint="default"/>
                      <w:color w:val="auto"/>
                    </w:rPr>
                    <w:t>类</w:t>
                  </w:r>
                </w:p>
              </w:tc>
              <w:tc>
                <w:tcPr>
                  <w:tcW w:w="1483" w:type="pct"/>
                  <w:tcBorders>
                    <w:tl2br w:val="nil"/>
                    <w:tr2bl w:val="nil"/>
                  </w:tcBorders>
                  <w:noWrap w:val="0"/>
                  <w:vAlign w:val="center"/>
                </w:tcPr>
                <w:p w14:paraId="13B11977">
                  <w:pPr>
                    <w:pStyle w:val="37"/>
                    <w:bidi w:val="0"/>
                    <w:rPr>
                      <w:rFonts w:hint="default"/>
                      <w:color w:val="auto"/>
                      <w:lang w:val="en-US" w:eastAsia="zh-CN"/>
                    </w:rPr>
                  </w:pPr>
                  <w:r>
                    <w:rPr>
                      <w:rFonts w:hint="eastAsia"/>
                      <w:color w:val="auto"/>
                      <w:lang w:val="en-US" w:eastAsia="zh-CN"/>
                    </w:rPr>
                    <w:t>55</w:t>
                  </w:r>
                </w:p>
              </w:tc>
              <w:tc>
                <w:tcPr>
                  <w:tcW w:w="1858" w:type="pct"/>
                  <w:tcBorders>
                    <w:tl2br w:val="nil"/>
                    <w:tr2bl w:val="nil"/>
                  </w:tcBorders>
                  <w:noWrap w:val="0"/>
                  <w:vAlign w:val="center"/>
                </w:tcPr>
                <w:p w14:paraId="2600D7B1">
                  <w:pPr>
                    <w:pStyle w:val="37"/>
                    <w:bidi w:val="0"/>
                    <w:rPr>
                      <w:rFonts w:hint="default"/>
                      <w:color w:val="auto"/>
                      <w:lang w:val="en-US" w:eastAsia="zh-CN"/>
                    </w:rPr>
                  </w:pPr>
                  <w:r>
                    <w:rPr>
                      <w:rFonts w:hint="eastAsia"/>
                      <w:color w:val="auto"/>
                      <w:lang w:val="en-US" w:eastAsia="zh-CN"/>
                    </w:rPr>
                    <w:t>45</w:t>
                  </w:r>
                </w:p>
              </w:tc>
            </w:tr>
          </w:tbl>
          <w:p w14:paraId="63910F9B">
            <w:pPr>
              <w:bidi w:val="0"/>
              <w:rPr>
                <w:color w:val="auto"/>
              </w:rPr>
            </w:pPr>
            <w:r>
              <w:rPr>
                <w:rFonts w:hint="eastAsia"/>
                <w:color w:val="auto"/>
              </w:rPr>
              <w:t>（4）</w:t>
            </w:r>
            <w:r>
              <w:rPr>
                <w:color w:val="auto"/>
              </w:rPr>
              <w:t>固体废物</w:t>
            </w:r>
          </w:p>
          <w:p w14:paraId="6E30B08B">
            <w:pPr>
              <w:bidi w:val="0"/>
              <w:rPr>
                <w:color w:val="auto"/>
              </w:rPr>
            </w:pPr>
            <w:r>
              <w:rPr>
                <w:rFonts w:hint="eastAsia"/>
                <w:color w:val="auto"/>
              </w:rPr>
              <w:t>本项目产生的一般固废执行《一般工业固体废物贮存和填埋污染控制标准》（</w:t>
            </w:r>
            <w:r>
              <w:rPr>
                <w:color w:val="auto"/>
              </w:rPr>
              <w:t>GB18599-2020</w:t>
            </w:r>
            <w:r>
              <w:rPr>
                <w:rFonts w:hint="eastAsia"/>
                <w:color w:val="auto"/>
              </w:rPr>
              <w:t>）。</w:t>
            </w:r>
          </w:p>
          <w:p w14:paraId="0D03A880">
            <w:pPr>
              <w:bidi w:val="0"/>
              <w:rPr>
                <w:rFonts w:hint="default"/>
                <w:color w:val="auto"/>
                <w:lang w:val="en-US" w:eastAsia="zh-CN"/>
              </w:rPr>
            </w:pPr>
            <w:r>
              <w:rPr>
                <w:rFonts w:hint="eastAsia"/>
                <w:color w:val="auto"/>
              </w:rPr>
              <w:t>本项目产生的危险废物执行《危险废物贮存污染控制标准》（</w:t>
            </w:r>
            <w:r>
              <w:rPr>
                <w:color w:val="auto"/>
              </w:rPr>
              <w:t>GB18597-20</w:t>
            </w:r>
            <w:r>
              <w:rPr>
                <w:rFonts w:hint="eastAsia"/>
                <w:color w:val="auto"/>
                <w:lang w:val="en-US" w:eastAsia="zh-CN"/>
              </w:rPr>
              <w:t>23</w:t>
            </w:r>
            <w:r>
              <w:rPr>
                <w:rFonts w:hint="eastAsia"/>
                <w:color w:val="auto"/>
              </w:rPr>
              <w:t>）要求。</w:t>
            </w:r>
          </w:p>
        </w:tc>
      </w:tr>
      <w:tr w14:paraId="4FC5FE3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48" w:type="dxa"/>
            <w:noWrap w:val="0"/>
            <w:vAlign w:val="center"/>
          </w:tcPr>
          <w:p w14:paraId="6F79D370">
            <w:pPr>
              <w:pStyle w:val="18"/>
              <w:bidi w:val="0"/>
              <w:rPr>
                <w:color w:val="auto"/>
              </w:rPr>
            </w:pPr>
            <w:r>
              <w:rPr>
                <w:rFonts w:hint="eastAsia"/>
                <w:color w:val="auto"/>
              </w:rPr>
              <w:t>其他</w:t>
            </w:r>
          </w:p>
        </w:tc>
        <w:tc>
          <w:tcPr>
            <w:tcW w:w="7780" w:type="dxa"/>
            <w:noWrap w:val="0"/>
            <w:vAlign w:val="center"/>
          </w:tcPr>
          <w:p w14:paraId="2884DF26">
            <w:pPr>
              <w:pageBreakBefore w:val="0"/>
              <w:kinsoku/>
              <w:wordWrap/>
              <w:overflowPunct/>
              <w:bidi w:val="0"/>
              <w:adjustRightInd w:val="0"/>
              <w:snapToGrid w:val="0"/>
              <w:ind w:left="0" w:leftChars="0" w:firstLine="0" w:firstLineChars="0"/>
              <w:jc w:val="center"/>
              <w:rPr>
                <w:rFonts w:ascii="Times New Roman" w:hAnsi="Times New Roman" w:eastAsia="宋体" w:cs="宋体"/>
                <w:color w:val="auto"/>
                <w:kern w:val="0"/>
                <w:szCs w:val="21"/>
              </w:rPr>
            </w:pPr>
            <w:r>
              <w:rPr>
                <w:rFonts w:hint="eastAsia" w:ascii="Times New Roman" w:hAnsi="Times New Roman" w:eastAsia="宋体" w:cs="宋体"/>
                <w:color w:val="auto"/>
                <w:kern w:val="0"/>
                <w:sz w:val="24"/>
              </w:rPr>
              <w:t>本项目无总量控制指标</w:t>
            </w:r>
          </w:p>
        </w:tc>
      </w:tr>
    </w:tbl>
    <w:p w14:paraId="4C4FB2EB">
      <w:pPr>
        <w:pStyle w:val="18"/>
        <w:pageBreakBefore w:val="0"/>
        <w:kinsoku/>
        <w:wordWrap/>
        <w:overflowPunct/>
        <w:bidi w:val="0"/>
        <w:adjustRightInd w:val="0"/>
        <w:snapToGrid w:val="0"/>
        <w:spacing w:before="0" w:beforeAutospacing="0" w:after="0" w:afterAutospacing="0" w:line="14" w:lineRule="auto"/>
        <w:jc w:val="center"/>
        <w:rPr>
          <w:rFonts w:ascii="Times New Roman" w:hAnsi="Times New Roman" w:eastAsia="宋体"/>
          <w:snapToGrid w:val="0"/>
          <w:color w:val="auto"/>
          <w:kern w:val="2"/>
          <w:sz w:val="36"/>
          <w:szCs w:val="36"/>
        </w:rPr>
      </w:pPr>
    </w:p>
    <w:p w14:paraId="74620F86">
      <w:pPr>
        <w:bidi w:val="0"/>
        <w:rPr>
          <w:color w:val="auto"/>
        </w:rPr>
      </w:pPr>
      <w:r>
        <w:rPr>
          <w:color w:val="auto"/>
        </w:rPr>
        <w:br w:type="page"/>
      </w:r>
      <w:bookmarkStart w:id="29" w:name="_Toc80363581"/>
      <w:bookmarkStart w:id="30" w:name="_Toc80363684"/>
      <w:bookmarkStart w:id="31" w:name="_Toc87972514"/>
      <w:bookmarkStart w:id="32" w:name="_Toc87457561"/>
      <w:bookmarkStart w:id="33" w:name="_Toc80288929"/>
      <w:bookmarkStart w:id="34" w:name="_Toc20920"/>
    </w:p>
    <w:p w14:paraId="4813F9E4">
      <w:pPr>
        <w:pStyle w:val="18"/>
        <w:pageBreakBefore w:val="0"/>
        <w:kinsoku/>
        <w:wordWrap/>
        <w:overflowPunct/>
        <w:bidi w:val="0"/>
        <w:jc w:val="center"/>
        <w:outlineLvl w:val="0"/>
        <w:rPr>
          <w:rFonts w:ascii="Times New Roman" w:hAnsi="Times New Roman" w:eastAsia="宋体"/>
          <w:b/>
          <w:bCs/>
          <w:snapToGrid w:val="0"/>
          <w:color w:val="auto"/>
          <w:sz w:val="30"/>
          <w:szCs w:val="30"/>
        </w:rPr>
      </w:pPr>
      <w:r>
        <w:rPr>
          <w:rFonts w:hint="eastAsia" w:ascii="Times New Roman" w:hAnsi="Times New Roman" w:eastAsia="宋体"/>
          <w:b/>
          <w:bCs/>
          <w:snapToGrid w:val="0"/>
          <w:color w:val="auto"/>
          <w:sz w:val="30"/>
          <w:szCs w:val="30"/>
        </w:rPr>
        <w:t>四、生态环境影响分析</w:t>
      </w:r>
      <w:bookmarkEnd w:id="29"/>
      <w:bookmarkEnd w:id="30"/>
      <w:bookmarkEnd w:id="31"/>
      <w:bookmarkEnd w:id="32"/>
      <w:bookmarkEnd w:id="33"/>
      <w:bookmarkEnd w:id="34"/>
    </w:p>
    <w:tbl>
      <w:tblPr>
        <w:tblStyle w:val="20"/>
        <w:tblW w:w="899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601"/>
        <w:gridCol w:w="8389"/>
      </w:tblGrid>
      <w:tr w14:paraId="4413CA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601" w:type="dxa"/>
            <w:noWrap w:val="0"/>
            <w:tcMar>
              <w:left w:w="28" w:type="dxa"/>
              <w:right w:w="28" w:type="dxa"/>
            </w:tcMar>
            <w:vAlign w:val="center"/>
          </w:tcPr>
          <w:p w14:paraId="71A5A7B2">
            <w:pPr>
              <w:pStyle w:val="18"/>
              <w:keepNext w:val="0"/>
              <w:keepLines w:val="0"/>
              <w:pageBreakBefore w:val="0"/>
              <w:kinsoku/>
              <w:wordWrap/>
              <w:overflowPunct/>
              <w:topLinePunct w:val="0"/>
              <w:bidi w:val="0"/>
              <w:adjustRightInd w:val="0"/>
              <w:snapToGrid w:val="0"/>
              <w:spacing w:before="0" w:beforeAutospacing="0" w:after="0" w:afterAutospacing="0"/>
              <w:jc w:val="center"/>
              <w:rPr>
                <w:rFonts w:ascii="Times New Roman" w:hAnsi="Times New Roman" w:eastAsia="宋体" w:cs="宋体"/>
                <w:bCs/>
                <w:color w:val="auto"/>
                <w:kern w:val="2"/>
                <w:szCs w:val="24"/>
                <w:lang w:val="en-US" w:eastAsia="zh-CN"/>
              </w:rPr>
            </w:pPr>
            <w:bookmarkStart w:id="35" w:name="_Hlk49796138"/>
            <w:r>
              <w:rPr>
                <w:rFonts w:hint="eastAsia" w:ascii="Times New Roman" w:hAnsi="Times New Roman" w:eastAsia="宋体" w:cs="宋体"/>
                <w:bCs/>
                <w:color w:val="auto"/>
                <w:spacing w:val="10"/>
                <w:kern w:val="2"/>
                <w:szCs w:val="24"/>
                <w:lang w:val="en-US" w:eastAsia="zh-CN"/>
              </w:rPr>
              <w:t>施工期生态环境影响分析</w:t>
            </w:r>
            <w:bookmarkEnd w:id="35"/>
          </w:p>
        </w:tc>
        <w:tc>
          <w:tcPr>
            <w:tcW w:w="8389" w:type="dxa"/>
            <w:noWrap w:val="0"/>
            <w:vAlign w:val="top"/>
          </w:tcPr>
          <w:p w14:paraId="0BFA962C">
            <w:pPr>
              <w:bidi w:val="0"/>
              <w:ind w:left="0" w:leftChars="0" w:firstLine="0" w:firstLineChars="0"/>
              <w:rPr>
                <w:b/>
                <w:bCs/>
                <w:color w:val="auto"/>
              </w:rPr>
            </w:pPr>
            <w:r>
              <w:rPr>
                <w:b/>
                <w:bCs/>
                <w:color w:val="auto"/>
              </w:rPr>
              <w:t>1</w:t>
            </w:r>
            <w:r>
              <w:rPr>
                <w:rFonts w:hint="eastAsia"/>
                <w:b/>
                <w:bCs/>
                <w:color w:val="auto"/>
                <w:lang w:val="en-US" w:eastAsia="zh-CN"/>
              </w:rPr>
              <w:t>.</w:t>
            </w:r>
            <w:r>
              <w:rPr>
                <w:rFonts w:hint="eastAsia"/>
                <w:b/>
                <w:bCs/>
                <w:color w:val="auto"/>
              </w:rPr>
              <w:t>施工期工艺流程及产污环节分析</w:t>
            </w:r>
          </w:p>
          <w:p w14:paraId="4B991557">
            <w:pPr>
              <w:bidi w:val="0"/>
              <w:rPr>
                <w:rFonts w:hint="eastAsia"/>
                <w:color w:val="auto"/>
              </w:rPr>
            </w:pPr>
            <w:r>
              <w:rPr>
                <w:rFonts w:hint="eastAsia"/>
                <w:color w:val="auto"/>
              </w:rPr>
              <w:t>风电场工程首先要进行平整场地，</w:t>
            </w:r>
            <w:r>
              <w:rPr>
                <w:rFonts w:hint="eastAsia"/>
                <w:color w:val="auto"/>
                <w:lang w:val="en-US" w:eastAsia="zh-CN"/>
              </w:rPr>
              <w:t>然后</w:t>
            </w:r>
            <w:r>
              <w:rPr>
                <w:rFonts w:hint="eastAsia"/>
                <w:color w:val="auto"/>
              </w:rPr>
              <w:t>建设临时性工程，</w:t>
            </w:r>
            <w:r>
              <w:rPr>
                <w:rFonts w:hint="eastAsia"/>
                <w:color w:val="auto"/>
                <w:lang w:val="en-US" w:eastAsia="zh-CN"/>
              </w:rPr>
              <w:t>接着</w:t>
            </w:r>
            <w:r>
              <w:rPr>
                <w:rFonts w:hint="eastAsia"/>
                <w:color w:val="auto"/>
              </w:rPr>
              <w:t>进行风机塔基基础及施工平台的土建施工，集电线路</w:t>
            </w:r>
            <w:r>
              <w:rPr>
                <w:rFonts w:hint="eastAsia"/>
                <w:color w:val="auto"/>
                <w:lang w:val="en-US" w:eastAsia="zh-CN"/>
              </w:rPr>
              <w:t>施工、主变压器安装</w:t>
            </w:r>
            <w:r>
              <w:rPr>
                <w:rFonts w:hint="eastAsia"/>
                <w:color w:val="auto"/>
              </w:rPr>
              <w:t>等，最后是风机安装，工程主体电力、电气设备安装。各主要施工工艺流程及产污环节示意图见图4-1</w:t>
            </w:r>
            <w:r>
              <w:rPr>
                <w:rFonts w:hint="eastAsia"/>
                <w:color w:val="auto"/>
                <w:lang w:eastAsia="zh-CN"/>
              </w:rPr>
              <w:t>、</w:t>
            </w:r>
            <w:r>
              <w:rPr>
                <w:rFonts w:hint="eastAsia"/>
                <w:color w:val="auto"/>
                <w:lang w:val="en-US" w:eastAsia="zh-CN"/>
              </w:rPr>
              <w:t>4-2</w:t>
            </w:r>
            <w:r>
              <w:rPr>
                <w:rFonts w:hint="eastAsia"/>
                <w:color w:val="auto"/>
              </w:rPr>
              <w:t>。</w:t>
            </w:r>
          </w:p>
          <w:p w14:paraId="282C06BE">
            <w:pPr>
              <w:pStyle w:val="27"/>
              <w:bidi w:val="0"/>
              <w:rPr>
                <w:color w:val="auto"/>
                <w:lang w:val="en-US" w:eastAsia="zh-CN"/>
              </w:rPr>
            </w:pPr>
            <w:r>
              <w:rPr>
                <w:color w:val="auto"/>
              </w:rPr>
              <w:drawing>
                <wp:inline distT="0" distB="0" distL="114300" distR="114300">
                  <wp:extent cx="4925695" cy="912495"/>
                  <wp:effectExtent l="0" t="0" r="8255" b="1905"/>
                  <wp:docPr id="1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5"/>
                          <pic:cNvPicPr>
                            <a:picLocks noChangeAspect="1"/>
                          </pic:cNvPicPr>
                        </pic:nvPicPr>
                        <pic:blipFill>
                          <a:blip r:embed="rId37"/>
                          <a:stretch>
                            <a:fillRect/>
                          </a:stretch>
                        </pic:blipFill>
                        <pic:spPr>
                          <a:xfrm>
                            <a:off x="0" y="0"/>
                            <a:ext cx="4925695" cy="912495"/>
                          </a:xfrm>
                          <a:prstGeom prst="rect">
                            <a:avLst/>
                          </a:prstGeom>
                          <a:noFill/>
                          <a:ln>
                            <a:noFill/>
                          </a:ln>
                        </pic:spPr>
                      </pic:pic>
                    </a:graphicData>
                  </a:graphic>
                </wp:inline>
              </w:drawing>
            </w:r>
          </w:p>
          <w:p w14:paraId="35EC85C1">
            <w:pPr>
              <w:pStyle w:val="27"/>
              <w:bidi w:val="0"/>
              <w:rPr>
                <w:rFonts w:hint="default"/>
                <w:color w:val="auto"/>
                <w:lang w:val="en-US" w:eastAsia="zh-CN"/>
              </w:rPr>
            </w:pPr>
            <w:r>
              <w:rPr>
                <w:color w:val="auto"/>
              </w:rPr>
              <w:t>图</w:t>
            </w:r>
            <w:r>
              <w:rPr>
                <w:rFonts w:hint="eastAsia"/>
                <w:color w:val="auto"/>
              </w:rPr>
              <w:t>4</w:t>
            </w:r>
            <w:r>
              <w:rPr>
                <w:color w:val="auto"/>
              </w:rPr>
              <w:t>-1</w:t>
            </w:r>
            <w:r>
              <w:rPr>
                <w:rFonts w:hint="eastAsia"/>
                <w:color w:val="auto"/>
                <w:lang w:val="en-US" w:eastAsia="zh-CN"/>
              </w:rPr>
              <w:t xml:space="preserve">  </w:t>
            </w:r>
            <w:r>
              <w:rPr>
                <w:color w:val="auto"/>
              </w:rPr>
              <w:t>施工期</w:t>
            </w:r>
            <w:r>
              <w:rPr>
                <w:rFonts w:hint="eastAsia"/>
                <w:color w:val="auto"/>
                <w:lang w:val="en-US" w:eastAsia="zh-CN"/>
              </w:rPr>
              <w:t>风机机组产污环节图</w:t>
            </w:r>
          </w:p>
          <w:p w14:paraId="2DABB143">
            <w:pPr>
              <w:pStyle w:val="27"/>
              <w:bidi w:val="0"/>
              <w:rPr>
                <w:rFonts w:hint="eastAsia"/>
                <w:color w:val="auto"/>
                <w:lang w:val="en-US" w:eastAsia="zh-CN"/>
              </w:rPr>
            </w:pPr>
            <w:r>
              <w:rPr>
                <w:color w:val="auto"/>
              </w:rPr>
              <w:drawing>
                <wp:inline distT="0" distB="0" distL="114300" distR="114300">
                  <wp:extent cx="5245735" cy="840740"/>
                  <wp:effectExtent l="0" t="0" r="12065" b="16510"/>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38"/>
                          <a:stretch>
                            <a:fillRect/>
                          </a:stretch>
                        </pic:blipFill>
                        <pic:spPr>
                          <a:xfrm>
                            <a:off x="0" y="0"/>
                            <a:ext cx="5245735" cy="840740"/>
                          </a:xfrm>
                          <a:prstGeom prst="rect">
                            <a:avLst/>
                          </a:prstGeom>
                          <a:noFill/>
                          <a:ln>
                            <a:noFill/>
                          </a:ln>
                        </pic:spPr>
                      </pic:pic>
                    </a:graphicData>
                  </a:graphic>
                </wp:inline>
              </w:drawing>
            </w:r>
            <w:r>
              <w:rPr>
                <w:rFonts w:hint="eastAsia"/>
                <w:color w:val="auto"/>
                <w:lang w:val="en-US" w:eastAsia="zh-CN"/>
              </w:rPr>
              <w:t>图</w:t>
            </w:r>
            <w:r>
              <w:rPr>
                <w:rFonts w:hint="eastAsia"/>
                <w:color w:val="auto"/>
              </w:rPr>
              <w:t>4</w:t>
            </w:r>
            <w:r>
              <w:rPr>
                <w:color w:val="auto"/>
              </w:rPr>
              <w:t>-</w:t>
            </w:r>
            <w:r>
              <w:rPr>
                <w:rFonts w:hint="eastAsia"/>
                <w:color w:val="auto"/>
                <w:lang w:val="en-US" w:eastAsia="zh-CN"/>
              </w:rPr>
              <w:t xml:space="preserve">2  </w:t>
            </w:r>
            <w:r>
              <w:rPr>
                <w:rFonts w:hint="eastAsia"/>
                <w:color w:val="auto"/>
              </w:rPr>
              <w:t>施工期</w:t>
            </w:r>
            <w:r>
              <w:rPr>
                <w:rFonts w:hint="eastAsia"/>
                <w:color w:val="auto"/>
                <w:lang w:val="en-US" w:eastAsia="zh-CN"/>
              </w:rPr>
              <w:t>集电线路产污环节</w:t>
            </w:r>
            <w:r>
              <w:rPr>
                <w:color w:val="auto"/>
              </w:rPr>
              <w:t>图</w:t>
            </w:r>
          </w:p>
          <w:p w14:paraId="494CBA1A">
            <w:pPr>
              <w:bidi w:val="0"/>
              <w:ind w:left="0" w:leftChars="0" w:firstLine="0" w:firstLineChars="0"/>
              <w:rPr>
                <w:b/>
                <w:bCs/>
                <w:color w:val="auto"/>
              </w:rPr>
            </w:pPr>
            <w:r>
              <w:rPr>
                <w:b/>
                <w:bCs/>
                <w:color w:val="auto"/>
              </w:rPr>
              <w:t>2</w:t>
            </w:r>
            <w:r>
              <w:rPr>
                <w:rFonts w:hint="eastAsia"/>
                <w:b/>
                <w:bCs/>
                <w:color w:val="auto"/>
                <w:lang w:val="en-US" w:eastAsia="zh-CN"/>
              </w:rPr>
              <w:t>.</w:t>
            </w:r>
            <w:r>
              <w:rPr>
                <w:rFonts w:hint="eastAsia"/>
                <w:b/>
                <w:bCs/>
                <w:color w:val="auto"/>
              </w:rPr>
              <w:t>施工期主要污染源强</w:t>
            </w:r>
          </w:p>
          <w:p w14:paraId="3EF6169D">
            <w:pPr>
              <w:keepNext w:val="0"/>
              <w:keepLines w:val="0"/>
              <w:pageBreakBefore w:val="0"/>
              <w:kinsoku/>
              <w:wordWrap/>
              <w:overflowPunct/>
              <w:topLinePunct w:val="0"/>
              <w:bidi w:val="0"/>
              <w:adjustRightInd w:val="0"/>
              <w:snapToGrid w:val="0"/>
              <w:spacing w:line="360" w:lineRule="auto"/>
              <w:ind w:firstLine="42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（1）噪声</w:t>
            </w:r>
          </w:p>
          <w:p w14:paraId="259D2EFA">
            <w:pPr>
              <w:keepNext w:val="0"/>
              <w:keepLines w:val="0"/>
              <w:pageBreakBefore w:val="0"/>
              <w:kinsoku/>
              <w:wordWrap/>
              <w:overflowPunct/>
              <w:topLinePunct w:val="0"/>
              <w:bidi w:val="0"/>
              <w:adjustRightInd w:val="0"/>
              <w:snapToGrid w:val="0"/>
              <w:spacing w:line="360" w:lineRule="auto"/>
              <w:ind w:firstLine="42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风电场施工期噪声主要来自施工场地平整、风电机组和箱式变压站基础开挖，新建生产辅助设施施工时的施工机械噪声，运输车辆的交通噪声，风电机组吊装机械噪声等。</w:t>
            </w:r>
          </w:p>
          <w:p w14:paraId="04633CFE">
            <w:pPr>
              <w:keepNext w:val="0"/>
              <w:keepLines w:val="0"/>
              <w:pageBreakBefore w:val="0"/>
              <w:kinsoku/>
              <w:wordWrap/>
              <w:overflowPunct/>
              <w:topLinePunct w:val="0"/>
              <w:bidi w:val="0"/>
              <w:adjustRightInd w:val="0"/>
              <w:snapToGrid w:val="0"/>
              <w:spacing w:line="360" w:lineRule="auto"/>
              <w:ind w:firstLine="420"/>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rPr>
              <w:t>拟建</w:t>
            </w:r>
            <w:r>
              <w:rPr>
                <w:rFonts w:hint="eastAsia" w:cs="Times New Roman"/>
                <w:color w:val="auto"/>
                <w:sz w:val="24"/>
                <w:szCs w:val="24"/>
                <w:highlight w:val="none"/>
                <w:lang w:val="en-US" w:eastAsia="zh-CN"/>
              </w:rPr>
              <w:t>风电</w:t>
            </w:r>
            <w:r>
              <w:rPr>
                <w:rFonts w:hint="default" w:ascii="Times New Roman" w:hAnsi="Times New Roman" w:eastAsia="宋体" w:cs="Times New Roman"/>
                <w:color w:val="auto"/>
                <w:sz w:val="24"/>
                <w:szCs w:val="24"/>
                <w:highlight w:val="none"/>
              </w:rPr>
              <w:t>场工程施工机械主要有挖掘机</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钻孔机</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风镐</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空压机</w:t>
            </w:r>
            <w:r>
              <w:rPr>
                <w:rFonts w:hint="eastAsia"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混凝土振捣器等，机械运行时噪声源强在80～</w:t>
            </w:r>
            <w:r>
              <w:rPr>
                <w:rFonts w:hint="eastAsia" w:cs="Times New Roman"/>
                <w:color w:val="auto"/>
                <w:sz w:val="24"/>
                <w:szCs w:val="24"/>
                <w:highlight w:val="none"/>
                <w:lang w:val="en-US" w:eastAsia="zh-CN"/>
              </w:rPr>
              <w:t>90</w:t>
            </w:r>
            <w:r>
              <w:rPr>
                <w:rFonts w:hint="default" w:ascii="Times New Roman" w:hAnsi="Times New Roman" w:eastAsia="宋体" w:cs="Times New Roman"/>
                <w:color w:val="auto"/>
                <w:sz w:val="24"/>
                <w:szCs w:val="24"/>
                <w:highlight w:val="none"/>
              </w:rPr>
              <w:t>dB（A）之间。</w:t>
            </w:r>
            <w:r>
              <w:rPr>
                <w:rFonts w:hint="eastAsia" w:cs="Times New Roman"/>
                <w:color w:val="auto"/>
                <w:sz w:val="24"/>
                <w:szCs w:val="24"/>
                <w:highlight w:val="none"/>
                <w:lang w:val="en-US" w:eastAsia="zh-CN"/>
              </w:rPr>
              <w:t>主变压器施工使用的施工机械主要有混凝土振捣器、电锯、空压机、振动夯锤、角磨机、电锯，</w:t>
            </w:r>
            <w:r>
              <w:rPr>
                <w:rFonts w:hint="default" w:ascii="Times New Roman" w:hAnsi="Times New Roman" w:eastAsia="宋体" w:cs="Times New Roman"/>
                <w:color w:val="auto"/>
                <w:sz w:val="24"/>
                <w:szCs w:val="24"/>
                <w:highlight w:val="none"/>
              </w:rPr>
              <w:t>噪声源强在80～</w:t>
            </w:r>
            <w:r>
              <w:rPr>
                <w:rFonts w:hint="eastAsia" w:cs="Times New Roman"/>
                <w:color w:val="auto"/>
                <w:sz w:val="24"/>
                <w:szCs w:val="24"/>
                <w:highlight w:val="none"/>
                <w:lang w:val="en-US" w:eastAsia="zh-CN"/>
              </w:rPr>
              <w:t>93</w:t>
            </w:r>
            <w:r>
              <w:rPr>
                <w:rFonts w:hint="default" w:ascii="Times New Roman" w:hAnsi="Times New Roman" w:eastAsia="宋体" w:cs="Times New Roman"/>
                <w:color w:val="auto"/>
                <w:sz w:val="24"/>
                <w:szCs w:val="24"/>
                <w:highlight w:val="none"/>
              </w:rPr>
              <w:t>dB（A）之间。</w:t>
            </w:r>
            <w:r>
              <w:rPr>
                <w:rFonts w:hint="eastAsia" w:cs="Times New Roman"/>
                <w:color w:val="auto"/>
                <w:sz w:val="24"/>
                <w:szCs w:val="24"/>
                <w:highlight w:val="none"/>
                <w:lang w:val="en-US" w:eastAsia="zh-CN"/>
              </w:rPr>
              <w:t>项目施工期运输材料会产生交通运输车辆噪声，</w:t>
            </w:r>
            <w:r>
              <w:rPr>
                <w:rFonts w:hint="default" w:ascii="Times New Roman" w:hAnsi="Times New Roman" w:eastAsia="宋体" w:cs="Times New Roman"/>
                <w:color w:val="auto"/>
                <w:sz w:val="24"/>
                <w:szCs w:val="24"/>
                <w:highlight w:val="none"/>
              </w:rPr>
              <w:t>源强在</w:t>
            </w:r>
            <w:r>
              <w:rPr>
                <w:rFonts w:hint="eastAsia" w:cs="Times New Roman"/>
                <w:color w:val="auto"/>
                <w:sz w:val="24"/>
                <w:szCs w:val="24"/>
                <w:highlight w:val="none"/>
                <w:lang w:val="en-US" w:eastAsia="zh-CN"/>
              </w:rPr>
              <w:t>75</w:t>
            </w:r>
            <w:r>
              <w:rPr>
                <w:rFonts w:hint="default" w:ascii="Times New Roman" w:hAnsi="Times New Roman" w:eastAsia="宋体" w:cs="Times New Roman"/>
                <w:color w:val="auto"/>
                <w:sz w:val="24"/>
                <w:szCs w:val="24"/>
                <w:highlight w:val="none"/>
              </w:rPr>
              <w:t>～</w:t>
            </w:r>
            <w:r>
              <w:rPr>
                <w:rFonts w:hint="eastAsia" w:cs="Times New Roman"/>
                <w:color w:val="auto"/>
                <w:sz w:val="24"/>
                <w:szCs w:val="24"/>
                <w:highlight w:val="none"/>
                <w:lang w:val="en-US" w:eastAsia="zh-CN"/>
              </w:rPr>
              <w:t>85</w:t>
            </w:r>
            <w:r>
              <w:rPr>
                <w:rFonts w:hint="default" w:ascii="Times New Roman" w:hAnsi="Times New Roman" w:eastAsia="宋体" w:cs="Times New Roman"/>
                <w:color w:val="auto"/>
                <w:sz w:val="24"/>
                <w:szCs w:val="24"/>
                <w:highlight w:val="none"/>
              </w:rPr>
              <w:t>dB（A）之间。</w:t>
            </w:r>
          </w:p>
          <w:p w14:paraId="46FED1B7">
            <w:pPr>
              <w:keepNext w:val="0"/>
              <w:keepLines w:val="0"/>
              <w:pageBreakBefore w:val="0"/>
              <w:kinsoku/>
              <w:wordWrap/>
              <w:overflowPunct/>
              <w:topLinePunct w:val="0"/>
              <w:bidi w:val="0"/>
              <w:adjustRightInd w:val="0"/>
              <w:snapToGrid w:val="0"/>
              <w:spacing w:line="360" w:lineRule="auto"/>
              <w:ind w:firstLine="42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（2）环境空气</w:t>
            </w:r>
          </w:p>
          <w:p w14:paraId="04610EA8">
            <w:pPr>
              <w:keepNext w:val="0"/>
              <w:keepLines w:val="0"/>
              <w:pageBreakBefore w:val="0"/>
              <w:kinsoku/>
              <w:wordWrap/>
              <w:overflowPunct/>
              <w:topLinePunct w:val="0"/>
              <w:bidi w:val="0"/>
              <w:adjustRightInd w:val="0"/>
              <w:snapToGrid w:val="0"/>
              <w:spacing w:line="360" w:lineRule="auto"/>
              <w:ind w:firstLine="42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拟建工程大气污染源来自车辆运输、土石方开挖、弃渣以及物料运输等，产生的污染物主要有粉尘、SO</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rPr>
              <w:t>、NOx、CmHn等。由于场区风速较大，大气扩散条件好，车辆运输产生的SO</w:t>
            </w:r>
            <w:r>
              <w:rPr>
                <w:rFonts w:hint="default" w:ascii="Times New Roman" w:hAnsi="Times New Roman" w:eastAsia="宋体" w:cs="Times New Roman"/>
                <w:color w:val="auto"/>
                <w:sz w:val="24"/>
                <w:szCs w:val="24"/>
                <w:vertAlign w:val="subscript"/>
              </w:rPr>
              <w:t>2</w:t>
            </w:r>
            <w:r>
              <w:rPr>
                <w:rFonts w:hint="default" w:ascii="Times New Roman" w:hAnsi="Times New Roman" w:eastAsia="宋体" w:cs="Times New Roman"/>
                <w:color w:val="auto"/>
                <w:sz w:val="24"/>
                <w:szCs w:val="24"/>
              </w:rPr>
              <w:t>、NOx、CmHn等有害气体量很小。但是，在强风速下场地扬尘飞扬频次会增加。扬尘多属粒径相对较大的降尘，据有关资料介绍，未铺装道路路面泥土粉尘粒径分布为小于5μm的占8%，5～30μm的占24%，大于30μm的占68%。</w:t>
            </w:r>
          </w:p>
          <w:p w14:paraId="175A8085">
            <w:pPr>
              <w:keepNext w:val="0"/>
              <w:keepLines w:val="0"/>
              <w:pageBreakBefore w:val="0"/>
              <w:kinsoku/>
              <w:wordWrap/>
              <w:overflowPunct/>
              <w:topLinePunct w:val="0"/>
              <w:bidi w:val="0"/>
              <w:adjustRightInd w:val="0"/>
              <w:snapToGrid w:val="0"/>
              <w:spacing w:line="360" w:lineRule="auto"/>
              <w:ind w:firstLine="42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（3）地表水</w:t>
            </w:r>
          </w:p>
          <w:p w14:paraId="4812D746">
            <w:pPr>
              <w:bidi w:val="0"/>
              <w:rPr>
                <w:rFonts w:hint="default" w:ascii="Times New Roman" w:hAnsi="Times New Roman" w:cs="Times New Roman"/>
                <w:color w:val="auto"/>
              </w:rPr>
            </w:pPr>
            <w:r>
              <w:rPr>
                <w:rFonts w:hint="default" w:ascii="Times New Roman" w:hAnsi="Times New Roman" w:cs="Times New Roman"/>
                <w:color w:val="auto"/>
              </w:rPr>
              <w:t>项目施工期不在现场设置砂石料加工系统、混凝土拌和系统等生产废水排放设施，仅会产生少量的施工机械设备冲洗废水，施工废水的产生时间不连续、产生量较小，污染物主要为SS。参照类似工程施工机械设备冲洗废水产生量，本项目施工废水量约为1.5m</w:t>
            </w:r>
            <w:r>
              <w:rPr>
                <w:rFonts w:hint="default" w:ascii="Times New Roman" w:hAnsi="Times New Roman" w:cs="Times New Roman"/>
                <w:color w:val="auto"/>
                <w:vertAlign w:val="superscript"/>
              </w:rPr>
              <w:t>3</w:t>
            </w:r>
            <w:r>
              <w:rPr>
                <w:rFonts w:hint="default" w:ascii="Times New Roman" w:hAnsi="Times New Roman" w:cs="Times New Roman"/>
                <w:color w:val="auto"/>
              </w:rPr>
              <w:t>/d。施工主要为生活污水影响，拟建风电场工程施工期为</w:t>
            </w:r>
            <w:r>
              <w:rPr>
                <w:rFonts w:hint="default" w:ascii="Times New Roman" w:hAnsi="Times New Roman" w:cs="Times New Roman"/>
                <w:color w:val="auto"/>
                <w:lang w:val="en-US" w:eastAsia="zh-CN"/>
              </w:rPr>
              <w:t>6</w:t>
            </w:r>
            <w:r>
              <w:rPr>
                <w:rFonts w:hint="default" w:ascii="Times New Roman" w:hAnsi="Times New Roman" w:cs="Times New Roman"/>
                <w:color w:val="auto"/>
              </w:rPr>
              <w:t>个月，施工高峰人数为</w:t>
            </w:r>
            <w:r>
              <w:rPr>
                <w:rFonts w:hint="eastAsia" w:cs="Times New Roman"/>
                <w:color w:val="auto"/>
                <w:highlight w:val="none"/>
                <w:lang w:val="en-US" w:eastAsia="zh-CN"/>
              </w:rPr>
              <w:t>2</w:t>
            </w:r>
            <w:r>
              <w:rPr>
                <w:rFonts w:hint="default" w:ascii="Times New Roman" w:hAnsi="Times New Roman" w:cs="Times New Roman"/>
                <w:color w:val="auto"/>
                <w:highlight w:val="none"/>
                <w:lang w:val="en-US" w:eastAsia="zh-CN"/>
              </w:rPr>
              <w:t>0</w:t>
            </w:r>
            <w:r>
              <w:rPr>
                <w:rFonts w:hint="default" w:ascii="Times New Roman" w:hAnsi="Times New Roman" w:cs="Times New Roman"/>
                <w:color w:val="auto"/>
                <w:highlight w:val="none"/>
              </w:rPr>
              <w:t>人</w:t>
            </w:r>
            <w:r>
              <w:rPr>
                <w:rFonts w:hint="default" w:ascii="Times New Roman" w:hAnsi="Times New Roman" w:cs="Times New Roman"/>
                <w:color w:val="auto"/>
              </w:rPr>
              <w:t>，根据《云南省地方标准用水定额》（DB53/T168-20</w:t>
            </w:r>
            <w:r>
              <w:rPr>
                <w:rFonts w:hint="eastAsia" w:cs="Times New Roman"/>
                <w:color w:val="auto"/>
                <w:lang w:val="en-US" w:eastAsia="zh-CN"/>
              </w:rPr>
              <w:t>26</w:t>
            </w:r>
            <w:r>
              <w:rPr>
                <w:rFonts w:hint="default" w:ascii="Times New Roman" w:hAnsi="Times New Roman" w:cs="Times New Roman"/>
                <w:color w:val="auto"/>
              </w:rPr>
              <w:t>），本项目位于</w:t>
            </w:r>
            <w:r>
              <w:rPr>
                <w:rFonts w:hint="default" w:ascii="Times New Roman" w:hAnsi="Times New Roman" w:cs="Times New Roman"/>
                <w:color w:val="auto"/>
                <w:lang w:val="en-US" w:eastAsia="zh-CN"/>
              </w:rPr>
              <w:t>宣威市</w:t>
            </w:r>
            <w:r>
              <w:rPr>
                <w:rFonts w:hint="default" w:ascii="Times New Roman" w:hAnsi="Times New Roman" w:cs="Times New Roman"/>
                <w:color w:val="auto"/>
              </w:rPr>
              <w:t>农村地区，农村居民生活用水定额（亚热带区，分散供水）为40~55</w:t>
            </w:r>
            <w:r>
              <w:rPr>
                <w:rFonts w:hint="default" w:ascii="Times New Roman" w:hAnsi="Times New Roman" w:cs="Times New Roman"/>
                <w:color w:val="auto"/>
                <w:lang w:eastAsia="zh-CN"/>
              </w:rPr>
              <w:t>（</w:t>
            </w:r>
            <w:r>
              <w:rPr>
                <w:rFonts w:hint="default" w:ascii="Times New Roman" w:hAnsi="Times New Roman" w:cs="Times New Roman"/>
                <w:color w:val="auto"/>
              </w:rPr>
              <w:t>L/d</w:t>
            </w:r>
            <w:r>
              <w:rPr>
                <w:rFonts w:hint="default" w:ascii="Times New Roman" w:hAnsi="Times New Roman" w:cs="Times New Roman"/>
                <w:color w:val="auto"/>
                <w:lang w:val="en-US" w:eastAsia="zh-CN"/>
              </w:rPr>
              <w:t>·</w:t>
            </w:r>
            <w:r>
              <w:rPr>
                <w:rFonts w:hint="default" w:ascii="Times New Roman" w:hAnsi="Times New Roman" w:cs="Times New Roman"/>
                <w:color w:val="auto"/>
              </w:rPr>
              <w:t>人</w:t>
            </w:r>
            <w:r>
              <w:rPr>
                <w:rFonts w:hint="default" w:ascii="Times New Roman" w:hAnsi="Times New Roman" w:cs="Times New Roman"/>
                <w:color w:val="auto"/>
                <w:lang w:eastAsia="zh-CN"/>
              </w:rPr>
              <w:t>）</w:t>
            </w:r>
            <w:r>
              <w:rPr>
                <w:rFonts w:hint="default" w:ascii="Times New Roman" w:hAnsi="Times New Roman" w:cs="Times New Roman"/>
                <w:color w:val="auto"/>
              </w:rPr>
              <w:t>；施工人员日常生活用水按55</w:t>
            </w:r>
            <w:r>
              <w:rPr>
                <w:rFonts w:hint="default" w:ascii="Times New Roman" w:hAnsi="Times New Roman" w:cs="Times New Roman"/>
                <w:color w:val="auto"/>
                <w:lang w:eastAsia="zh-CN"/>
              </w:rPr>
              <w:t>（</w:t>
            </w:r>
            <w:r>
              <w:rPr>
                <w:rFonts w:hint="default" w:ascii="Times New Roman" w:hAnsi="Times New Roman" w:cs="Times New Roman"/>
                <w:color w:val="auto"/>
              </w:rPr>
              <w:t>L/d</w:t>
            </w:r>
            <w:r>
              <w:rPr>
                <w:rFonts w:hint="default" w:ascii="Times New Roman" w:hAnsi="Times New Roman" w:cs="Times New Roman"/>
                <w:color w:val="auto"/>
                <w:lang w:val="en-US" w:eastAsia="zh-CN"/>
              </w:rPr>
              <w:t>·</w:t>
            </w:r>
            <w:r>
              <w:rPr>
                <w:rFonts w:hint="default" w:ascii="Times New Roman" w:hAnsi="Times New Roman" w:cs="Times New Roman"/>
                <w:color w:val="auto"/>
              </w:rPr>
              <w:t>人</w:t>
            </w:r>
            <w:r>
              <w:rPr>
                <w:rFonts w:hint="default" w:ascii="Times New Roman" w:hAnsi="Times New Roman" w:cs="Times New Roman"/>
                <w:color w:val="auto"/>
                <w:lang w:eastAsia="zh-CN"/>
              </w:rPr>
              <w:t>）</w:t>
            </w:r>
            <w:r>
              <w:rPr>
                <w:rFonts w:hint="default" w:ascii="Times New Roman" w:hAnsi="Times New Roman" w:cs="Times New Roman"/>
                <w:color w:val="auto"/>
              </w:rPr>
              <w:t>计，产污系数按0.8计，则施工期生活污水产生量为</w:t>
            </w:r>
            <w:r>
              <w:rPr>
                <w:rFonts w:hint="eastAsia" w:cs="Times New Roman"/>
                <w:color w:val="auto"/>
                <w:lang w:val="en-US" w:eastAsia="zh-CN"/>
              </w:rPr>
              <w:t>0.88</w:t>
            </w:r>
            <w:r>
              <w:rPr>
                <w:rFonts w:hint="default" w:ascii="Times New Roman" w:hAnsi="Times New Roman" w:cs="Times New Roman"/>
                <w:color w:val="auto"/>
              </w:rPr>
              <w:t>m</w:t>
            </w:r>
            <w:r>
              <w:rPr>
                <w:rFonts w:hint="default" w:ascii="Times New Roman" w:hAnsi="Times New Roman" w:cs="Times New Roman"/>
                <w:color w:val="auto"/>
                <w:vertAlign w:val="superscript"/>
              </w:rPr>
              <w:t>3</w:t>
            </w:r>
            <w:r>
              <w:rPr>
                <w:rFonts w:hint="default" w:ascii="Times New Roman" w:hAnsi="Times New Roman" w:cs="Times New Roman"/>
                <w:color w:val="auto"/>
              </w:rPr>
              <w:t>/d。</w:t>
            </w:r>
          </w:p>
          <w:p w14:paraId="59D11C3B">
            <w:pPr>
              <w:bidi w:val="0"/>
              <w:rPr>
                <w:rFonts w:hint="default" w:ascii="Times New Roman" w:hAnsi="Times New Roman" w:cs="Times New Roman"/>
                <w:color w:val="auto"/>
              </w:rPr>
            </w:pPr>
            <w:r>
              <w:rPr>
                <w:rFonts w:hint="default" w:ascii="Times New Roman" w:hAnsi="Times New Roman" w:cs="Times New Roman"/>
                <w:color w:val="auto"/>
              </w:rPr>
              <w:t>（4）固体废弃物</w:t>
            </w:r>
          </w:p>
          <w:p w14:paraId="5813160D">
            <w:pPr>
              <w:bidi w:val="0"/>
              <w:rPr>
                <w:rFonts w:hint="default" w:ascii="Times New Roman" w:hAnsi="Times New Roman" w:eastAsia="宋体" w:cs="Times New Roman"/>
                <w:color w:val="auto"/>
                <w:highlight w:val="yellow"/>
                <w:lang w:val="en-US" w:eastAsia="zh-CN"/>
              </w:rPr>
            </w:pPr>
            <w:r>
              <w:rPr>
                <w:rFonts w:hint="default" w:ascii="Times New Roman" w:hAnsi="Times New Roman" w:cs="Times New Roman"/>
                <w:color w:val="auto"/>
              </w:rPr>
              <w:t>拟建风电场施工期施工人员的生活垃圾产生量按0.5kg/人·d考虑，施工高峰人数为</w:t>
            </w:r>
            <w:r>
              <w:rPr>
                <w:rFonts w:hint="eastAsia" w:cs="Times New Roman"/>
                <w:color w:val="auto"/>
                <w:highlight w:val="none"/>
                <w:lang w:val="en-US" w:eastAsia="zh-CN"/>
              </w:rPr>
              <w:t>20</w:t>
            </w:r>
            <w:r>
              <w:rPr>
                <w:rFonts w:hint="default" w:ascii="Times New Roman" w:hAnsi="Times New Roman" w:cs="Times New Roman"/>
                <w:color w:val="auto"/>
                <w:highlight w:val="none"/>
              </w:rPr>
              <w:t>人</w:t>
            </w:r>
            <w:r>
              <w:rPr>
                <w:rFonts w:hint="default" w:ascii="Times New Roman" w:hAnsi="Times New Roman" w:cs="Times New Roman"/>
                <w:color w:val="auto"/>
              </w:rPr>
              <w:t>，施工期按</w:t>
            </w:r>
            <w:r>
              <w:rPr>
                <w:rFonts w:hint="default" w:ascii="Times New Roman" w:hAnsi="Times New Roman" w:cs="Times New Roman"/>
                <w:color w:val="auto"/>
                <w:lang w:val="en-US" w:eastAsia="zh-CN"/>
              </w:rPr>
              <w:t>6</w:t>
            </w:r>
            <w:r>
              <w:rPr>
                <w:rFonts w:hint="default" w:ascii="Times New Roman" w:hAnsi="Times New Roman" w:cs="Times New Roman"/>
                <w:color w:val="auto"/>
              </w:rPr>
              <w:t>个月计，施工期将产生生活垃圾</w:t>
            </w:r>
            <w:r>
              <w:rPr>
                <w:rFonts w:hint="eastAsia" w:cs="Times New Roman"/>
                <w:color w:val="auto"/>
                <w:lang w:val="en-US" w:eastAsia="zh-CN"/>
              </w:rPr>
              <w:t>1.8</w:t>
            </w:r>
            <w:r>
              <w:rPr>
                <w:rFonts w:hint="default" w:ascii="Times New Roman" w:hAnsi="Times New Roman" w:cs="Times New Roman"/>
                <w:color w:val="auto"/>
              </w:rPr>
              <w:t>t。</w:t>
            </w:r>
            <w:r>
              <w:rPr>
                <w:rFonts w:hint="default"/>
                <w:color w:val="auto"/>
                <w:lang w:val="en-US" w:eastAsia="zh-CN"/>
              </w:rPr>
              <w:t>项目在建设期预计产生土石方开挖</w:t>
            </w:r>
            <w:r>
              <w:rPr>
                <w:rFonts w:hint="eastAsia"/>
                <w:color w:val="auto"/>
                <w:lang w:val="en-US" w:eastAsia="zh-CN"/>
              </w:rPr>
              <w:t>5.4703</w:t>
            </w:r>
            <w:r>
              <w:rPr>
                <w:rFonts w:hint="default"/>
                <w:color w:val="auto"/>
                <w:lang w:val="en-US" w:eastAsia="zh-CN"/>
              </w:rPr>
              <w:t>万m</w:t>
            </w:r>
            <w:r>
              <w:rPr>
                <w:rFonts w:hint="default"/>
                <w:color w:val="auto"/>
                <w:vertAlign w:val="superscript"/>
                <w:lang w:val="en-US" w:eastAsia="zh-CN"/>
              </w:rPr>
              <w:t>3</w:t>
            </w:r>
            <w:r>
              <w:rPr>
                <w:rFonts w:hint="default"/>
                <w:color w:val="auto"/>
                <w:lang w:val="en-US" w:eastAsia="zh-CN"/>
              </w:rPr>
              <w:t>，土石方回填</w:t>
            </w:r>
            <w:r>
              <w:rPr>
                <w:rFonts w:hint="eastAsia"/>
                <w:color w:val="auto"/>
                <w:lang w:val="en-US" w:eastAsia="zh-CN"/>
              </w:rPr>
              <w:t>5.4703</w:t>
            </w:r>
            <w:r>
              <w:rPr>
                <w:rFonts w:hint="default"/>
                <w:color w:val="auto"/>
                <w:lang w:val="en-US" w:eastAsia="zh-CN"/>
              </w:rPr>
              <w:t>万m</w:t>
            </w:r>
            <w:r>
              <w:rPr>
                <w:rFonts w:hint="default"/>
                <w:color w:val="auto"/>
                <w:vertAlign w:val="superscript"/>
                <w:lang w:val="en-US" w:eastAsia="zh-CN"/>
              </w:rPr>
              <w:t>3</w:t>
            </w:r>
            <w:r>
              <w:rPr>
                <w:rFonts w:hint="eastAsia"/>
                <w:color w:val="auto"/>
                <w:lang w:val="en-US" w:eastAsia="zh-CN"/>
              </w:rPr>
              <w:t>，土石方挖填平衡，不设置弃渣场</w:t>
            </w:r>
            <w:r>
              <w:rPr>
                <w:rFonts w:hint="default"/>
                <w:color w:val="auto"/>
                <w:lang w:val="en-US" w:eastAsia="zh-CN"/>
              </w:rPr>
              <w:t>。</w:t>
            </w:r>
          </w:p>
          <w:p w14:paraId="77ED83A3">
            <w:pPr>
              <w:keepNext w:val="0"/>
              <w:keepLines w:val="0"/>
              <w:pageBreakBefore w:val="0"/>
              <w:kinsoku/>
              <w:wordWrap/>
              <w:overflowPunct/>
              <w:topLinePunct w:val="0"/>
              <w:bidi w:val="0"/>
              <w:adjustRightInd w:val="0"/>
              <w:snapToGrid w:val="0"/>
              <w:spacing w:line="360" w:lineRule="auto"/>
              <w:ind w:firstLine="420"/>
              <w:rPr>
                <w:rFonts w:hint="eastAsia" w:ascii="Times New Roman" w:hAnsi="Times New Roman" w:eastAsia="宋体"/>
                <w:color w:val="auto"/>
                <w:sz w:val="24"/>
                <w:szCs w:val="24"/>
              </w:rPr>
            </w:pPr>
            <w:r>
              <w:rPr>
                <w:rFonts w:hint="eastAsia" w:ascii="Times New Roman" w:hAnsi="Times New Roman" w:eastAsia="宋体"/>
                <w:color w:val="auto"/>
                <w:sz w:val="24"/>
                <w:szCs w:val="24"/>
              </w:rPr>
              <w:t>（5）生态环境</w:t>
            </w:r>
          </w:p>
          <w:p w14:paraId="618302EE">
            <w:pPr>
              <w:keepNext w:val="0"/>
              <w:keepLines w:val="0"/>
              <w:pageBreakBefore w:val="0"/>
              <w:kinsoku/>
              <w:wordWrap/>
              <w:overflowPunct/>
              <w:topLinePunct w:val="0"/>
              <w:bidi w:val="0"/>
              <w:adjustRightInd w:val="0"/>
              <w:snapToGrid w:val="0"/>
              <w:spacing w:line="360" w:lineRule="auto"/>
              <w:ind w:firstLine="420"/>
              <w:rPr>
                <w:rFonts w:hint="eastAsia" w:ascii="Times New Roman" w:hAnsi="Times New Roman" w:eastAsia="宋体"/>
                <w:color w:val="auto"/>
                <w:sz w:val="24"/>
                <w:szCs w:val="24"/>
              </w:rPr>
            </w:pPr>
            <w:r>
              <w:rPr>
                <w:rFonts w:hint="eastAsia" w:ascii="Times New Roman" w:hAnsi="Times New Roman" w:eastAsia="宋体"/>
                <w:color w:val="auto"/>
                <w:sz w:val="24"/>
                <w:szCs w:val="24"/>
              </w:rPr>
              <w:t>本工程的生态环境影响主要集中在施工期间，施工过程中将进行土石方的填挖，包括风电机组基础施工、箱式变基础施工、集电线路铺设、新建生产辅助设施区等使原有土壤结构发生改变，破坏原有地表植被，造成该区域植被组成与结构发生改变，从而导致植物生物量损失，发生水土流失。</w:t>
            </w:r>
          </w:p>
          <w:p w14:paraId="17A6D66F">
            <w:pPr>
              <w:bidi w:val="0"/>
              <w:ind w:left="0" w:leftChars="0" w:firstLine="0" w:firstLineChars="0"/>
              <w:rPr>
                <w:rFonts w:hint="eastAsia"/>
                <w:b/>
                <w:bCs/>
                <w:color w:val="auto"/>
              </w:rPr>
            </w:pPr>
            <w:r>
              <w:rPr>
                <w:rFonts w:hint="eastAsia"/>
                <w:b/>
                <w:bCs/>
                <w:color w:val="auto"/>
              </w:rPr>
              <w:t>3</w:t>
            </w:r>
            <w:r>
              <w:rPr>
                <w:rFonts w:hint="eastAsia"/>
                <w:b/>
                <w:bCs/>
                <w:color w:val="auto"/>
                <w:lang w:val="en-US" w:eastAsia="zh-CN"/>
              </w:rPr>
              <w:t>.</w:t>
            </w:r>
            <w:r>
              <w:rPr>
                <w:rFonts w:hint="eastAsia"/>
                <w:b/>
                <w:bCs/>
                <w:color w:val="auto"/>
              </w:rPr>
              <w:t>施工期废气环境影响分析</w:t>
            </w:r>
          </w:p>
          <w:p w14:paraId="4F3D912D">
            <w:pPr>
              <w:bidi w:val="0"/>
              <w:rPr>
                <w:rFonts w:hint="eastAsia" w:ascii="Times New Roman" w:hAnsi="Times New Roman" w:eastAsia="宋体"/>
                <w:color w:val="auto"/>
                <w:sz w:val="24"/>
                <w:szCs w:val="24"/>
                <w:highlight w:val="none"/>
              </w:rPr>
            </w:pPr>
            <w:r>
              <w:rPr>
                <w:rFonts w:hint="eastAsia"/>
                <w:color w:val="auto"/>
                <w:sz w:val="24"/>
                <w:szCs w:val="24"/>
                <w:highlight w:val="none"/>
                <w:lang w:eastAsia="zh-CN"/>
              </w:rPr>
              <w:t>（</w:t>
            </w:r>
            <w:r>
              <w:rPr>
                <w:rFonts w:hint="eastAsia"/>
                <w:color w:val="auto"/>
                <w:sz w:val="24"/>
                <w:szCs w:val="24"/>
                <w:highlight w:val="none"/>
                <w:lang w:val="en-US" w:eastAsia="zh-CN"/>
              </w:rPr>
              <w:t>1</w:t>
            </w:r>
            <w:r>
              <w:rPr>
                <w:rFonts w:hint="eastAsia"/>
                <w:color w:val="auto"/>
                <w:sz w:val="24"/>
                <w:szCs w:val="24"/>
                <w:highlight w:val="none"/>
                <w:lang w:eastAsia="zh-CN"/>
              </w:rPr>
              <w:t>）</w:t>
            </w:r>
            <w:r>
              <w:rPr>
                <w:rFonts w:hint="eastAsia" w:ascii="Times New Roman" w:hAnsi="Times New Roman" w:eastAsia="宋体"/>
                <w:color w:val="auto"/>
                <w:sz w:val="24"/>
                <w:szCs w:val="24"/>
                <w:highlight w:val="none"/>
              </w:rPr>
              <w:t>扬尘</w:t>
            </w:r>
          </w:p>
          <w:p w14:paraId="10DA26C2">
            <w:pPr>
              <w:bidi w:val="0"/>
              <w:rPr>
                <w:rFonts w:hint="eastAsia" w:ascii="Times New Roman" w:hAnsi="Times New Roman" w:eastAsia="宋体"/>
                <w:color w:val="auto"/>
                <w:sz w:val="24"/>
                <w:szCs w:val="24"/>
              </w:rPr>
            </w:pPr>
            <w:r>
              <w:rPr>
                <w:rFonts w:hint="eastAsia" w:ascii="Times New Roman" w:hAnsi="Times New Roman" w:eastAsia="宋体"/>
                <w:color w:val="auto"/>
                <w:sz w:val="24"/>
                <w:szCs w:val="24"/>
              </w:rPr>
              <w:t>施工扬尘产生量主要取决于风速、开挖量、运输频次及地表干湿状况。电场区域风速较大，有利于粉尘和大气污染物的扩散，但是多风气象也增加了场地尘土飞扬频次。若在春季施工，风速较大，地表干燥，扬尘量必然很大，将对风电场周围特别是下风向的区域环境空气产生污染，受风蚀作用影响，将造成土壤侵蚀。而夏季施工，因风速较小，加之此季降水较多，地表较潮湿，不易产生扬尘，对区域环境空气质量的影响也相对较小。</w:t>
            </w:r>
          </w:p>
          <w:p w14:paraId="2F3FDAF8">
            <w:pPr>
              <w:bidi w:val="0"/>
              <w:rPr>
                <w:rFonts w:hint="eastAsia" w:ascii="Times New Roman" w:hAnsi="Times New Roman" w:eastAsia="宋体"/>
                <w:color w:val="auto"/>
                <w:sz w:val="24"/>
                <w:szCs w:val="24"/>
                <w:lang w:val="en-US" w:eastAsia="zh-CN"/>
              </w:rPr>
            </w:pPr>
            <w:r>
              <w:rPr>
                <w:rFonts w:hint="eastAsia" w:ascii="Times New Roman" w:hAnsi="Times New Roman" w:eastAsia="宋体"/>
                <w:color w:val="auto"/>
                <w:sz w:val="24"/>
                <w:szCs w:val="24"/>
              </w:rPr>
              <w:t>根据现场调查，</w:t>
            </w:r>
            <w:r>
              <w:rPr>
                <w:rFonts w:hint="eastAsia" w:ascii="Times New Roman" w:hAnsi="Times New Roman" w:eastAsia="宋体"/>
                <w:color w:val="auto"/>
                <w:sz w:val="24"/>
                <w:szCs w:val="24"/>
                <w:lang w:val="en-US" w:eastAsia="zh-CN"/>
              </w:rPr>
              <w:t>距离项目最近的村庄为叠水箐、钻箐和小海德最近距离约为6</w:t>
            </w:r>
            <w:r>
              <w:rPr>
                <w:rFonts w:hint="eastAsia"/>
                <w:color w:val="auto"/>
                <w:sz w:val="24"/>
                <w:szCs w:val="24"/>
                <w:lang w:val="en-US" w:eastAsia="zh-CN"/>
              </w:rPr>
              <w:t>50</w:t>
            </w:r>
            <w:r>
              <w:rPr>
                <w:rFonts w:hint="eastAsia" w:ascii="Times New Roman" w:hAnsi="Times New Roman" w:eastAsia="宋体"/>
                <w:color w:val="auto"/>
                <w:sz w:val="24"/>
                <w:szCs w:val="24"/>
                <w:lang w:val="en-US" w:eastAsia="zh-CN"/>
              </w:rPr>
              <w:t>m，工程施工期间施工场地几乎不会影响到周边村庄。对村庄造成影响的主要来源为运输车辆产生的扬尘，汽车产生的道路扬尘量与车速、车型、车流量、风速、道路表面积尘量、尘土湿度等因素有关。此外，物料拉运或堆放过程中，遮盖不严密也会产生粉尘污染，风电场部分运输道路和进场道路穿过村庄，运输途中产生的扬尘会对居民产生一定影响。</w:t>
            </w:r>
          </w:p>
          <w:p w14:paraId="47DCA759">
            <w:pPr>
              <w:bidi w:val="0"/>
              <w:rPr>
                <w:rFonts w:hint="default" w:ascii="Times New Roman" w:hAnsi="Times New Roman" w:eastAsia="宋体"/>
                <w:color w:val="auto"/>
                <w:sz w:val="24"/>
                <w:szCs w:val="24"/>
                <w:lang w:val="en-US"/>
              </w:rPr>
            </w:pPr>
            <w:r>
              <w:rPr>
                <w:rFonts w:hint="eastAsia" w:ascii="Times New Roman" w:hAnsi="Times New Roman" w:eastAsia="宋体"/>
                <w:color w:val="auto"/>
                <w:sz w:val="24"/>
                <w:szCs w:val="24"/>
                <w:lang w:val="en-US" w:eastAsia="zh-CN"/>
              </w:rPr>
              <w:t>总之，施工期扬尘影响是暂时的，随着施工的完成以及水土保持和生态恢复工程的实施，这些影响也将消失，不会对周围环境产生较大的影响。</w:t>
            </w:r>
          </w:p>
          <w:p w14:paraId="6A2AF2B5">
            <w:pPr>
              <w:bidi w:val="0"/>
              <w:rPr>
                <w:rFonts w:hint="eastAsia" w:ascii="Times New Roman" w:hAnsi="Times New Roman" w:eastAsia="宋体"/>
                <w:color w:val="auto"/>
                <w:sz w:val="24"/>
                <w:szCs w:val="24"/>
              </w:rPr>
            </w:pPr>
            <w:r>
              <w:rPr>
                <w:rFonts w:hint="eastAsia"/>
                <w:color w:val="auto"/>
                <w:sz w:val="24"/>
                <w:szCs w:val="24"/>
                <w:lang w:eastAsia="zh-CN"/>
              </w:rPr>
              <w:t>（</w:t>
            </w:r>
            <w:r>
              <w:rPr>
                <w:rFonts w:hint="eastAsia" w:ascii="Times New Roman" w:hAnsi="Times New Roman" w:eastAsia="宋体"/>
                <w:color w:val="auto"/>
                <w:sz w:val="24"/>
                <w:szCs w:val="24"/>
              </w:rPr>
              <w:t>2）运输车辆、施工机械尾气</w:t>
            </w:r>
          </w:p>
          <w:p w14:paraId="15C78491">
            <w:pPr>
              <w:bidi w:val="0"/>
              <w:rPr>
                <w:rFonts w:hint="eastAsia" w:ascii="Times New Roman" w:hAnsi="Times New Roman" w:eastAsia="宋体"/>
                <w:color w:val="auto"/>
                <w:sz w:val="24"/>
                <w:szCs w:val="24"/>
              </w:rPr>
            </w:pPr>
            <w:r>
              <w:rPr>
                <w:rFonts w:hint="eastAsia" w:ascii="Times New Roman" w:hAnsi="Times New Roman" w:eastAsia="宋体"/>
                <w:color w:val="auto"/>
                <w:sz w:val="24"/>
                <w:szCs w:val="24"/>
              </w:rPr>
              <w:t>施工中运输车辆及施工机械运行产生的废气均是动力燃料柴油和汽油燃烧后所产生，主要成分是烃类、CO和NO</w:t>
            </w:r>
            <w:r>
              <w:rPr>
                <w:rFonts w:hint="eastAsia" w:ascii="Times New Roman" w:hAnsi="Times New Roman" w:eastAsia="宋体"/>
                <w:color w:val="auto"/>
                <w:sz w:val="24"/>
                <w:szCs w:val="24"/>
                <w:vertAlign w:val="subscript"/>
              </w:rPr>
              <w:t>X</w:t>
            </w:r>
            <w:r>
              <w:rPr>
                <w:rFonts w:hint="eastAsia" w:ascii="Times New Roman" w:hAnsi="Times New Roman" w:eastAsia="宋体"/>
                <w:color w:val="auto"/>
                <w:sz w:val="24"/>
                <w:szCs w:val="24"/>
              </w:rPr>
              <w:t>，属间歇性无组织排放。本项目主要通过采用符合环保规范的车辆及器械，从源头上控制尾气的产生量。由于施工期不长，作业范围相对较小，排气量均不是很大，尾气排放点随设备移动呈不固定方式排放，在空气环境中</w:t>
            </w:r>
            <w:r>
              <w:rPr>
                <w:rFonts w:hint="eastAsia"/>
                <w:color w:val="auto"/>
                <w:sz w:val="24"/>
                <w:szCs w:val="24"/>
                <w:lang w:eastAsia="zh-CN"/>
              </w:rPr>
              <w:t>经过</w:t>
            </w:r>
            <w:r>
              <w:rPr>
                <w:rFonts w:hint="eastAsia" w:ascii="Times New Roman" w:hAnsi="Times New Roman" w:eastAsia="宋体"/>
                <w:color w:val="auto"/>
                <w:sz w:val="24"/>
                <w:szCs w:val="24"/>
              </w:rPr>
              <w:t>一定的距离自然扩散、稀释后，不会对当地环境空气质量造成较大影响。</w:t>
            </w:r>
          </w:p>
          <w:p w14:paraId="4CD1A406">
            <w:pPr>
              <w:bidi w:val="0"/>
              <w:rPr>
                <w:rFonts w:hint="eastAsia" w:eastAsia="宋体"/>
                <w:color w:val="auto"/>
                <w:lang w:val="en-US" w:eastAsia="zh-CN"/>
              </w:rPr>
            </w:pPr>
            <w:r>
              <w:rPr>
                <w:rFonts w:hint="eastAsia" w:ascii="Times New Roman" w:hAnsi="Times New Roman" w:eastAsia="宋体"/>
                <w:color w:val="auto"/>
                <w:sz w:val="24"/>
                <w:szCs w:val="24"/>
              </w:rPr>
              <w:t>总之，施工期</w:t>
            </w:r>
            <w:r>
              <w:rPr>
                <w:rFonts w:hint="eastAsia" w:ascii="Times New Roman" w:hAnsi="Times New Roman" w:eastAsia="宋体"/>
                <w:color w:val="auto"/>
                <w:sz w:val="24"/>
                <w:szCs w:val="24"/>
                <w:lang w:val="en-US" w:eastAsia="zh-CN"/>
              </w:rPr>
              <w:t>对周边环境空气造成的</w:t>
            </w:r>
            <w:r>
              <w:rPr>
                <w:rFonts w:hint="eastAsia" w:ascii="Times New Roman" w:hAnsi="Times New Roman" w:eastAsia="宋体"/>
                <w:color w:val="auto"/>
                <w:sz w:val="24"/>
                <w:szCs w:val="24"/>
              </w:rPr>
              <w:t>影响是暂时的，随着施工的完成以及水土保持和生态恢复工程的实施，这些影响也将消失，不会对周围环境产生较大的</w:t>
            </w:r>
            <w:r>
              <w:rPr>
                <w:rFonts w:hint="eastAsia" w:ascii="Times New Roman" w:hAnsi="Times New Roman" w:eastAsia="宋体"/>
                <w:color w:val="auto"/>
                <w:sz w:val="24"/>
                <w:szCs w:val="24"/>
                <w:lang w:val="en-US" w:eastAsia="zh-CN"/>
              </w:rPr>
              <w:t>影响。</w:t>
            </w:r>
          </w:p>
          <w:p w14:paraId="4FABE855">
            <w:pPr>
              <w:bidi w:val="0"/>
              <w:ind w:left="0" w:leftChars="0" w:firstLine="0" w:firstLineChars="0"/>
              <w:rPr>
                <w:rFonts w:hint="eastAsia"/>
                <w:b/>
                <w:bCs/>
                <w:color w:val="auto"/>
              </w:rPr>
            </w:pPr>
            <w:r>
              <w:rPr>
                <w:rFonts w:hint="eastAsia"/>
                <w:b/>
                <w:bCs/>
                <w:color w:val="auto"/>
                <w:lang w:val="en-US" w:eastAsia="zh-CN"/>
              </w:rPr>
              <w:t>4.</w:t>
            </w:r>
            <w:r>
              <w:rPr>
                <w:rFonts w:hint="eastAsia"/>
                <w:b/>
                <w:bCs/>
                <w:color w:val="auto"/>
              </w:rPr>
              <w:t>施工期废水环境影响分析</w:t>
            </w:r>
          </w:p>
          <w:p w14:paraId="041C694F">
            <w:pPr>
              <w:keepNext w:val="0"/>
              <w:keepLines w:val="0"/>
              <w:pageBreakBefore w:val="0"/>
              <w:kinsoku/>
              <w:wordWrap/>
              <w:overflowPunct/>
              <w:topLinePunct w:val="0"/>
              <w:bidi w:val="0"/>
              <w:adjustRightInd w:val="0"/>
              <w:snapToGrid w:val="0"/>
              <w:spacing w:line="360" w:lineRule="auto"/>
              <w:ind w:firstLine="420"/>
              <w:rPr>
                <w:rFonts w:hint="eastAsia" w:ascii="Times New Roman" w:hAnsi="Times New Roman" w:eastAsia="宋体"/>
                <w:color w:val="auto"/>
                <w:sz w:val="24"/>
                <w:szCs w:val="24"/>
              </w:rPr>
            </w:pPr>
            <w:r>
              <w:rPr>
                <w:rFonts w:hint="eastAsia" w:ascii="Times New Roman" w:hAnsi="Times New Roman" w:eastAsia="宋体"/>
                <w:color w:val="auto"/>
                <w:sz w:val="24"/>
                <w:szCs w:val="24"/>
              </w:rPr>
              <w:t>（1）施工期地表水环境影响分析</w:t>
            </w:r>
          </w:p>
          <w:p w14:paraId="11695B65">
            <w:pPr>
              <w:keepNext w:val="0"/>
              <w:keepLines w:val="0"/>
              <w:pageBreakBefore w:val="0"/>
              <w:kinsoku/>
              <w:wordWrap/>
              <w:overflowPunct/>
              <w:topLinePunct w:val="0"/>
              <w:bidi w:val="0"/>
              <w:adjustRightInd w:val="0"/>
              <w:snapToGrid w:val="0"/>
              <w:spacing w:line="360" w:lineRule="auto"/>
              <w:ind w:firstLine="420"/>
              <w:rPr>
                <w:rFonts w:hint="eastAsia" w:ascii="Times New Roman" w:hAnsi="Times New Roman" w:eastAsia="宋体"/>
                <w:color w:val="auto"/>
                <w:sz w:val="24"/>
                <w:szCs w:val="24"/>
              </w:rPr>
            </w:pPr>
            <w:r>
              <w:rPr>
                <w:rFonts w:hint="eastAsia" w:ascii="Times New Roman" w:hAnsi="Times New Roman" w:eastAsia="宋体"/>
                <w:color w:val="auto"/>
                <w:sz w:val="24"/>
                <w:szCs w:val="24"/>
              </w:rPr>
              <w:t>施工期废水主要是施工废水和施工人员生活污水。</w:t>
            </w:r>
          </w:p>
          <w:p w14:paraId="639C8AD0">
            <w:pPr>
              <w:keepNext w:val="0"/>
              <w:keepLines w:val="0"/>
              <w:pageBreakBefore w:val="0"/>
              <w:kinsoku/>
              <w:wordWrap/>
              <w:overflowPunct/>
              <w:topLinePunct w:val="0"/>
              <w:bidi w:val="0"/>
              <w:adjustRightInd w:val="0"/>
              <w:snapToGrid w:val="0"/>
              <w:spacing w:line="360" w:lineRule="auto"/>
              <w:ind w:firstLine="420"/>
              <w:rPr>
                <w:rFonts w:hint="eastAsia" w:ascii="Times New Roman" w:hAnsi="Times New Roman" w:eastAsia="宋体"/>
                <w:color w:val="auto"/>
                <w:sz w:val="24"/>
                <w:szCs w:val="24"/>
              </w:rPr>
            </w:pPr>
            <w:r>
              <w:rPr>
                <w:rFonts w:hint="eastAsia" w:ascii="Times New Roman" w:hAnsi="Times New Roman" w:eastAsia="宋体"/>
                <w:color w:val="auto"/>
                <w:sz w:val="24"/>
                <w:szCs w:val="24"/>
              </w:rPr>
              <w:t>1）施工废水</w:t>
            </w:r>
          </w:p>
          <w:p w14:paraId="0F68D91C">
            <w:pPr>
              <w:keepNext w:val="0"/>
              <w:keepLines w:val="0"/>
              <w:pageBreakBefore w:val="0"/>
              <w:kinsoku/>
              <w:wordWrap/>
              <w:overflowPunct/>
              <w:topLinePunct w:val="0"/>
              <w:bidi w:val="0"/>
              <w:adjustRightInd w:val="0"/>
              <w:snapToGrid w:val="0"/>
              <w:spacing w:line="360" w:lineRule="auto"/>
              <w:ind w:firstLine="420"/>
              <w:rPr>
                <w:rFonts w:hint="default"/>
                <w:color w:val="auto"/>
                <w:lang w:val="en-US" w:eastAsia="zh-CN"/>
              </w:rPr>
            </w:pPr>
            <w:r>
              <w:rPr>
                <w:rFonts w:hint="eastAsia" w:ascii="Times New Roman" w:hAnsi="Times New Roman" w:eastAsia="宋体"/>
                <w:color w:val="auto"/>
                <w:sz w:val="24"/>
                <w:szCs w:val="24"/>
              </w:rPr>
              <w:t>本工程使用商品混凝土，不设置砂石料加工系统和混凝土</w:t>
            </w:r>
            <w:r>
              <w:rPr>
                <w:rFonts w:hint="eastAsia"/>
                <w:color w:val="auto"/>
                <w:sz w:val="24"/>
                <w:szCs w:val="24"/>
                <w:lang w:eastAsia="zh-CN"/>
              </w:rPr>
              <w:t>拌和站</w:t>
            </w:r>
            <w:r>
              <w:rPr>
                <w:rFonts w:hint="eastAsia" w:ascii="Times New Roman" w:hAnsi="Times New Roman" w:eastAsia="宋体"/>
                <w:color w:val="auto"/>
                <w:sz w:val="24"/>
                <w:szCs w:val="24"/>
              </w:rPr>
              <w:t>，无砂石料冲洗废水和混凝土</w:t>
            </w:r>
            <w:r>
              <w:rPr>
                <w:rFonts w:hint="eastAsia"/>
                <w:color w:val="auto"/>
                <w:sz w:val="24"/>
                <w:szCs w:val="24"/>
                <w:lang w:eastAsia="zh-CN"/>
              </w:rPr>
              <w:t>拌和</w:t>
            </w:r>
            <w:r>
              <w:rPr>
                <w:rFonts w:hint="eastAsia" w:ascii="Times New Roman" w:hAnsi="Times New Roman" w:eastAsia="宋体"/>
                <w:color w:val="auto"/>
                <w:sz w:val="24"/>
                <w:szCs w:val="24"/>
              </w:rPr>
              <w:t>废水产生。本工程施工过程仅会产生少量的施工机械设备冲洗废水，施工废水的产生时间不连续、产生量较小，污染物主要为SS。参照类似工程机械设备冲洗废水产生量，本项目施工废水量约为</w:t>
            </w:r>
            <w:r>
              <w:rPr>
                <w:rFonts w:hint="eastAsia"/>
                <w:color w:val="auto"/>
                <w:sz w:val="24"/>
                <w:szCs w:val="24"/>
                <w:lang w:val="en-US" w:eastAsia="zh-CN"/>
              </w:rPr>
              <w:t>2.5</w:t>
            </w:r>
            <w:r>
              <w:rPr>
                <w:rFonts w:hint="eastAsia" w:ascii="Times New Roman" w:hAnsi="Times New Roman" w:eastAsia="宋体"/>
                <w:color w:val="auto"/>
                <w:sz w:val="24"/>
                <w:szCs w:val="24"/>
              </w:rPr>
              <w:t>m</w:t>
            </w:r>
            <w:r>
              <w:rPr>
                <w:rFonts w:hint="eastAsia" w:ascii="Times New Roman" w:hAnsi="Times New Roman" w:eastAsia="宋体"/>
                <w:color w:val="auto"/>
                <w:sz w:val="24"/>
                <w:szCs w:val="24"/>
                <w:vertAlign w:val="superscript"/>
              </w:rPr>
              <w:t>3</w:t>
            </w:r>
            <w:r>
              <w:rPr>
                <w:rFonts w:hint="eastAsia" w:ascii="Times New Roman" w:hAnsi="Times New Roman" w:eastAsia="宋体"/>
                <w:color w:val="auto"/>
                <w:sz w:val="24"/>
                <w:szCs w:val="24"/>
              </w:rPr>
              <w:t>/d。本项目施工废水不含有毒物质，主要是泥沙悬浮物含量较大。</w:t>
            </w:r>
            <w:r>
              <w:rPr>
                <w:rFonts w:hint="eastAsia"/>
                <w:color w:val="auto"/>
                <w:sz w:val="24"/>
                <w:szCs w:val="24"/>
                <w:lang w:val="en-US" w:eastAsia="zh-CN"/>
              </w:rPr>
              <w:t>在XZB02和XZB16风机吊装平台空地处各设置1座</w:t>
            </w:r>
            <w:r>
              <w:rPr>
                <w:rFonts w:hint="eastAsia" w:ascii="Times New Roman" w:hAnsi="Times New Roman" w:eastAsia="宋体"/>
                <w:color w:val="auto"/>
                <w:sz w:val="24"/>
                <w:szCs w:val="24"/>
              </w:rPr>
              <w:t>3m</w:t>
            </w:r>
            <w:r>
              <w:rPr>
                <w:rFonts w:hint="eastAsia" w:ascii="Times New Roman" w:hAnsi="Times New Roman" w:eastAsia="宋体"/>
                <w:color w:val="auto"/>
                <w:sz w:val="24"/>
                <w:szCs w:val="24"/>
                <w:vertAlign w:val="superscript"/>
              </w:rPr>
              <w:t>3</w:t>
            </w:r>
            <w:r>
              <w:rPr>
                <w:rFonts w:hint="eastAsia" w:ascii="Times New Roman" w:hAnsi="Times New Roman" w:eastAsia="宋体"/>
                <w:color w:val="auto"/>
                <w:sz w:val="24"/>
                <w:szCs w:val="24"/>
              </w:rPr>
              <w:t>的施工</w:t>
            </w:r>
            <w:r>
              <w:rPr>
                <w:rFonts w:hint="eastAsia"/>
                <w:color w:val="auto"/>
                <w:sz w:val="24"/>
                <w:szCs w:val="24"/>
                <w:lang w:val="en-US" w:eastAsia="zh-CN"/>
              </w:rPr>
              <w:t>临时沉淀池，</w:t>
            </w:r>
            <w:r>
              <w:rPr>
                <w:rFonts w:hint="eastAsia" w:ascii="Times New Roman" w:hAnsi="Times New Roman" w:eastAsia="宋体"/>
                <w:color w:val="auto"/>
                <w:sz w:val="24"/>
                <w:szCs w:val="24"/>
              </w:rPr>
              <w:t>施工废水经临时沉淀池沉淀后回用于洒水降尘，不外排，对周边水环境影响小。项目在</w:t>
            </w:r>
            <w:r>
              <w:rPr>
                <w:rFonts w:hint="eastAsia"/>
                <w:color w:val="auto"/>
                <w:sz w:val="24"/>
                <w:szCs w:val="24"/>
                <w:lang w:val="en-US" w:eastAsia="zh-CN"/>
              </w:rPr>
              <w:t>现有西泽风电场</w:t>
            </w:r>
            <w:r>
              <w:rPr>
                <w:rFonts w:hint="eastAsia" w:ascii="Times New Roman" w:hAnsi="Times New Roman" w:eastAsia="宋体"/>
                <w:color w:val="auto"/>
                <w:sz w:val="24"/>
                <w:szCs w:val="24"/>
              </w:rPr>
              <w:t>升压站</w:t>
            </w:r>
            <w:r>
              <w:rPr>
                <w:rFonts w:hint="eastAsia"/>
                <w:color w:val="auto"/>
                <w:sz w:val="24"/>
                <w:szCs w:val="24"/>
                <w:lang w:val="en-US" w:eastAsia="zh-CN"/>
              </w:rPr>
              <w:t>2#主变区域</w:t>
            </w:r>
            <w:r>
              <w:rPr>
                <w:rFonts w:hint="eastAsia" w:ascii="Times New Roman" w:hAnsi="Times New Roman" w:eastAsia="宋体"/>
                <w:color w:val="auto"/>
                <w:sz w:val="24"/>
                <w:szCs w:val="24"/>
              </w:rPr>
              <w:t>设置一座3m</w:t>
            </w:r>
            <w:r>
              <w:rPr>
                <w:rFonts w:hint="eastAsia" w:ascii="Times New Roman" w:hAnsi="Times New Roman" w:eastAsia="宋体"/>
                <w:color w:val="auto"/>
                <w:sz w:val="24"/>
                <w:szCs w:val="24"/>
                <w:vertAlign w:val="superscript"/>
              </w:rPr>
              <w:t>3</w:t>
            </w:r>
            <w:r>
              <w:rPr>
                <w:rFonts w:hint="eastAsia" w:ascii="Times New Roman" w:hAnsi="Times New Roman" w:eastAsia="宋体"/>
                <w:color w:val="auto"/>
                <w:sz w:val="24"/>
                <w:szCs w:val="24"/>
              </w:rPr>
              <w:t>的施工临时沉淀池，施工废水经沉淀处理后回用于施工场地洒水降尘。</w:t>
            </w:r>
            <w:r>
              <w:rPr>
                <w:rFonts w:hint="eastAsia"/>
                <w:color w:val="auto"/>
                <w:sz w:val="24"/>
                <w:szCs w:val="24"/>
                <w:lang w:val="en-US" w:eastAsia="zh-CN"/>
              </w:rPr>
              <w:t>X</w:t>
            </w:r>
            <w:r>
              <w:rPr>
                <w:rFonts w:hint="eastAsia"/>
                <w:color w:val="auto"/>
                <w:lang w:val="en-US" w:eastAsia="zh-CN"/>
              </w:rPr>
              <w:t>ZB16风机平台径流区有一座双菱角水库，施工期废水不外排，做好风机平台的水土保持措施后几乎对水库无影响。</w:t>
            </w:r>
          </w:p>
          <w:p w14:paraId="2DD9DD57">
            <w:pPr>
              <w:keepNext w:val="0"/>
              <w:keepLines w:val="0"/>
              <w:pageBreakBefore w:val="0"/>
              <w:kinsoku/>
              <w:wordWrap/>
              <w:overflowPunct/>
              <w:topLinePunct w:val="0"/>
              <w:bidi w:val="0"/>
              <w:adjustRightInd w:val="0"/>
              <w:snapToGrid w:val="0"/>
              <w:spacing w:line="360" w:lineRule="auto"/>
              <w:ind w:firstLine="420"/>
              <w:rPr>
                <w:rFonts w:hint="eastAsia" w:ascii="Times New Roman" w:hAnsi="Times New Roman" w:eastAsia="宋体"/>
                <w:color w:val="auto"/>
                <w:sz w:val="24"/>
                <w:szCs w:val="24"/>
              </w:rPr>
            </w:pPr>
            <w:r>
              <w:rPr>
                <w:rFonts w:hint="eastAsia" w:ascii="Times New Roman" w:hAnsi="Times New Roman" w:eastAsia="宋体"/>
                <w:color w:val="auto"/>
                <w:sz w:val="24"/>
                <w:szCs w:val="24"/>
              </w:rPr>
              <w:t>2）生活污水</w:t>
            </w:r>
          </w:p>
          <w:p w14:paraId="6E43A946">
            <w:pPr>
              <w:keepNext w:val="0"/>
              <w:keepLines w:val="0"/>
              <w:pageBreakBefore w:val="0"/>
              <w:kinsoku/>
              <w:wordWrap/>
              <w:overflowPunct/>
              <w:topLinePunct w:val="0"/>
              <w:bidi w:val="0"/>
              <w:adjustRightInd w:val="0"/>
              <w:snapToGrid w:val="0"/>
              <w:spacing w:line="360" w:lineRule="auto"/>
              <w:ind w:firstLine="420"/>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本项目生活废水主要来源于施工人员日常生活产生的污水，根据建设单位提供资料，项目施工期平均每天约</w:t>
            </w:r>
            <w:r>
              <w:rPr>
                <w:rFonts w:hint="eastAsia"/>
                <w:color w:val="auto"/>
                <w:sz w:val="24"/>
                <w:szCs w:val="24"/>
                <w:highlight w:val="none"/>
                <w:lang w:val="en-US" w:eastAsia="zh-CN"/>
              </w:rPr>
              <w:t>20</w:t>
            </w:r>
            <w:r>
              <w:rPr>
                <w:rFonts w:hint="eastAsia" w:ascii="Times New Roman" w:hAnsi="Times New Roman" w:eastAsia="宋体"/>
                <w:color w:val="auto"/>
                <w:sz w:val="24"/>
                <w:szCs w:val="24"/>
                <w:highlight w:val="none"/>
              </w:rPr>
              <w:t>人，施工工人均为当地村民。</w:t>
            </w:r>
          </w:p>
          <w:p w14:paraId="186061F3">
            <w:pPr>
              <w:keepNext w:val="0"/>
              <w:keepLines w:val="0"/>
              <w:pageBreakBefore w:val="0"/>
              <w:kinsoku/>
              <w:wordWrap/>
              <w:overflowPunct/>
              <w:topLinePunct w:val="0"/>
              <w:bidi w:val="0"/>
              <w:adjustRightInd w:val="0"/>
              <w:snapToGrid w:val="0"/>
              <w:spacing w:line="360" w:lineRule="auto"/>
              <w:ind w:firstLine="420"/>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根据《云南省地方标准用水定额》（DB53/T168-20</w:t>
            </w:r>
            <w:r>
              <w:rPr>
                <w:rFonts w:hint="eastAsia"/>
                <w:color w:val="auto"/>
                <w:sz w:val="24"/>
                <w:szCs w:val="24"/>
                <w:highlight w:val="none"/>
                <w:lang w:val="en-US" w:eastAsia="zh-CN"/>
              </w:rPr>
              <w:t>26</w:t>
            </w:r>
            <w:r>
              <w:rPr>
                <w:rFonts w:hint="eastAsia" w:ascii="Times New Roman" w:hAnsi="Times New Roman" w:eastAsia="宋体"/>
                <w:color w:val="auto"/>
                <w:sz w:val="24"/>
                <w:szCs w:val="24"/>
                <w:highlight w:val="none"/>
              </w:rPr>
              <w:t>），本项目位于</w:t>
            </w:r>
            <w:r>
              <w:rPr>
                <w:rFonts w:hint="eastAsia"/>
                <w:color w:val="auto"/>
                <w:sz w:val="24"/>
                <w:szCs w:val="24"/>
                <w:highlight w:val="none"/>
                <w:lang w:val="en-US" w:eastAsia="zh-CN"/>
              </w:rPr>
              <w:t>宣威市</w:t>
            </w:r>
            <w:r>
              <w:rPr>
                <w:rFonts w:hint="eastAsia" w:ascii="Times New Roman" w:hAnsi="Times New Roman" w:eastAsia="宋体"/>
                <w:color w:val="auto"/>
                <w:sz w:val="24"/>
                <w:szCs w:val="24"/>
                <w:highlight w:val="none"/>
              </w:rPr>
              <w:t>农村地区，农村居民生活用水定额（亚热带区，分散供水）为40~55</w:t>
            </w:r>
            <w:r>
              <w:rPr>
                <w:rFonts w:hint="eastAsia"/>
                <w:color w:val="auto"/>
                <w:sz w:val="24"/>
                <w:szCs w:val="24"/>
                <w:highlight w:val="none"/>
                <w:lang w:eastAsia="zh-CN"/>
              </w:rPr>
              <w:t>（</w:t>
            </w:r>
            <w:r>
              <w:rPr>
                <w:rFonts w:hint="eastAsia" w:ascii="Times New Roman" w:hAnsi="Times New Roman" w:eastAsia="宋体"/>
                <w:color w:val="auto"/>
                <w:sz w:val="24"/>
                <w:szCs w:val="24"/>
                <w:highlight w:val="none"/>
              </w:rPr>
              <w:t>L/d▪人</w:t>
            </w:r>
            <w:r>
              <w:rPr>
                <w:rFonts w:hint="eastAsia"/>
                <w:color w:val="auto"/>
                <w:sz w:val="24"/>
                <w:szCs w:val="24"/>
                <w:highlight w:val="none"/>
                <w:lang w:eastAsia="zh-CN"/>
              </w:rPr>
              <w:t>）</w:t>
            </w:r>
            <w:r>
              <w:rPr>
                <w:rFonts w:hint="eastAsia" w:ascii="Times New Roman" w:hAnsi="Times New Roman" w:eastAsia="宋体"/>
                <w:color w:val="auto"/>
                <w:sz w:val="24"/>
                <w:szCs w:val="24"/>
                <w:highlight w:val="none"/>
              </w:rPr>
              <w:t>；施工人员日常生活用水按55</w:t>
            </w:r>
            <w:r>
              <w:rPr>
                <w:rFonts w:hint="eastAsia"/>
                <w:color w:val="auto"/>
                <w:sz w:val="24"/>
                <w:szCs w:val="24"/>
                <w:highlight w:val="none"/>
                <w:lang w:eastAsia="zh-CN"/>
              </w:rPr>
              <w:t>（</w:t>
            </w:r>
            <w:r>
              <w:rPr>
                <w:rFonts w:hint="eastAsia" w:ascii="Times New Roman" w:hAnsi="Times New Roman" w:eastAsia="宋体"/>
                <w:color w:val="auto"/>
                <w:sz w:val="24"/>
                <w:szCs w:val="24"/>
                <w:highlight w:val="none"/>
              </w:rPr>
              <w:t>L/d▪人</w:t>
            </w:r>
            <w:r>
              <w:rPr>
                <w:rFonts w:hint="eastAsia"/>
                <w:color w:val="auto"/>
                <w:sz w:val="24"/>
                <w:szCs w:val="24"/>
                <w:highlight w:val="none"/>
                <w:lang w:eastAsia="zh-CN"/>
              </w:rPr>
              <w:t>）</w:t>
            </w:r>
            <w:r>
              <w:rPr>
                <w:rFonts w:hint="eastAsia" w:ascii="Times New Roman" w:hAnsi="Times New Roman" w:eastAsia="宋体"/>
                <w:color w:val="auto"/>
                <w:sz w:val="24"/>
                <w:szCs w:val="24"/>
                <w:highlight w:val="none"/>
              </w:rPr>
              <w:t>计；平均每天施工人员约</w:t>
            </w:r>
            <w:r>
              <w:rPr>
                <w:rFonts w:hint="eastAsia"/>
                <w:color w:val="auto"/>
                <w:sz w:val="24"/>
                <w:szCs w:val="24"/>
                <w:highlight w:val="none"/>
                <w:lang w:val="en-US" w:eastAsia="zh-CN"/>
              </w:rPr>
              <w:t>2</w:t>
            </w:r>
            <w:r>
              <w:rPr>
                <w:rFonts w:hint="eastAsia" w:ascii="Times New Roman" w:hAnsi="Times New Roman" w:eastAsia="宋体"/>
                <w:color w:val="auto"/>
                <w:sz w:val="24"/>
                <w:szCs w:val="24"/>
                <w:highlight w:val="none"/>
              </w:rPr>
              <w:t>0人，生活用水量为</w:t>
            </w:r>
            <w:r>
              <w:rPr>
                <w:rFonts w:hint="eastAsia"/>
                <w:color w:val="auto"/>
                <w:sz w:val="24"/>
                <w:szCs w:val="24"/>
                <w:highlight w:val="none"/>
                <w:lang w:val="en-US" w:eastAsia="zh-CN"/>
              </w:rPr>
              <w:t>1.1</w:t>
            </w:r>
            <w:r>
              <w:rPr>
                <w:rFonts w:hint="eastAsia" w:ascii="Times New Roman" w:hAnsi="Times New Roman" w:eastAsia="宋体"/>
                <w:color w:val="auto"/>
                <w:sz w:val="24"/>
                <w:szCs w:val="24"/>
                <w:highlight w:val="none"/>
              </w:rPr>
              <w:t>m</w:t>
            </w:r>
            <w:r>
              <w:rPr>
                <w:rFonts w:hint="eastAsia" w:ascii="Times New Roman" w:hAnsi="Times New Roman" w:eastAsia="宋体"/>
                <w:color w:val="auto"/>
                <w:sz w:val="24"/>
                <w:szCs w:val="24"/>
                <w:highlight w:val="none"/>
                <w:vertAlign w:val="superscript"/>
              </w:rPr>
              <w:t>3</w:t>
            </w:r>
            <w:r>
              <w:rPr>
                <w:rFonts w:hint="eastAsia" w:ascii="Times New Roman" w:hAnsi="Times New Roman" w:eastAsia="宋体"/>
                <w:color w:val="auto"/>
                <w:sz w:val="24"/>
                <w:szCs w:val="24"/>
                <w:highlight w:val="none"/>
              </w:rPr>
              <w:t>/d，产污系数按0.8计，则产生生活污水约</w:t>
            </w:r>
            <w:r>
              <w:rPr>
                <w:rFonts w:hint="eastAsia"/>
                <w:color w:val="auto"/>
                <w:sz w:val="24"/>
                <w:szCs w:val="24"/>
                <w:highlight w:val="none"/>
                <w:lang w:val="en-US" w:eastAsia="zh-CN"/>
              </w:rPr>
              <w:t>0.88</w:t>
            </w:r>
            <w:r>
              <w:rPr>
                <w:rFonts w:hint="eastAsia" w:ascii="Times New Roman" w:hAnsi="Times New Roman" w:eastAsia="宋体"/>
                <w:color w:val="auto"/>
                <w:sz w:val="24"/>
                <w:szCs w:val="24"/>
                <w:highlight w:val="none"/>
              </w:rPr>
              <w:t>m</w:t>
            </w:r>
            <w:r>
              <w:rPr>
                <w:rFonts w:hint="eastAsia" w:ascii="Times New Roman" w:hAnsi="Times New Roman" w:eastAsia="宋体"/>
                <w:color w:val="auto"/>
                <w:sz w:val="24"/>
                <w:szCs w:val="24"/>
                <w:highlight w:val="none"/>
                <w:vertAlign w:val="superscript"/>
              </w:rPr>
              <w:t>3</w:t>
            </w:r>
            <w:r>
              <w:rPr>
                <w:rFonts w:hint="eastAsia" w:ascii="Times New Roman" w:hAnsi="Times New Roman" w:eastAsia="宋体"/>
                <w:color w:val="auto"/>
                <w:sz w:val="24"/>
                <w:szCs w:val="24"/>
                <w:highlight w:val="none"/>
              </w:rPr>
              <w:t>/d。</w:t>
            </w:r>
          </w:p>
          <w:p w14:paraId="14D8BDB0">
            <w:pPr>
              <w:keepNext w:val="0"/>
              <w:keepLines w:val="0"/>
              <w:pageBreakBefore w:val="0"/>
              <w:kinsoku/>
              <w:wordWrap/>
              <w:overflowPunct/>
              <w:topLinePunct w:val="0"/>
              <w:bidi w:val="0"/>
              <w:adjustRightInd w:val="0"/>
              <w:snapToGrid w:val="0"/>
              <w:spacing w:line="360" w:lineRule="auto"/>
              <w:ind w:firstLine="420"/>
              <w:rPr>
                <w:rFonts w:hint="default" w:ascii="Times New Roman" w:hAnsi="Times New Roman" w:eastAsia="宋体"/>
                <w:color w:val="auto"/>
                <w:sz w:val="24"/>
                <w:szCs w:val="24"/>
                <w:lang w:val="en-US" w:eastAsia="zh-CN"/>
              </w:rPr>
            </w:pPr>
            <w:r>
              <w:rPr>
                <w:rFonts w:hint="eastAsia" w:ascii="Times New Roman" w:hAnsi="Times New Roman" w:eastAsia="宋体"/>
                <w:color w:val="auto"/>
                <w:sz w:val="24"/>
                <w:szCs w:val="24"/>
              </w:rPr>
              <w:t>由于本工程施工工人主要为周边村民，其食宿均依托自家民房，</w:t>
            </w:r>
            <w:r>
              <w:rPr>
                <w:rFonts w:hint="eastAsia"/>
                <w:color w:val="auto"/>
                <w:sz w:val="24"/>
                <w:szCs w:val="24"/>
                <w:lang w:val="en-US" w:eastAsia="zh-CN"/>
              </w:rPr>
              <w:t>风机区域施工人员施工时段产生的</w:t>
            </w:r>
            <w:r>
              <w:rPr>
                <w:rFonts w:hint="eastAsia" w:ascii="Times New Roman" w:hAnsi="Times New Roman" w:eastAsia="宋体"/>
                <w:color w:val="auto"/>
                <w:sz w:val="24"/>
                <w:szCs w:val="24"/>
              </w:rPr>
              <w:t>生活污水依托自建既有的环保设施（旱厕）收集后用作农肥；环评要求：在施工现场的风机平台设备临时堆放场地区域设置临时旱厕（移动式旱厕），用于收集施工现场人员产生的粪便，定期清运用作植被恢复和场地绿化肥料，并在工程结束后进行拆除。</w:t>
            </w:r>
            <w:r>
              <w:rPr>
                <w:rFonts w:hint="eastAsia"/>
                <w:color w:val="auto"/>
                <w:sz w:val="24"/>
                <w:szCs w:val="24"/>
                <w:lang w:val="en-US" w:eastAsia="zh-CN"/>
              </w:rPr>
              <w:t>升压站区域施工人员施工时段产生的生活污水依托现有污水处理设施收集处理后回用，不外排。</w:t>
            </w:r>
          </w:p>
          <w:p w14:paraId="08B9D55B">
            <w:pPr>
              <w:keepNext w:val="0"/>
              <w:keepLines w:val="0"/>
              <w:pageBreakBefore w:val="0"/>
              <w:kinsoku/>
              <w:wordWrap/>
              <w:overflowPunct/>
              <w:topLinePunct w:val="0"/>
              <w:bidi w:val="0"/>
              <w:adjustRightInd w:val="0"/>
              <w:snapToGrid w:val="0"/>
              <w:spacing w:line="360" w:lineRule="auto"/>
              <w:ind w:firstLine="420"/>
              <w:rPr>
                <w:rFonts w:hint="eastAsia" w:ascii="Times New Roman" w:hAnsi="Times New Roman" w:eastAsia="宋体"/>
                <w:color w:val="auto"/>
                <w:sz w:val="24"/>
                <w:szCs w:val="24"/>
              </w:rPr>
            </w:pPr>
            <w:r>
              <w:rPr>
                <w:rFonts w:hint="eastAsia" w:ascii="Times New Roman" w:hAnsi="Times New Roman" w:eastAsia="宋体"/>
                <w:color w:val="auto"/>
                <w:sz w:val="24"/>
                <w:szCs w:val="24"/>
              </w:rPr>
              <w:t>施工期产生的生活污水不外排，不会对环境造成明显的不利影响。</w:t>
            </w:r>
          </w:p>
          <w:p w14:paraId="25354631">
            <w:pPr>
              <w:keepNext w:val="0"/>
              <w:keepLines w:val="0"/>
              <w:pageBreakBefore w:val="0"/>
              <w:kinsoku/>
              <w:wordWrap/>
              <w:overflowPunct/>
              <w:topLinePunct w:val="0"/>
              <w:bidi w:val="0"/>
              <w:adjustRightInd w:val="0"/>
              <w:snapToGrid w:val="0"/>
              <w:spacing w:line="360" w:lineRule="auto"/>
              <w:ind w:firstLine="420"/>
              <w:rPr>
                <w:rFonts w:hint="eastAsia" w:ascii="Times New Roman" w:hAnsi="Times New Roman" w:eastAsia="宋体"/>
                <w:color w:val="auto"/>
                <w:sz w:val="24"/>
                <w:szCs w:val="24"/>
              </w:rPr>
            </w:pPr>
            <w:r>
              <w:rPr>
                <w:rFonts w:hint="eastAsia" w:ascii="Times New Roman" w:hAnsi="Times New Roman" w:eastAsia="宋体"/>
                <w:color w:val="auto"/>
                <w:sz w:val="24"/>
                <w:szCs w:val="24"/>
              </w:rPr>
              <w:t>（2）施工期地下水环境影响分析</w:t>
            </w:r>
          </w:p>
          <w:p w14:paraId="59634543">
            <w:pPr>
              <w:keepNext w:val="0"/>
              <w:keepLines w:val="0"/>
              <w:pageBreakBefore w:val="0"/>
              <w:kinsoku/>
              <w:wordWrap/>
              <w:overflowPunct/>
              <w:topLinePunct w:val="0"/>
              <w:bidi w:val="0"/>
              <w:adjustRightInd w:val="0"/>
              <w:snapToGrid w:val="0"/>
              <w:spacing w:line="360" w:lineRule="auto"/>
              <w:ind w:firstLine="420"/>
              <w:rPr>
                <w:rFonts w:hint="eastAsia" w:ascii="Times New Roman" w:hAnsi="Times New Roman" w:eastAsia="宋体"/>
                <w:color w:val="auto"/>
                <w:sz w:val="24"/>
                <w:szCs w:val="24"/>
              </w:rPr>
            </w:pPr>
            <w:r>
              <w:rPr>
                <w:rFonts w:hint="eastAsia" w:ascii="Times New Roman" w:hAnsi="Times New Roman" w:eastAsia="宋体"/>
                <w:color w:val="auto"/>
                <w:sz w:val="24"/>
                <w:szCs w:val="24"/>
              </w:rPr>
              <w:t>根据风电场工程建设特点，项目施工对地下水环境的影响</w:t>
            </w:r>
            <w:r>
              <w:rPr>
                <w:rFonts w:hint="eastAsia"/>
                <w:color w:val="auto"/>
                <w:sz w:val="24"/>
                <w:szCs w:val="24"/>
                <w:lang w:eastAsia="zh-CN"/>
              </w:rPr>
              <w:t>主要</w:t>
            </w:r>
            <w:r>
              <w:rPr>
                <w:rFonts w:hint="eastAsia" w:ascii="Times New Roman" w:hAnsi="Times New Roman" w:eastAsia="宋体"/>
                <w:color w:val="auto"/>
                <w:sz w:val="24"/>
                <w:szCs w:val="24"/>
              </w:rPr>
              <w:t>表现为各构筑物基础施工工作面开挖对地下水的疏排作用以及施工废水进入含水层对地下水水质的污染。</w:t>
            </w:r>
          </w:p>
          <w:p w14:paraId="5C789DCF">
            <w:pPr>
              <w:keepNext w:val="0"/>
              <w:keepLines w:val="0"/>
              <w:pageBreakBefore w:val="0"/>
              <w:kinsoku/>
              <w:wordWrap/>
              <w:overflowPunct/>
              <w:topLinePunct w:val="0"/>
              <w:bidi w:val="0"/>
              <w:adjustRightInd w:val="0"/>
              <w:snapToGrid w:val="0"/>
              <w:spacing w:line="360" w:lineRule="auto"/>
              <w:ind w:firstLine="420"/>
              <w:rPr>
                <w:rFonts w:hint="eastAsia" w:ascii="Times New Roman" w:hAnsi="Times New Roman" w:eastAsia="宋体"/>
                <w:color w:val="auto"/>
                <w:sz w:val="24"/>
                <w:szCs w:val="24"/>
                <w:highlight w:val="none"/>
              </w:rPr>
            </w:pPr>
            <w:r>
              <w:rPr>
                <w:rFonts w:hint="eastAsia" w:ascii="Times New Roman" w:hAnsi="Times New Roman" w:eastAsia="宋体"/>
                <w:color w:val="auto"/>
                <w:sz w:val="24"/>
                <w:szCs w:val="24"/>
                <w:highlight w:val="none"/>
              </w:rPr>
              <w:t>据主体设计成果，拟建风电场各工程基础埋深及开挖深度均不大，其中，设计风机基础埋深3</w:t>
            </w:r>
            <w:r>
              <w:rPr>
                <w:rFonts w:hint="eastAsia"/>
                <w:color w:val="auto"/>
                <w:sz w:val="24"/>
                <w:szCs w:val="24"/>
                <w:highlight w:val="none"/>
                <w:lang w:eastAsia="zh-CN"/>
              </w:rPr>
              <w:t>～</w:t>
            </w:r>
            <w:r>
              <w:rPr>
                <w:rFonts w:hint="eastAsia" w:ascii="Times New Roman" w:hAnsi="Times New Roman" w:eastAsia="宋体"/>
                <w:color w:val="auto"/>
                <w:sz w:val="24"/>
                <w:szCs w:val="24"/>
                <w:highlight w:val="none"/>
              </w:rPr>
              <w:t>4m，风机基础与箱变之间、箱变与出线电杆的电缆采用直埋形式，电缆沟埋深在0.7m</w:t>
            </w:r>
            <w:r>
              <w:rPr>
                <w:rFonts w:hint="eastAsia"/>
                <w:color w:val="auto"/>
                <w:sz w:val="24"/>
                <w:szCs w:val="24"/>
                <w:highlight w:val="none"/>
                <w:lang w:eastAsia="zh-CN"/>
              </w:rPr>
              <w:t>～</w:t>
            </w:r>
            <w:r>
              <w:rPr>
                <w:rFonts w:hint="eastAsia" w:ascii="Times New Roman" w:hAnsi="Times New Roman" w:eastAsia="宋体"/>
                <w:color w:val="auto"/>
                <w:sz w:val="24"/>
                <w:szCs w:val="24"/>
                <w:highlight w:val="none"/>
              </w:rPr>
              <w:t>1m之间。</w:t>
            </w:r>
          </w:p>
          <w:p w14:paraId="13B0A699">
            <w:pPr>
              <w:keepNext w:val="0"/>
              <w:keepLines w:val="0"/>
              <w:pageBreakBefore w:val="0"/>
              <w:kinsoku/>
              <w:wordWrap/>
              <w:overflowPunct/>
              <w:topLinePunct w:val="0"/>
              <w:bidi w:val="0"/>
              <w:adjustRightInd w:val="0"/>
              <w:snapToGrid w:val="0"/>
              <w:spacing w:line="360" w:lineRule="auto"/>
              <w:ind w:firstLine="420"/>
              <w:rPr>
                <w:rFonts w:hint="eastAsia" w:ascii="Times New Roman" w:hAnsi="Times New Roman" w:eastAsia="宋体"/>
                <w:color w:val="auto"/>
                <w:sz w:val="24"/>
                <w:szCs w:val="24"/>
              </w:rPr>
            </w:pPr>
            <w:r>
              <w:rPr>
                <w:rFonts w:hint="eastAsia"/>
                <w:color w:val="auto"/>
                <w:sz w:val="24"/>
                <w:szCs w:val="24"/>
                <w:lang w:val="en-US" w:eastAsia="zh-CN"/>
              </w:rPr>
              <w:t>根据设计资料，</w:t>
            </w:r>
            <w:r>
              <w:rPr>
                <w:rFonts w:hint="eastAsia" w:ascii="Times New Roman" w:hAnsi="Times New Roman" w:eastAsia="宋体"/>
                <w:color w:val="auto"/>
                <w:sz w:val="24"/>
                <w:szCs w:val="24"/>
              </w:rPr>
              <w:t>场地内地下水位埋深较深，一般大于25m，项目基础建设不涉及区域地下水含水层，不会对区域地下水造成影响。</w:t>
            </w:r>
          </w:p>
          <w:p w14:paraId="7A45DDA1">
            <w:pPr>
              <w:pStyle w:val="6"/>
              <w:bidi w:val="0"/>
              <w:ind w:left="0" w:leftChars="0" w:firstLine="0" w:firstLineChars="0"/>
              <w:rPr>
                <w:rFonts w:hint="eastAsia"/>
                <w:b/>
                <w:bCs/>
                <w:color w:val="auto"/>
              </w:rPr>
            </w:pPr>
            <w:r>
              <w:rPr>
                <w:rFonts w:hint="eastAsia"/>
                <w:b/>
                <w:bCs/>
                <w:color w:val="auto"/>
                <w:lang w:val="en-US" w:eastAsia="zh-CN"/>
              </w:rPr>
              <w:t>5.</w:t>
            </w:r>
            <w:r>
              <w:rPr>
                <w:rFonts w:hint="eastAsia"/>
                <w:b/>
                <w:bCs/>
                <w:color w:val="auto"/>
              </w:rPr>
              <w:t>施工期噪声环境影响分析</w:t>
            </w:r>
          </w:p>
          <w:p w14:paraId="46C5E743">
            <w:pPr>
              <w:spacing w:line="360" w:lineRule="auto"/>
              <w:ind w:firstLine="480" w:firstLineChars="200"/>
              <w:rPr>
                <w:rFonts w:ascii="Times New Roman" w:hAnsi="Times New Roman" w:eastAsia="宋体"/>
                <w:color w:val="auto"/>
                <w:sz w:val="24"/>
                <w:szCs w:val="24"/>
                <w:highlight w:val="none"/>
              </w:rPr>
            </w:pPr>
            <w:bookmarkStart w:id="36" w:name="_Toc143085394"/>
            <w:r>
              <w:rPr>
                <w:rFonts w:hint="eastAsia" w:ascii="Times New Roman" w:hAnsi="Times New Roman" w:eastAsia="宋体"/>
                <w:color w:val="auto"/>
                <w:sz w:val="24"/>
                <w:szCs w:val="24"/>
                <w:highlight w:val="none"/>
                <w:lang w:eastAsia="zh-CN"/>
              </w:rPr>
              <w:t>（</w:t>
            </w:r>
            <w:r>
              <w:rPr>
                <w:rFonts w:hint="eastAsia" w:ascii="Times New Roman" w:hAnsi="Times New Roman" w:eastAsia="宋体"/>
                <w:color w:val="auto"/>
                <w:sz w:val="24"/>
                <w:szCs w:val="24"/>
                <w:highlight w:val="none"/>
                <w:lang w:val="en-US" w:eastAsia="zh-CN"/>
              </w:rPr>
              <w:t>1</w:t>
            </w:r>
            <w:r>
              <w:rPr>
                <w:rFonts w:hint="eastAsia" w:ascii="Times New Roman" w:hAnsi="Times New Roman" w:eastAsia="宋体"/>
                <w:color w:val="auto"/>
                <w:sz w:val="24"/>
                <w:szCs w:val="24"/>
                <w:highlight w:val="none"/>
                <w:lang w:eastAsia="zh-CN"/>
              </w:rPr>
              <w:t>）</w:t>
            </w:r>
            <w:r>
              <w:rPr>
                <w:rFonts w:hint="eastAsia" w:ascii="Times New Roman" w:hAnsi="Times New Roman" w:eastAsia="宋体"/>
                <w:color w:val="auto"/>
                <w:sz w:val="24"/>
                <w:szCs w:val="24"/>
                <w:highlight w:val="none"/>
              </w:rPr>
              <w:t>施工机械噪声源强</w:t>
            </w:r>
          </w:p>
          <w:p w14:paraId="006C3060">
            <w:pPr>
              <w:bidi w:val="0"/>
              <w:rPr>
                <w:rFonts w:hint="eastAsia"/>
                <w:color w:val="auto"/>
              </w:rPr>
            </w:pPr>
            <w:bookmarkStart w:id="37" w:name="_Toc350868194"/>
            <w:r>
              <w:rPr>
                <w:rFonts w:hint="eastAsia"/>
                <w:color w:val="auto"/>
              </w:rPr>
              <w:t>项目施工期噪声源主要来自场内道路修建、升压站和逆变站建设、运输施工材料和设备等，施工期的噪声主要为机械噪声和车辆运输噪声。</w:t>
            </w:r>
            <w:r>
              <w:rPr>
                <w:rFonts w:hint="eastAsia"/>
                <w:color w:val="auto"/>
                <w:lang w:val="en-US" w:eastAsia="zh-CN"/>
              </w:rPr>
              <w:t>参照《环境噪声与振动控制工程技术导则》（HJ2034-2013）附录A和《</w:t>
            </w:r>
            <w:r>
              <w:rPr>
                <w:color w:val="auto"/>
              </w:rPr>
              <w:t>低噪声施工设备指导名录（2024年版）</w:t>
            </w:r>
            <w:r>
              <w:rPr>
                <w:rFonts w:hint="eastAsia"/>
                <w:color w:val="auto"/>
                <w:lang w:val="en-US" w:eastAsia="zh-CN"/>
              </w:rPr>
              <w:t>》，项目施工期各阶段</w:t>
            </w:r>
            <w:r>
              <w:rPr>
                <w:rFonts w:hint="eastAsia"/>
                <w:color w:val="auto"/>
              </w:rPr>
              <w:t>噪声源强值见下表。</w:t>
            </w:r>
          </w:p>
          <w:p w14:paraId="5AFF433D">
            <w:pPr>
              <w:pStyle w:val="27"/>
              <w:bidi w:val="0"/>
              <w:rPr>
                <w:color w:val="auto"/>
              </w:rPr>
            </w:pPr>
            <w:r>
              <w:rPr>
                <w:rFonts w:hint="eastAsia"/>
                <w:color w:val="auto"/>
                <w:lang w:val="en-US" w:eastAsia="zh-CN"/>
              </w:rPr>
              <w:t xml:space="preserve">表4-1  </w:t>
            </w:r>
            <w:r>
              <w:rPr>
                <w:color w:val="auto"/>
              </w:rPr>
              <w:t>施工机械噪声源强一览表</w:t>
            </w:r>
          </w:p>
          <w:tbl>
            <w:tblPr>
              <w:tblStyle w:val="26"/>
              <w:tblW w:w="8247" w:type="dxa"/>
              <w:tblInd w:w="-3"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2439"/>
              <w:gridCol w:w="2714"/>
              <w:gridCol w:w="3094"/>
            </w:tblGrid>
            <w:tr w14:paraId="27A078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tcBorders>
                    <w:tl2br w:val="nil"/>
                    <w:tr2bl w:val="nil"/>
                  </w:tcBorders>
                  <w:vAlign w:val="center"/>
                </w:tcPr>
                <w:p w14:paraId="5EC4ABD9">
                  <w:pPr>
                    <w:pStyle w:val="37"/>
                    <w:bidi w:val="0"/>
                    <w:jc w:val="center"/>
                    <w:rPr>
                      <w:color w:val="auto"/>
                    </w:rPr>
                  </w:pPr>
                  <w:r>
                    <w:rPr>
                      <w:color w:val="auto"/>
                    </w:rPr>
                    <w:t>项目</w:t>
                  </w:r>
                </w:p>
              </w:tc>
              <w:tc>
                <w:tcPr>
                  <w:tcW w:w="2714" w:type="dxa"/>
                  <w:tcBorders>
                    <w:tl2br w:val="nil"/>
                    <w:tr2bl w:val="nil"/>
                  </w:tcBorders>
                  <w:vAlign w:val="center"/>
                </w:tcPr>
                <w:p w14:paraId="41773768">
                  <w:pPr>
                    <w:pStyle w:val="37"/>
                    <w:bidi w:val="0"/>
                    <w:jc w:val="center"/>
                    <w:rPr>
                      <w:color w:val="auto"/>
                    </w:rPr>
                  </w:pPr>
                  <w:r>
                    <w:rPr>
                      <w:color w:val="auto"/>
                    </w:rPr>
                    <w:t>设备名称</w:t>
                  </w:r>
                </w:p>
              </w:tc>
              <w:tc>
                <w:tcPr>
                  <w:tcW w:w="3094" w:type="dxa"/>
                  <w:tcBorders>
                    <w:tl2br w:val="nil"/>
                    <w:tr2bl w:val="nil"/>
                  </w:tcBorders>
                  <w:vAlign w:val="center"/>
                </w:tcPr>
                <w:p w14:paraId="7534CCBE">
                  <w:pPr>
                    <w:pStyle w:val="37"/>
                    <w:bidi w:val="0"/>
                    <w:jc w:val="center"/>
                    <w:rPr>
                      <w:rFonts w:hint="eastAsia"/>
                      <w:color w:val="auto"/>
                      <w:lang w:eastAsia="zh-CN"/>
                    </w:rPr>
                  </w:pPr>
                  <w:r>
                    <w:rPr>
                      <w:color w:val="auto"/>
                    </w:rPr>
                    <w:t>噪声源强</w:t>
                  </w:r>
                  <w:r>
                    <w:rPr>
                      <w:rFonts w:hint="eastAsia"/>
                      <w:color w:val="auto"/>
                      <w:lang w:eastAsia="zh-CN"/>
                    </w:rPr>
                    <w:t>（</w:t>
                  </w:r>
                  <w:r>
                    <w:rPr>
                      <w:rFonts w:hint="eastAsia"/>
                      <w:color w:val="auto"/>
                      <w:lang w:val="en-US" w:eastAsia="zh-CN"/>
                    </w:rPr>
                    <w:t>5</w:t>
                  </w:r>
                  <w:r>
                    <w:rPr>
                      <w:rFonts w:hint="eastAsia"/>
                      <w:color w:val="auto"/>
                      <w:lang w:eastAsia="zh-CN"/>
                    </w:rPr>
                    <w:t>m）</w:t>
                  </w:r>
                </w:p>
                <w:p w14:paraId="62CB521E">
                  <w:pPr>
                    <w:pStyle w:val="37"/>
                    <w:bidi w:val="0"/>
                    <w:jc w:val="center"/>
                    <w:rPr>
                      <w:color w:val="auto"/>
                    </w:rPr>
                  </w:pPr>
                  <w:r>
                    <w:rPr>
                      <w:color w:val="auto"/>
                    </w:rPr>
                    <w:t>dB（A）</w:t>
                  </w:r>
                </w:p>
              </w:tc>
            </w:tr>
            <w:tr w14:paraId="39CA82B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tcBorders>
                    <w:tl2br w:val="nil"/>
                    <w:tr2bl w:val="nil"/>
                  </w:tcBorders>
                  <w:vAlign w:val="center"/>
                </w:tcPr>
                <w:p w14:paraId="1F2562E5">
                  <w:pPr>
                    <w:pStyle w:val="37"/>
                    <w:bidi w:val="0"/>
                    <w:jc w:val="center"/>
                    <w:rPr>
                      <w:color w:val="auto"/>
                    </w:rPr>
                  </w:pPr>
                  <w:r>
                    <w:rPr>
                      <w:color w:val="auto"/>
                    </w:rPr>
                    <w:t>土石方阶段</w:t>
                  </w:r>
                </w:p>
              </w:tc>
              <w:tc>
                <w:tcPr>
                  <w:tcW w:w="2714" w:type="dxa"/>
                  <w:tcBorders>
                    <w:tl2br w:val="nil"/>
                    <w:tr2bl w:val="nil"/>
                  </w:tcBorders>
                  <w:vAlign w:val="center"/>
                </w:tcPr>
                <w:p w14:paraId="2721344A">
                  <w:pPr>
                    <w:pStyle w:val="37"/>
                    <w:bidi w:val="0"/>
                    <w:jc w:val="center"/>
                    <w:rPr>
                      <w:color w:val="auto"/>
                    </w:rPr>
                  </w:pPr>
                  <w:r>
                    <w:rPr>
                      <w:color w:val="auto"/>
                    </w:rPr>
                    <w:t>挖掘机</w:t>
                  </w:r>
                </w:p>
              </w:tc>
              <w:tc>
                <w:tcPr>
                  <w:tcW w:w="3094" w:type="dxa"/>
                  <w:tcBorders>
                    <w:tl2br w:val="nil"/>
                    <w:tr2bl w:val="nil"/>
                  </w:tcBorders>
                  <w:vAlign w:val="center"/>
                </w:tcPr>
                <w:p w14:paraId="6B49EDA0">
                  <w:pPr>
                    <w:pStyle w:val="37"/>
                    <w:bidi w:val="0"/>
                    <w:jc w:val="center"/>
                    <w:rPr>
                      <w:rFonts w:hint="default" w:eastAsia="宋体"/>
                      <w:color w:val="auto"/>
                      <w:lang w:val="en-US" w:eastAsia="zh-CN"/>
                    </w:rPr>
                  </w:pPr>
                  <w:r>
                    <w:rPr>
                      <w:rFonts w:hint="eastAsia"/>
                      <w:color w:val="auto"/>
                      <w:lang w:val="en-US" w:eastAsia="zh-CN"/>
                    </w:rPr>
                    <w:t>82</w:t>
                  </w:r>
                </w:p>
              </w:tc>
            </w:tr>
            <w:tr w14:paraId="3359F4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vMerge w:val="restart"/>
                  <w:tcBorders>
                    <w:tl2br w:val="nil"/>
                    <w:tr2bl w:val="nil"/>
                  </w:tcBorders>
                  <w:vAlign w:val="center"/>
                </w:tcPr>
                <w:p w14:paraId="4E432C7F">
                  <w:pPr>
                    <w:pStyle w:val="37"/>
                    <w:bidi w:val="0"/>
                    <w:jc w:val="center"/>
                    <w:rPr>
                      <w:rFonts w:hint="default" w:eastAsia="宋体"/>
                      <w:color w:val="auto"/>
                      <w:lang w:val="en-US" w:eastAsia="zh-CN"/>
                    </w:rPr>
                  </w:pPr>
                  <w:r>
                    <w:rPr>
                      <w:rFonts w:hint="eastAsia"/>
                      <w:color w:val="auto"/>
                      <w:lang w:val="en-US" w:eastAsia="zh-CN"/>
                    </w:rPr>
                    <w:t>风机基础施工阶段</w:t>
                  </w:r>
                </w:p>
              </w:tc>
              <w:tc>
                <w:tcPr>
                  <w:tcW w:w="2714" w:type="dxa"/>
                  <w:tcBorders>
                    <w:tl2br w:val="nil"/>
                    <w:tr2bl w:val="nil"/>
                  </w:tcBorders>
                  <w:vAlign w:val="center"/>
                </w:tcPr>
                <w:p w14:paraId="48AF5A76">
                  <w:pPr>
                    <w:pStyle w:val="37"/>
                    <w:bidi w:val="0"/>
                    <w:jc w:val="center"/>
                    <w:rPr>
                      <w:rFonts w:hint="default" w:eastAsia="宋体"/>
                      <w:color w:val="auto"/>
                      <w:lang w:val="en-US" w:eastAsia="zh-CN"/>
                    </w:rPr>
                  </w:pPr>
                  <w:r>
                    <w:rPr>
                      <w:rFonts w:hint="eastAsia"/>
                      <w:color w:val="auto"/>
                      <w:lang w:val="en-US" w:eastAsia="zh-CN"/>
                    </w:rPr>
                    <w:t>钻孔机</w:t>
                  </w:r>
                </w:p>
              </w:tc>
              <w:tc>
                <w:tcPr>
                  <w:tcW w:w="3094" w:type="dxa"/>
                  <w:tcBorders>
                    <w:tl2br w:val="nil"/>
                    <w:tr2bl w:val="nil"/>
                  </w:tcBorders>
                  <w:vAlign w:val="center"/>
                </w:tcPr>
                <w:p w14:paraId="1BBCDF8E">
                  <w:pPr>
                    <w:pStyle w:val="37"/>
                    <w:bidi w:val="0"/>
                    <w:jc w:val="center"/>
                    <w:rPr>
                      <w:rFonts w:hint="default" w:eastAsia="宋体"/>
                      <w:color w:val="auto"/>
                      <w:lang w:val="en-US" w:eastAsia="zh-CN"/>
                    </w:rPr>
                  </w:pPr>
                  <w:r>
                    <w:rPr>
                      <w:rFonts w:hint="eastAsia"/>
                      <w:color w:val="auto"/>
                      <w:lang w:val="en-US" w:eastAsia="zh-CN"/>
                    </w:rPr>
                    <w:t>80</w:t>
                  </w:r>
                </w:p>
              </w:tc>
            </w:tr>
            <w:tr w14:paraId="0DC7B4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vMerge w:val="continue"/>
                  <w:tcBorders>
                    <w:tl2br w:val="nil"/>
                    <w:tr2bl w:val="nil"/>
                  </w:tcBorders>
                  <w:vAlign w:val="center"/>
                </w:tcPr>
                <w:p w14:paraId="0251CBBD">
                  <w:pPr>
                    <w:pStyle w:val="37"/>
                    <w:bidi w:val="0"/>
                    <w:jc w:val="center"/>
                    <w:rPr>
                      <w:color w:val="auto"/>
                    </w:rPr>
                  </w:pPr>
                </w:p>
              </w:tc>
              <w:tc>
                <w:tcPr>
                  <w:tcW w:w="2714" w:type="dxa"/>
                  <w:tcBorders>
                    <w:tl2br w:val="nil"/>
                    <w:tr2bl w:val="nil"/>
                  </w:tcBorders>
                  <w:vAlign w:val="center"/>
                </w:tcPr>
                <w:p w14:paraId="354A5AA7">
                  <w:pPr>
                    <w:pStyle w:val="37"/>
                    <w:bidi w:val="0"/>
                    <w:jc w:val="center"/>
                    <w:rPr>
                      <w:rFonts w:hint="default" w:eastAsia="宋体"/>
                      <w:color w:val="auto"/>
                      <w:lang w:val="en-US" w:eastAsia="zh-CN"/>
                    </w:rPr>
                  </w:pPr>
                  <w:r>
                    <w:rPr>
                      <w:rFonts w:hint="eastAsia"/>
                      <w:color w:val="auto"/>
                      <w:lang w:val="en-US" w:eastAsia="zh-CN"/>
                    </w:rPr>
                    <w:t>风镐</w:t>
                  </w:r>
                </w:p>
              </w:tc>
              <w:tc>
                <w:tcPr>
                  <w:tcW w:w="3094" w:type="dxa"/>
                  <w:tcBorders>
                    <w:tl2br w:val="nil"/>
                    <w:tr2bl w:val="nil"/>
                  </w:tcBorders>
                  <w:vAlign w:val="center"/>
                </w:tcPr>
                <w:p w14:paraId="612E4448">
                  <w:pPr>
                    <w:pStyle w:val="37"/>
                    <w:bidi w:val="0"/>
                    <w:jc w:val="center"/>
                    <w:rPr>
                      <w:rFonts w:hint="default" w:eastAsia="宋体"/>
                      <w:color w:val="auto"/>
                      <w:lang w:val="en-US" w:eastAsia="zh-CN"/>
                    </w:rPr>
                  </w:pPr>
                  <w:r>
                    <w:rPr>
                      <w:rFonts w:hint="eastAsia"/>
                      <w:color w:val="auto"/>
                      <w:lang w:val="en-US" w:eastAsia="zh-CN"/>
                    </w:rPr>
                    <w:t>88</w:t>
                  </w:r>
                </w:p>
              </w:tc>
            </w:tr>
            <w:tr w14:paraId="1CDD0FE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vMerge w:val="continue"/>
                  <w:tcBorders>
                    <w:tl2br w:val="nil"/>
                    <w:tr2bl w:val="nil"/>
                  </w:tcBorders>
                  <w:vAlign w:val="center"/>
                </w:tcPr>
                <w:p w14:paraId="42F49F1D">
                  <w:pPr>
                    <w:pStyle w:val="37"/>
                    <w:bidi w:val="0"/>
                    <w:jc w:val="center"/>
                    <w:rPr>
                      <w:color w:val="auto"/>
                    </w:rPr>
                  </w:pPr>
                </w:p>
              </w:tc>
              <w:tc>
                <w:tcPr>
                  <w:tcW w:w="2714" w:type="dxa"/>
                  <w:tcBorders>
                    <w:tl2br w:val="nil"/>
                    <w:tr2bl w:val="nil"/>
                  </w:tcBorders>
                  <w:vAlign w:val="center"/>
                </w:tcPr>
                <w:p w14:paraId="51EF3AEE">
                  <w:pPr>
                    <w:pStyle w:val="37"/>
                    <w:bidi w:val="0"/>
                    <w:jc w:val="center"/>
                    <w:rPr>
                      <w:color w:val="auto"/>
                    </w:rPr>
                  </w:pPr>
                  <w:r>
                    <w:rPr>
                      <w:color w:val="auto"/>
                    </w:rPr>
                    <w:t>空压机</w:t>
                  </w:r>
                </w:p>
              </w:tc>
              <w:tc>
                <w:tcPr>
                  <w:tcW w:w="3094" w:type="dxa"/>
                  <w:tcBorders>
                    <w:tl2br w:val="nil"/>
                    <w:tr2bl w:val="nil"/>
                  </w:tcBorders>
                  <w:vAlign w:val="center"/>
                </w:tcPr>
                <w:p w14:paraId="5216CFBF">
                  <w:pPr>
                    <w:pStyle w:val="37"/>
                    <w:bidi w:val="0"/>
                    <w:jc w:val="center"/>
                    <w:rPr>
                      <w:rFonts w:hint="default" w:eastAsia="宋体"/>
                      <w:color w:val="auto"/>
                      <w:lang w:val="en-US" w:eastAsia="zh-CN"/>
                    </w:rPr>
                  </w:pPr>
                  <w:r>
                    <w:rPr>
                      <w:rFonts w:hint="eastAsia"/>
                      <w:color w:val="auto"/>
                      <w:lang w:val="en-US" w:eastAsia="zh-CN"/>
                    </w:rPr>
                    <w:t>90</w:t>
                  </w:r>
                </w:p>
              </w:tc>
            </w:tr>
            <w:tr w14:paraId="47EA14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vMerge w:val="continue"/>
                  <w:tcBorders>
                    <w:tl2br w:val="nil"/>
                    <w:tr2bl w:val="nil"/>
                  </w:tcBorders>
                  <w:vAlign w:val="center"/>
                </w:tcPr>
                <w:p w14:paraId="6C657460">
                  <w:pPr>
                    <w:pStyle w:val="37"/>
                    <w:bidi w:val="0"/>
                    <w:jc w:val="center"/>
                    <w:rPr>
                      <w:color w:val="auto"/>
                    </w:rPr>
                  </w:pPr>
                </w:p>
              </w:tc>
              <w:tc>
                <w:tcPr>
                  <w:tcW w:w="2714" w:type="dxa"/>
                  <w:tcBorders>
                    <w:tl2br w:val="nil"/>
                    <w:tr2bl w:val="nil"/>
                  </w:tcBorders>
                  <w:vAlign w:val="center"/>
                </w:tcPr>
                <w:p w14:paraId="59448191">
                  <w:pPr>
                    <w:pStyle w:val="37"/>
                    <w:bidi w:val="0"/>
                    <w:jc w:val="center"/>
                    <w:rPr>
                      <w:color w:val="auto"/>
                    </w:rPr>
                  </w:pPr>
                  <w:r>
                    <w:rPr>
                      <w:rFonts w:hint="eastAsia"/>
                      <w:color w:val="auto"/>
                    </w:rPr>
                    <w:t>混凝土振捣器</w:t>
                  </w:r>
                </w:p>
              </w:tc>
              <w:tc>
                <w:tcPr>
                  <w:tcW w:w="3094" w:type="dxa"/>
                  <w:tcBorders>
                    <w:tl2br w:val="nil"/>
                    <w:tr2bl w:val="nil"/>
                  </w:tcBorders>
                  <w:vAlign w:val="center"/>
                </w:tcPr>
                <w:p w14:paraId="1044B5A5">
                  <w:pPr>
                    <w:pStyle w:val="37"/>
                    <w:bidi w:val="0"/>
                    <w:jc w:val="center"/>
                    <w:rPr>
                      <w:rFonts w:hint="default" w:eastAsia="宋体"/>
                      <w:color w:val="auto"/>
                      <w:lang w:val="en-US" w:eastAsia="zh-CN"/>
                    </w:rPr>
                  </w:pPr>
                  <w:r>
                    <w:rPr>
                      <w:rFonts w:hint="eastAsia"/>
                      <w:color w:val="auto"/>
                      <w:lang w:val="en-US" w:eastAsia="zh-CN"/>
                    </w:rPr>
                    <w:t>80</w:t>
                  </w:r>
                </w:p>
              </w:tc>
            </w:tr>
            <w:tr w14:paraId="7478F89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vMerge w:val="restart"/>
                  <w:tcBorders>
                    <w:tl2br w:val="nil"/>
                    <w:tr2bl w:val="nil"/>
                  </w:tcBorders>
                  <w:vAlign w:val="center"/>
                </w:tcPr>
                <w:p w14:paraId="14B352DC">
                  <w:pPr>
                    <w:pStyle w:val="37"/>
                    <w:bidi w:val="0"/>
                    <w:jc w:val="center"/>
                    <w:rPr>
                      <w:rFonts w:hint="default" w:eastAsia="宋体"/>
                      <w:color w:val="auto"/>
                      <w:lang w:val="en-US" w:eastAsia="zh-CN"/>
                    </w:rPr>
                  </w:pPr>
                  <w:r>
                    <w:rPr>
                      <w:rFonts w:hint="eastAsia"/>
                      <w:color w:val="auto"/>
                      <w:lang w:val="en-US" w:eastAsia="zh-CN"/>
                    </w:rPr>
                    <w:t>主变施工阶段</w:t>
                  </w:r>
                </w:p>
              </w:tc>
              <w:tc>
                <w:tcPr>
                  <w:tcW w:w="2714" w:type="dxa"/>
                  <w:tcBorders>
                    <w:tl2br w:val="nil"/>
                    <w:tr2bl w:val="nil"/>
                  </w:tcBorders>
                  <w:vAlign w:val="center"/>
                </w:tcPr>
                <w:p w14:paraId="34B8957F">
                  <w:pPr>
                    <w:pStyle w:val="37"/>
                    <w:bidi w:val="0"/>
                    <w:jc w:val="center"/>
                    <w:rPr>
                      <w:color w:val="auto"/>
                    </w:rPr>
                  </w:pPr>
                  <w:r>
                    <w:rPr>
                      <w:rFonts w:hint="eastAsia"/>
                      <w:color w:val="auto"/>
                    </w:rPr>
                    <w:t>混凝土振捣器</w:t>
                  </w:r>
                </w:p>
              </w:tc>
              <w:tc>
                <w:tcPr>
                  <w:tcW w:w="3094" w:type="dxa"/>
                  <w:tcBorders>
                    <w:tl2br w:val="nil"/>
                    <w:tr2bl w:val="nil"/>
                  </w:tcBorders>
                  <w:vAlign w:val="center"/>
                </w:tcPr>
                <w:p w14:paraId="524FE2DE">
                  <w:pPr>
                    <w:pStyle w:val="37"/>
                    <w:bidi w:val="0"/>
                    <w:jc w:val="center"/>
                    <w:rPr>
                      <w:rFonts w:hint="default" w:eastAsia="宋体"/>
                      <w:color w:val="auto"/>
                      <w:lang w:val="en-US" w:eastAsia="zh-CN"/>
                    </w:rPr>
                  </w:pPr>
                  <w:r>
                    <w:rPr>
                      <w:rFonts w:hint="eastAsia"/>
                      <w:color w:val="auto"/>
                      <w:lang w:val="en-US" w:eastAsia="zh-CN"/>
                    </w:rPr>
                    <w:t>80</w:t>
                  </w:r>
                </w:p>
              </w:tc>
            </w:tr>
            <w:tr w14:paraId="35E544B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vMerge w:val="continue"/>
                  <w:tcBorders>
                    <w:tl2br w:val="nil"/>
                    <w:tr2bl w:val="nil"/>
                  </w:tcBorders>
                  <w:vAlign w:val="center"/>
                </w:tcPr>
                <w:p w14:paraId="38BDD098">
                  <w:pPr>
                    <w:pStyle w:val="37"/>
                    <w:bidi w:val="0"/>
                    <w:jc w:val="center"/>
                    <w:rPr>
                      <w:color w:val="auto"/>
                    </w:rPr>
                  </w:pPr>
                </w:p>
              </w:tc>
              <w:tc>
                <w:tcPr>
                  <w:tcW w:w="2714" w:type="dxa"/>
                  <w:tcBorders>
                    <w:tl2br w:val="nil"/>
                    <w:tr2bl w:val="nil"/>
                  </w:tcBorders>
                  <w:vAlign w:val="center"/>
                </w:tcPr>
                <w:p w14:paraId="6005AADE">
                  <w:pPr>
                    <w:pStyle w:val="37"/>
                    <w:bidi w:val="0"/>
                    <w:jc w:val="center"/>
                    <w:rPr>
                      <w:color w:val="auto"/>
                    </w:rPr>
                  </w:pPr>
                  <w:r>
                    <w:rPr>
                      <w:color w:val="auto"/>
                    </w:rPr>
                    <w:t>电锯</w:t>
                  </w:r>
                </w:p>
              </w:tc>
              <w:tc>
                <w:tcPr>
                  <w:tcW w:w="3094" w:type="dxa"/>
                  <w:tcBorders>
                    <w:tl2br w:val="nil"/>
                    <w:tr2bl w:val="nil"/>
                  </w:tcBorders>
                  <w:vAlign w:val="center"/>
                </w:tcPr>
                <w:p w14:paraId="78C75B53">
                  <w:pPr>
                    <w:pStyle w:val="37"/>
                    <w:bidi w:val="0"/>
                    <w:jc w:val="center"/>
                    <w:rPr>
                      <w:color w:val="auto"/>
                    </w:rPr>
                  </w:pPr>
                  <w:r>
                    <w:rPr>
                      <w:color w:val="auto"/>
                    </w:rPr>
                    <w:t>84</w:t>
                  </w:r>
                </w:p>
              </w:tc>
            </w:tr>
            <w:tr w14:paraId="3EC9350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vMerge w:val="continue"/>
                  <w:tcBorders>
                    <w:tl2br w:val="nil"/>
                    <w:tr2bl w:val="nil"/>
                  </w:tcBorders>
                  <w:vAlign w:val="center"/>
                </w:tcPr>
                <w:p w14:paraId="1B5B45C3">
                  <w:pPr>
                    <w:pStyle w:val="37"/>
                    <w:bidi w:val="0"/>
                    <w:jc w:val="center"/>
                    <w:rPr>
                      <w:color w:val="auto"/>
                    </w:rPr>
                  </w:pPr>
                </w:p>
              </w:tc>
              <w:tc>
                <w:tcPr>
                  <w:tcW w:w="2714" w:type="dxa"/>
                  <w:tcBorders>
                    <w:tl2br w:val="nil"/>
                    <w:tr2bl w:val="nil"/>
                  </w:tcBorders>
                  <w:vAlign w:val="center"/>
                </w:tcPr>
                <w:p w14:paraId="6EA67CEA">
                  <w:pPr>
                    <w:pStyle w:val="37"/>
                    <w:bidi w:val="0"/>
                    <w:jc w:val="center"/>
                    <w:rPr>
                      <w:rFonts w:hint="eastAsia" w:eastAsia="宋体"/>
                      <w:color w:val="auto"/>
                      <w:lang w:eastAsia="zh-CN"/>
                    </w:rPr>
                  </w:pPr>
                  <w:r>
                    <w:rPr>
                      <w:rFonts w:hint="eastAsia"/>
                      <w:color w:val="auto"/>
                      <w:lang w:val="en-US" w:eastAsia="zh-CN"/>
                    </w:rPr>
                    <w:t>空压机</w:t>
                  </w:r>
                </w:p>
              </w:tc>
              <w:tc>
                <w:tcPr>
                  <w:tcW w:w="3094" w:type="dxa"/>
                  <w:tcBorders>
                    <w:tl2br w:val="nil"/>
                    <w:tr2bl w:val="nil"/>
                  </w:tcBorders>
                  <w:vAlign w:val="center"/>
                </w:tcPr>
                <w:p w14:paraId="276EE76C">
                  <w:pPr>
                    <w:pStyle w:val="37"/>
                    <w:bidi w:val="0"/>
                    <w:jc w:val="center"/>
                    <w:rPr>
                      <w:rFonts w:hint="default" w:eastAsia="宋体"/>
                      <w:color w:val="auto"/>
                      <w:lang w:val="en-US" w:eastAsia="zh-CN"/>
                    </w:rPr>
                  </w:pPr>
                  <w:r>
                    <w:rPr>
                      <w:rFonts w:hint="eastAsia"/>
                      <w:color w:val="auto"/>
                      <w:lang w:val="en-US" w:eastAsia="zh-CN"/>
                    </w:rPr>
                    <w:t>90</w:t>
                  </w:r>
                </w:p>
              </w:tc>
            </w:tr>
            <w:tr w14:paraId="253B69A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vMerge w:val="continue"/>
                  <w:tcBorders>
                    <w:tl2br w:val="nil"/>
                    <w:tr2bl w:val="nil"/>
                  </w:tcBorders>
                  <w:vAlign w:val="center"/>
                </w:tcPr>
                <w:p w14:paraId="0455F557">
                  <w:pPr>
                    <w:pStyle w:val="37"/>
                    <w:bidi w:val="0"/>
                    <w:jc w:val="center"/>
                    <w:rPr>
                      <w:color w:val="auto"/>
                    </w:rPr>
                  </w:pPr>
                </w:p>
              </w:tc>
              <w:tc>
                <w:tcPr>
                  <w:tcW w:w="2714" w:type="dxa"/>
                  <w:tcBorders>
                    <w:tl2br w:val="nil"/>
                    <w:tr2bl w:val="nil"/>
                  </w:tcBorders>
                  <w:vAlign w:val="center"/>
                </w:tcPr>
                <w:p w14:paraId="3A92CDB3">
                  <w:pPr>
                    <w:pStyle w:val="37"/>
                    <w:bidi w:val="0"/>
                    <w:jc w:val="center"/>
                    <w:rPr>
                      <w:rFonts w:hint="default" w:eastAsia="宋体"/>
                      <w:color w:val="auto"/>
                      <w:lang w:val="en-US" w:eastAsia="zh-CN"/>
                    </w:rPr>
                  </w:pPr>
                  <w:r>
                    <w:rPr>
                      <w:rFonts w:hint="eastAsia"/>
                      <w:color w:val="auto"/>
                      <w:lang w:val="en-US" w:eastAsia="zh-CN"/>
                    </w:rPr>
                    <w:t>振动夯锤</w:t>
                  </w:r>
                </w:p>
              </w:tc>
              <w:tc>
                <w:tcPr>
                  <w:tcW w:w="3094" w:type="dxa"/>
                  <w:tcBorders>
                    <w:tl2br w:val="nil"/>
                    <w:tr2bl w:val="nil"/>
                  </w:tcBorders>
                  <w:vAlign w:val="center"/>
                </w:tcPr>
                <w:p w14:paraId="5A6462CA">
                  <w:pPr>
                    <w:pStyle w:val="37"/>
                    <w:bidi w:val="0"/>
                    <w:jc w:val="center"/>
                    <w:rPr>
                      <w:rFonts w:hint="default" w:eastAsia="宋体"/>
                      <w:color w:val="auto"/>
                      <w:lang w:val="en-US" w:eastAsia="zh-CN"/>
                    </w:rPr>
                  </w:pPr>
                  <w:r>
                    <w:rPr>
                      <w:rFonts w:hint="eastAsia"/>
                      <w:color w:val="auto"/>
                      <w:lang w:val="en-US" w:eastAsia="zh-CN"/>
                    </w:rPr>
                    <w:t>92</w:t>
                  </w:r>
                </w:p>
              </w:tc>
            </w:tr>
            <w:tr w14:paraId="7DEDB6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vMerge w:val="continue"/>
                  <w:tcBorders>
                    <w:tl2br w:val="nil"/>
                    <w:tr2bl w:val="nil"/>
                  </w:tcBorders>
                  <w:vAlign w:val="center"/>
                </w:tcPr>
                <w:p w14:paraId="43C6DEAE">
                  <w:pPr>
                    <w:pStyle w:val="37"/>
                    <w:bidi w:val="0"/>
                    <w:jc w:val="center"/>
                    <w:rPr>
                      <w:color w:val="auto"/>
                    </w:rPr>
                  </w:pPr>
                </w:p>
              </w:tc>
              <w:tc>
                <w:tcPr>
                  <w:tcW w:w="2714" w:type="dxa"/>
                  <w:tcBorders>
                    <w:tl2br w:val="nil"/>
                    <w:tr2bl w:val="nil"/>
                  </w:tcBorders>
                  <w:vAlign w:val="center"/>
                </w:tcPr>
                <w:p w14:paraId="49581BFA">
                  <w:pPr>
                    <w:pStyle w:val="37"/>
                    <w:bidi w:val="0"/>
                    <w:jc w:val="center"/>
                    <w:rPr>
                      <w:rFonts w:hint="eastAsia" w:eastAsia="宋体"/>
                      <w:color w:val="auto"/>
                      <w:lang w:eastAsia="zh-CN"/>
                    </w:rPr>
                  </w:pPr>
                  <w:r>
                    <w:rPr>
                      <w:rFonts w:hint="eastAsia"/>
                      <w:color w:val="auto"/>
                      <w:lang w:val="en-US" w:eastAsia="zh-CN"/>
                    </w:rPr>
                    <w:t>角磨机</w:t>
                  </w:r>
                </w:p>
              </w:tc>
              <w:tc>
                <w:tcPr>
                  <w:tcW w:w="3094" w:type="dxa"/>
                  <w:tcBorders>
                    <w:tl2br w:val="nil"/>
                    <w:tr2bl w:val="nil"/>
                  </w:tcBorders>
                  <w:vAlign w:val="center"/>
                </w:tcPr>
                <w:p w14:paraId="47EE2E49">
                  <w:pPr>
                    <w:pStyle w:val="37"/>
                    <w:bidi w:val="0"/>
                    <w:jc w:val="center"/>
                    <w:rPr>
                      <w:rFonts w:hint="default" w:eastAsia="宋体"/>
                      <w:color w:val="auto"/>
                      <w:lang w:val="en-US" w:eastAsia="zh-CN"/>
                    </w:rPr>
                  </w:pPr>
                  <w:r>
                    <w:rPr>
                      <w:rFonts w:hint="eastAsia"/>
                      <w:color w:val="auto"/>
                      <w:lang w:val="en-US" w:eastAsia="zh-CN"/>
                    </w:rPr>
                    <w:t>90</w:t>
                  </w:r>
                </w:p>
              </w:tc>
            </w:tr>
            <w:tr w14:paraId="2288F3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vMerge w:val="continue"/>
                  <w:tcBorders>
                    <w:tl2br w:val="nil"/>
                    <w:tr2bl w:val="nil"/>
                  </w:tcBorders>
                  <w:vAlign w:val="center"/>
                </w:tcPr>
                <w:p w14:paraId="52503CAE">
                  <w:pPr>
                    <w:pStyle w:val="37"/>
                    <w:bidi w:val="0"/>
                    <w:jc w:val="center"/>
                    <w:rPr>
                      <w:color w:val="auto"/>
                    </w:rPr>
                  </w:pPr>
                </w:p>
              </w:tc>
              <w:tc>
                <w:tcPr>
                  <w:tcW w:w="2714" w:type="dxa"/>
                  <w:tcBorders>
                    <w:tl2br w:val="nil"/>
                    <w:tr2bl w:val="nil"/>
                  </w:tcBorders>
                  <w:vAlign w:val="center"/>
                </w:tcPr>
                <w:p w14:paraId="1FC5E98D">
                  <w:pPr>
                    <w:pStyle w:val="37"/>
                    <w:bidi w:val="0"/>
                    <w:jc w:val="center"/>
                    <w:rPr>
                      <w:color w:val="auto"/>
                    </w:rPr>
                  </w:pPr>
                  <w:r>
                    <w:rPr>
                      <w:color w:val="auto"/>
                    </w:rPr>
                    <w:t>电锯</w:t>
                  </w:r>
                </w:p>
              </w:tc>
              <w:tc>
                <w:tcPr>
                  <w:tcW w:w="3094" w:type="dxa"/>
                  <w:tcBorders>
                    <w:tl2br w:val="nil"/>
                    <w:tr2bl w:val="nil"/>
                  </w:tcBorders>
                  <w:vAlign w:val="center"/>
                </w:tcPr>
                <w:p w14:paraId="2B213150">
                  <w:pPr>
                    <w:pStyle w:val="37"/>
                    <w:bidi w:val="0"/>
                    <w:jc w:val="center"/>
                    <w:rPr>
                      <w:rFonts w:hint="default" w:eastAsia="宋体"/>
                      <w:color w:val="auto"/>
                      <w:lang w:val="en-US" w:eastAsia="zh-CN"/>
                    </w:rPr>
                  </w:pPr>
                  <w:r>
                    <w:rPr>
                      <w:rFonts w:hint="eastAsia"/>
                      <w:color w:val="auto"/>
                      <w:lang w:val="en-US" w:eastAsia="zh-CN"/>
                    </w:rPr>
                    <w:t>93</w:t>
                  </w:r>
                </w:p>
              </w:tc>
            </w:tr>
            <w:tr w14:paraId="7AB996A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vMerge w:val="restart"/>
                  <w:tcBorders>
                    <w:tl2br w:val="nil"/>
                    <w:tr2bl w:val="nil"/>
                  </w:tcBorders>
                  <w:vAlign w:val="center"/>
                </w:tcPr>
                <w:p w14:paraId="44A8FAD1">
                  <w:pPr>
                    <w:pStyle w:val="37"/>
                    <w:bidi w:val="0"/>
                    <w:jc w:val="center"/>
                    <w:rPr>
                      <w:color w:val="auto"/>
                    </w:rPr>
                  </w:pPr>
                  <w:r>
                    <w:rPr>
                      <w:color w:val="auto"/>
                    </w:rPr>
                    <w:t>交通运输车辆噪声</w:t>
                  </w:r>
                </w:p>
              </w:tc>
              <w:tc>
                <w:tcPr>
                  <w:tcW w:w="2714" w:type="dxa"/>
                  <w:tcBorders>
                    <w:tl2br w:val="nil"/>
                    <w:tr2bl w:val="nil"/>
                  </w:tcBorders>
                  <w:vAlign w:val="center"/>
                </w:tcPr>
                <w:p w14:paraId="310B275D">
                  <w:pPr>
                    <w:pStyle w:val="37"/>
                    <w:bidi w:val="0"/>
                    <w:jc w:val="center"/>
                    <w:rPr>
                      <w:color w:val="auto"/>
                    </w:rPr>
                  </w:pPr>
                  <w:r>
                    <w:rPr>
                      <w:color w:val="auto"/>
                    </w:rPr>
                    <w:t>自卸式运输车</w:t>
                  </w:r>
                </w:p>
              </w:tc>
              <w:tc>
                <w:tcPr>
                  <w:tcW w:w="3094" w:type="dxa"/>
                  <w:tcBorders>
                    <w:tl2br w:val="nil"/>
                    <w:tr2bl w:val="nil"/>
                  </w:tcBorders>
                  <w:vAlign w:val="center"/>
                </w:tcPr>
                <w:p w14:paraId="36EAF2E8">
                  <w:pPr>
                    <w:pStyle w:val="37"/>
                    <w:bidi w:val="0"/>
                    <w:jc w:val="center"/>
                    <w:rPr>
                      <w:color w:val="auto"/>
                    </w:rPr>
                  </w:pPr>
                  <w:r>
                    <w:rPr>
                      <w:color w:val="auto"/>
                    </w:rPr>
                    <w:t>80</w:t>
                  </w:r>
                </w:p>
              </w:tc>
            </w:tr>
            <w:tr w14:paraId="60EFDE8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vMerge w:val="continue"/>
                  <w:tcBorders>
                    <w:tl2br w:val="nil"/>
                    <w:tr2bl w:val="nil"/>
                  </w:tcBorders>
                  <w:vAlign w:val="center"/>
                </w:tcPr>
                <w:p w14:paraId="334749E5">
                  <w:pPr>
                    <w:pStyle w:val="37"/>
                    <w:bidi w:val="0"/>
                    <w:jc w:val="center"/>
                    <w:rPr>
                      <w:color w:val="auto"/>
                    </w:rPr>
                  </w:pPr>
                </w:p>
              </w:tc>
              <w:tc>
                <w:tcPr>
                  <w:tcW w:w="2714" w:type="dxa"/>
                  <w:tcBorders>
                    <w:tl2br w:val="nil"/>
                    <w:tr2bl w:val="nil"/>
                  </w:tcBorders>
                  <w:vAlign w:val="center"/>
                </w:tcPr>
                <w:p w14:paraId="480D25FE">
                  <w:pPr>
                    <w:pStyle w:val="37"/>
                    <w:bidi w:val="0"/>
                    <w:jc w:val="center"/>
                    <w:rPr>
                      <w:color w:val="auto"/>
                    </w:rPr>
                  </w:pPr>
                  <w:r>
                    <w:rPr>
                      <w:color w:val="auto"/>
                    </w:rPr>
                    <w:t>压路机</w:t>
                  </w:r>
                </w:p>
              </w:tc>
              <w:tc>
                <w:tcPr>
                  <w:tcW w:w="3094" w:type="dxa"/>
                  <w:tcBorders>
                    <w:tl2br w:val="nil"/>
                    <w:tr2bl w:val="nil"/>
                  </w:tcBorders>
                  <w:vAlign w:val="center"/>
                </w:tcPr>
                <w:p w14:paraId="3ABC17D2">
                  <w:pPr>
                    <w:pStyle w:val="37"/>
                    <w:bidi w:val="0"/>
                    <w:jc w:val="center"/>
                    <w:rPr>
                      <w:rFonts w:hint="default" w:eastAsia="宋体"/>
                      <w:color w:val="auto"/>
                      <w:lang w:val="en-US" w:eastAsia="zh-CN"/>
                    </w:rPr>
                  </w:pPr>
                  <w:r>
                    <w:rPr>
                      <w:rFonts w:hint="eastAsia"/>
                      <w:color w:val="auto"/>
                      <w:lang w:val="en-US" w:eastAsia="zh-CN"/>
                    </w:rPr>
                    <w:t>80</w:t>
                  </w:r>
                </w:p>
              </w:tc>
            </w:tr>
            <w:tr w14:paraId="63A41BF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3" w:hRule="atLeast"/>
              </w:trPr>
              <w:tc>
                <w:tcPr>
                  <w:tcW w:w="2439" w:type="dxa"/>
                  <w:vMerge w:val="continue"/>
                  <w:tcBorders>
                    <w:tl2br w:val="nil"/>
                    <w:tr2bl w:val="nil"/>
                  </w:tcBorders>
                  <w:vAlign w:val="center"/>
                </w:tcPr>
                <w:p w14:paraId="650FCC70">
                  <w:pPr>
                    <w:pStyle w:val="37"/>
                    <w:bidi w:val="0"/>
                    <w:jc w:val="center"/>
                    <w:rPr>
                      <w:color w:val="auto"/>
                    </w:rPr>
                  </w:pPr>
                </w:p>
              </w:tc>
              <w:tc>
                <w:tcPr>
                  <w:tcW w:w="2714" w:type="dxa"/>
                  <w:tcBorders>
                    <w:tl2br w:val="nil"/>
                    <w:tr2bl w:val="nil"/>
                  </w:tcBorders>
                  <w:vAlign w:val="center"/>
                </w:tcPr>
                <w:p w14:paraId="74612055">
                  <w:pPr>
                    <w:pStyle w:val="37"/>
                    <w:bidi w:val="0"/>
                    <w:jc w:val="center"/>
                    <w:rPr>
                      <w:color w:val="auto"/>
                    </w:rPr>
                  </w:pPr>
                  <w:r>
                    <w:rPr>
                      <w:color w:val="auto"/>
                    </w:rPr>
                    <w:t>运水车</w:t>
                  </w:r>
                </w:p>
              </w:tc>
              <w:tc>
                <w:tcPr>
                  <w:tcW w:w="3094" w:type="dxa"/>
                  <w:tcBorders>
                    <w:tl2br w:val="nil"/>
                    <w:tr2bl w:val="nil"/>
                  </w:tcBorders>
                  <w:vAlign w:val="center"/>
                </w:tcPr>
                <w:p w14:paraId="1FF9A2CD">
                  <w:pPr>
                    <w:pStyle w:val="37"/>
                    <w:bidi w:val="0"/>
                    <w:jc w:val="center"/>
                    <w:rPr>
                      <w:color w:val="auto"/>
                    </w:rPr>
                  </w:pPr>
                  <w:r>
                    <w:rPr>
                      <w:color w:val="auto"/>
                    </w:rPr>
                    <w:t>75</w:t>
                  </w:r>
                </w:p>
              </w:tc>
            </w:tr>
            <w:tr w14:paraId="035F92F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439" w:type="dxa"/>
                  <w:vMerge w:val="continue"/>
                  <w:tcBorders>
                    <w:tl2br w:val="nil"/>
                    <w:tr2bl w:val="nil"/>
                  </w:tcBorders>
                  <w:vAlign w:val="center"/>
                </w:tcPr>
                <w:p w14:paraId="64BE8477">
                  <w:pPr>
                    <w:pStyle w:val="37"/>
                    <w:bidi w:val="0"/>
                    <w:jc w:val="center"/>
                    <w:rPr>
                      <w:color w:val="auto"/>
                    </w:rPr>
                  </w:pPr>
                </w:p>
              </w:tc>
              <w:tc>
                <w:tcPr>
                  <w:tcW w:w="2714" w:type="dxa"/>
                  <w:tcBorders>
                    <w:tl2br w:val="nil"/>
                    <w:tr2bl w:val="nil"/>
                  </w:tcBorders>
                  <w:vAlign w:val="center"/>
                </w:tcPr>
                <w:p w14:paraId="7DFA8DE9">
                  <w:pPr>
                    <w:pStyle w:val="37"/>
                    <w:bidi w:val="0"/>
                    <w:jc w:val="center"/>
                    <w:rPr>
                      <w:color w:val="auto"/>
                    </w:rPr>
                  </w:pPr>
                  <w:r>
                    <w:rPr>
                      <w:color w:val="auto"/>
                    </w:rPr>
                    <w:t>50T汽车吊</w:t>
                  </w:r>
                </w:p>
              </w:tc>
              <w:tc>
                <w:tcPr>
                  <w:tcW w:w="3094" w:type="dxa"/>
                  <w:tcBorders>
                    <w:tl2br w:val="nil"/>
                    <w:tr2bl w:val="nil"/>
                  </w:tcBorders>
                  <w:vAlign w:val="center"/>
                </w:tcPr>
                <w:p w14:paraId="1D9EC8F7">
                  <w:pPr>
                    <w:pStyle w:val="37"/>
                    <w:bidi w:val="0"/>
                    <w:jc w:val="center"/>
                    <w:rPr>
                      <w:color w:val="auto"/>
                    </w:rPr>
                  </w:pPr>
                  <w:r>
                    <w:rPr>
                      <w:color w:val="auto"/>
                    </w:rPr>
                    <w:t>85</w:t>
                  </w:r>
                </w:p>
              </w:tc>
            </w:tr>
          </w:tbl>
          <w:p w14:paraId="2FC1F8B8">
            <w:pPr>
              <w:bidi w:val="0"/>
              <w:rPr>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color w:val="auto"/>
              </w:rPr>
              <w:t>施工机械噪声</w:t>
            </w:r>
            <w:bookmarkEnd w:id="37"/>
            <w:r>
              <w:rPr>
                <w:rFonts w:hint="eastAsia"/>
                <w:color w:val="auto"/>
              </w:rPr>
              <w:t>预测模型</w:t>
            </w:r>
          </w:p>
          <w:bookmarkEnd w:id="36"/>
          <w:p w14:paraId="1484F51A">
            <w:pPr>
              <w:spacing w:line="360" w:lineRule="auto"/>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项目施工阶段单台设备噪声最大值约</w:t>
            </w:r>
            <w:r>
              <w:rPr>
                <w:rFonts w:hint="eastAsia"/>
                <w:color w:val="auto"/>
                <w:sz w:val="24"/>
                <w:szCs w:val="24"/>
                <w:highlight w:val="none"/>
                <w:lang w:val="en-US" w:eastAsia="zh-CN"/>
              </w:rPr>
              <w:t>93</w:t>
            </w:r>
            <w:r>
              <w:rPr>
                <w:rFonts w:ascii="Times New Roman" w:hAnsi="Times New Roman" w:eastAsia="宋体"/>
                <w:color w:val="auto"/>
                <w:sz w:val="24"/>
                <w:szCs w:val="24"/>
                <w:highlight w:val="none"/>
              </w:rPr>
              <w:t>dB</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A</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，但由于施工多在</w:t>
            </w:r>
            <w:r>
              <w:rPr>
                <w:rFonts w:hint="eastAsia"/>
                <w:color w:val="auto"/>
                <w:sz w:val="24"/>
                <w:szCs w:val="24"/>
                <w:highlight w:val="none"/>
                <w:lang w:val="en-US" w:eastAsia="zh-CN"/>
              </w:rPr>
              <w:t>围墙内</w:t>
            </w:r>
            <w:r>
              <w:rPr>
                <w:rFonts w:ascii="Times New Roman" w:hAnsi="Times New Roman" w:eastAsia="宋体"/>
                <w:color w:val="auto"/>
                <w:sz w:val="24"/>
                <w:szCs w:val="24"/>
                <w:highlight w:val="none"/>
              </w:rPr>
              <w:t>进行，施工噪声经过墙体隔音、距离衰减、空气吸收后噪声值可降低。项目主体建设及配套设施建设阶段噪声值相对较大，但是主体建设及配套设施建设阶段，人工施工环节较多，使用机械设备较</w:t>
            </w:r>
            <w:r>
              <w:rPr>
                <w:rFonts w:hint="eastAsia" w:ascii="Times New Roman" w:hAnsi="Times New Roman" w:eastAsia="宋体"/>
                <w:color w:val="auto"/>
                <w:sz w:val="24"/>
                <w:szCs w:val="24"/>
                <w:highlight w:val="none"/>
              </w:rPr>
              <w:t>少</w:t>
            </w:r>
            <w:r>
              <w:rPr>
                <w:rFonts w:ascii="Times New Roman" w:hAnsi="Times New Roman" w:eastAsia="宋体"/>
                <w:color w:val="auto"/>
                <w:sz w:val="24"/>
                <w:szCs w:val="24"/>
                <w:highlight w:val="none"/>
              </w:rPr>
              <w:t>。基础施工阶段</w:t>
            </w:r>
            <w:r>
              <w:rPr>
                <w:rFonts w:hint="eastAsia" w:ascii="Times New Roman" w:hAnsi="Times New Roman" w:eastAsia="宋体"/>
                <w:color w:val="auto"/>
                <w:sz w:val="24"/>
                <w:szCs w:val="24"/>
                <w:highlight w:val="none"/>
              </w:rPr>
              <w:t>，由于本项目基础施工阶段工程量较小，噪声影响时间不长，</w:t>
            </w:r>
            <w:r>
              <w:rPr>
                <w:rFonts w:ascii="Times New Roman" w:hAnsi="Times New Roman" w:eastAsia="宋体"/>
                <w:color w:val="auto"/>
                <w:sz w:val="24"/>
                <w:szCs w:val="24"/>
                <w:highlight w:val="none"/>
              </w:rPr>
              <w:t>因此，本项目施工过程中取土石方阶段</w:t>
            </w:r>
            <w:r>
              <w:rPr>
                <w:rFonts w:hint="eastAsia" w:ascii="Times New Roman" w:hAnsi="Times New Roman" w:eastAsia="宋体"/>
                <w:color w:val="auto"/>
                <w:sz w:val="24"/>
                <w:szCs w:val="24"/>
                <w:highlight w:val="none"/>
              </w:rPr>
              <w:t>机械</w:t>
            </w:r>
            <w:r>
              <w:rPr>
                <w:rFonts w:ascii="Times New Roman" w:hAnsi="Times New Roman" w:eastAsia="宋体"/>
                <w:color w:val="auto"/>
                <w:sz w:val="24"/>
                <w:szCs w:val="24"/>
                <w:highlight w:val="none"/>
              </w:rPr>
              <w:t>噪声源</w:t>
            </w:r>
            <w:r>
              <w:rPr>
                <w:rFonts w:hint="eastAsia" w:ascii="Times New Roman" w:hAnsi="Times New Roman" w:eastAsia="宋体"/>
                <w:color w:val="auto"/>
                <w:sz w:val="24"/>
                <w:szCs w:val="24"/>
                <w:highlight w:val="none"/>
              </w:rPr>
              <w:t>强进行预测</w:t>
            </w:r>
            <w:r>
              <w:rPr>
                <w:rFonts w:ascii="Times New Roman" w:hAnsi="Times New Roman" w:eastAsia="宋体"/>
                <w:color w:val="auto"/>
                <w:sz w:val="24"/>
                <w:szCs w:val="24"/>
                <w:highlight w:val="none"/>
              </w:rPr>
              <w:t>。</w:t>
            </w:r>
          </w:p>
          <w:p w14:paraId="0490DC4E">
            <w:pPr>
              <w:spacing w:line="360" w:lineRule="auto"/>
              <w:ind w:firstLine="480" w:firstLineChars="200"/>
              <w:rPr>
                <w:rFonts w:hint="eastAsia" w:ascii="Times New Roman" w:hAnsi="Times New Roman" w:eastAsia="宋体"/>
                <w:color w:val="auto"/>
                <w:sz w:val="24"/>
                <w:szCs w:val="24"/>
                <w:highlight w:val="none"/>
                <w:lang w:eastAsia="zh-CN"/>
              </w:rPr>
            </w:pPr>
            <w:r>
              <w:rPr>
                <w:rFonts w:ascii="Times New Roman" w:hAnsi="Times New Roman" w:eastAsia="宋体"/>
                <w:color w:val="auto"/>
                <w:sz w:val="24"/>
                <w:szCs w:val="24"/>
                <w:highlight w:val="none"/>
              </w:rPr>
              <w:t>噪声从声源传播到受声点，受传播距离，空气吸收，阻挡物的反射与屏障等因素的影响而产生衰减。用A声级进行预测时，其预测模式如下：</w:t>
            </w:r>
          </w:p>
          <w:p w14:paraId="6BC5CC61">
            <w:pPr>
              <w:spacing w:line="360" w:lineRule="auto"/>
              <w:ind w:firstLine="573"/>
              <w:jc w:val="center"/>
              <w:rPr>
                <w:rFonts w:ascii="Times New Roman" w:hAnsi="Times New Roman" w:eastAsia="宋体"/>
                <w:color w:val="auto"/>
                <w:sz w:val="24"/>
                <w:szCs w:val="24"/>
                <w:highlight w:val="none"/>
                <w:lang w:val="pt-BR"/>
              </w:rPr>
            </w:pPr>
            <w:r>
              <w:rPr>
                <w:rFonts w:ascii="Times New Roman" w:hAnsi="Times New Roman" w:eastAsia="宋体"/>
                <w:color w:val="auto"/>
                <w:sz w:val="24"/>
                <w:szCs w:val="24"/>
                <w:highlight w:val="none"/>
                <w:lang w:val="pt-BR"/>
              </w:rPr>
              <w:t>Lp（r）=Lp（r0）－（Adiv+Abar+Aatm+Agr+Amisc）</w:t>
            </w:r>
          </w:p>
          <w:p w14:paraId="1848DBCB">
            <w:pPr>
              <w:autoSpaceDE w:val="0"/>
              <w:autoSpaceDN w:val="0"/>
              <w:adjustRightInd w:val="0"/>
              <w:spacing w:line="360" w:lineRule="auto"/>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lang w:val="pt-BR"/>
              </w:rPr>
              <w:t>式中，</w:t>
            </w:r>
            <w:r>
              <w:rPr>
                <w:rFonts w:ascii="Times New Roman" w:hAnsi="Times New Roman" w:eastAsia="宋体"/>
                <w:color w:val="auto"/>
                <w:sz w:val="24"/>
                <w:szCs w:val="24"/>
                <w:highlight w:val="none"/>
              </w:rPr>
              <w:t>L</w:t>
            </w:r>
            <w:r>
              <w:rPr>
                <w:rFonts w:ascii="Times New Roman" w:hAnsi="Times New Roman" w:eastAsia="宋体"/>
                <w:color w:val="auto"/>
                <w:sz w:val="24"/>
                <w:szCs w:val="24"/>
                <w:highlight w:val="none"/>
                <w:lang w:val="pt-BR"/>
              </w:rPr>
              <w:t>p（r）</w:t>
            </w:r>
            <w:r>
              <w:rPr>
                <w:rFonts w:ascii="Times New Roman" w:hAnsi="Times New Roman" w:eastAsia="宋体"/>
                <w:color w:val="auto"/>
                <w:sz w:val="24"/>
                <w:szCs w:val="24"/>
                <w:highlight w:val="none"/>
              </w:rPr>
              <w:t>－距声源r处的A声级；</w:t>
            </w:r>
          </w:p>
          <w:p w14:paraId="2E9C36E4">
            <w:pPr>
              <w:autoSpaceDE w:val="0"/>
              <w:autoSpaceDN w:val="0"/>
              <w:adjustRightInd w:val="0"/>
              <w:spacing w:line="360" w:lineRule="auto"/>
              <w:ind w:firstLine="840" w:firstLineChars="35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L</w:t>
            </w:r>
            <w:r>
              <w:rPr>
                <w:rFonts w:ascii="Times New Roman" w:hAnsi="Times New Roman" w:eastAsia="宋体"/>
                <w:color w:val="auto"/>
                <w:sz w:val="24"/>
                <w:szCs w:val="24"/>
                <w:highlight w:val="none"/>
                <w:lang w:val="pt-BR"/>
              </w:rPr>
              <w:t>p</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r0</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－参考位置r</w:t>
            </w:r>
            <w:r>
              <w:rPr>
                <w:rFonts w:ascii="Times New Roman" w:hAnsi="Times New Roman" w:eastAsia="宋体"/>
                <w:color w:val="auto"/>
                <w:sz w:val="24"/>
                <w:szCs w:val="24"/>
                <w:highlight w:val="none"/>
                <w:vertAlign w:val="subscript"/>
              </w:rPr>
              <w:t>0</w:t>
            </w:r>
            <w:r>
              <w:rPr>
                <w:rFonts w:ascii="Times New Roman" w:hAnsi="Times New Roman" w:eastAsia="宋体"/>
                <w:color w:val="auto"/>
                <w:sz w:val="24"/>
                <w:szCs w:val="24"/>
                <w:highlight w:val="none"/>
              </w:rPr>
              <w:t>处的A声级；</w:t>
            </w:r>
          </w:p>
          <w:p w14:paraId="5AD57D2D">
            <w:pPr>
              <w:autoSpaceDE w:val="0"/>
              <w:autoSpaceDN w:val="0"/>
              <w:adjustRightInd w:val="0"/>
              <w:spacing w:line="360" w:lineRule="auto"/>
              <w:ind w:firstLine="840" w:firstLineChars="35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Adiv－声波几何发散所引起的A声级衰减量，即距离所引起的无指向性点声源几何发散衰减的基本公式为：Adiv＝20lg</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r/r0</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w:t>
            </w:r>
          </w:p>
          <w:p w14:paraId="7D47A162">
            <w:pPr>
              <w:autoSpaceDE w:val="0"/>
              <w:autoSpaceDN w:val="0"/>
              <w:adjustRightInd w:val="0"/>
              <w:spacing w:line="360" w:lineRule="auto"/>
              <w:ind w:firstLine="840" w:firstLineChars="35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lang w:val="pt-BR"/>
              </w:rPr>
              <w:t>Abar</w:t>
            </w:r>
            <w:r>
              <w:rPr>
                <w:rFonts w:ascii="Times New Roman" w:hAnsi="Times New Roman" w:eastAsia="宋体"/>
                <w:color w:val="auto"/>
                <w:sz w:val="24"/>
                <w:szCs w:val="24"/>
                <w:highlight w:val="none"/>
              </w:rPr>
              <w:t>－屏障物所引起</w:t>
            </w:r>
            <w:r>
              <w:rPr>
                <w:rFonts w:hint="eastAsia"/>
                <w:color w:val="auto"/>
                <w:sz w:val="24"/>
                <w:szCs w:val="24"/>
                <w:highlight w:val="none"/>
                <w:lang w:eastAsia="zh-CN"/>
              </w:rPr>
              <w:t>的</w:t>
            </w:r>
            <w:r>
              <w:rPr>
                <w:rFonts w:ascii="Times New Roman" w:hAnsi="Times New Roman" w:eastAsia="宋体"/>
                <w:color w:val="auto"/>
                <w:sz w:val="24"/>
                <w:szCs w:val="24"/>
                <w:highlight w:val="none"/>
              </w:rPr>
              <w:t>A声级衰减量，屏障物通常包括建筑物墙壁的阻挡、建筑物声屏障效应以及植物的吸收屏障效应等，对于产生阻挡的植物而言，只有通过密集的植物丛时，才会对噪声产生阻挡衰减作用。</w:t>
            </w:r>
          </w:p>
          <w:p w14:paraId="36619672">
            <w:pPr>
              <w:autoSpaceDE w:val="0"/>
              <w:autoSpaceDN w:val="0"/>
              <w:adjustRightInd w:val="0"/>
              <w:spacing w:line="360" w:lineRule="auto"/>
              <w:ind w:firstLine="840" w:firstLineChars="35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lang w:val="pt-BR"/>
              </w:rPr>
              <w:t>Aatm</w:t>
            </w:r>
            <w:r>
              <w:rPr>
                <w:rFonts w:ascii="Times New Roman" w:hAnsi="Times New Roman" w:eastAsia="宋体"/>
                <w:color w:val="auto"/>
                <w:sz w:val="24"/>
                <w:szCs w:val="24"/>
                <w:highlight w:val="none"/>
              </w:rPr>
              <w:t>－空气吸收所引起的A声级衰减量，其计算公式为：</w:t>
            </w:r>
            <w:r>
              <w:rPr>
                <w:rFonts w:ascii="Times New Roman" w:hAnsi="Times New Roman" w:eastAsia="宋体"/>
                <w:color w:val="auto"/>
                <w:sz w:val="24"/>
                <w:szCs w:val="24"/>
                <w:highlight w:val="none"/>
                <w:lang w:val="pt-BR"/>
              </w:rPr>
              <w:t>Aatm=</w:t>
            </w:r>
            <w:r>
              <w:rPr>
                <w:rFonts w:ascii="Times New Roman" w:hAnsi="Times New Roman" w:eastAsia="宋体"/>
                <w:color w:val="auto"/>
                <w:sz w:val="24"/>
                <w:szCs w:val="24"/>
                <w:highlight w:val="none"/>
              </w:rPr>
              <w:t>αΔr/100，其值与温度、湿度以及噪声的频率有关，一般来讲，对高频部分的空气吸声系数很大，而对中低频部分则很小，Δr是预测点到参考位置点的距离，当Δr&lt;200m时，</w:t>
            </w:r>
            <w:r>
              <w:rPr>
                <w:rFonts w:ascii="Times New Roman" w:hAnsi="Times New Roman" w:eastAsia="宋体"/>
                <w:color w:val="auto"/>
                <w:sz w:val="24"/>
                <w:szCs w:val="24"/>
                <w:highlight w:val="none"/>
                <w:lang w:val="pt-BR"/>
              </w:rPr>
              <w:t>Aatm</w:t>
            </w:r>
            <w:r>
              <w:rPr>
                <w:rFonts w:ascii="Times New Roman" w:hAnsi="Times New Roman" w:eastAsia="宋体"/>
                <w:color w:val="auto"/>
                <w:sz w:val="24"/>
                <w:szCs w:val="24"/>
                <w:highlight w:val="none"/>
              </w:rPr>
              <w:t>近似为零，一般情况下可忽略不计。</w:t>
            </w:r>
          </w:p>
          <w:p w14:paraId="6CFD25E7">
            <w:pPr>
              <w:autoSpaceDE w:val="0"/>
              <w:autoSpaceDN w:val="0"/>
              <w:adjustRightInd w:val="0"/>
              <w:spacing w:line="360" w:lineRule="auto"/>
              <w:ind w:firstLine="840" w:firstLineChars="350"/>
              <w:rPr>
                <w:rFonts w:ascii="Times New Roman" w:hAnsi="Times New Roman" w:eastAsia="宋体"/>
                <w:color w:val="auto"/>
                <w:sz w:val="24"/>
                <w:szCs w:val="24"/>
                <w:highlight w:val="none"/>
                <w:lang w:val="pt-BR"/>
              </w:rPr>
            </w:pPr>
            <w:r>
              <w:rPr>
                <w:rFonts w:ascii="Times New Roman" w:hAnsi="Times New Roman" w:eastAsia="宋体"/>
                <w:color w:val="auto"/>
                <w:sz w:val="24"/>
                <w:szCs w:val="24"/>
                <w:highlight w:val="none"/>
                <w:lang w:val="pt-BR"/>
              </w:rPr>
              <w:t>Agr</w:t>
            </w:r>
            <w:r>
              <w:rPr>
                <w:rFonts w:ascii="Times New Roman" w:hAnsi="Times New Roman" w:eastAsia="宋体"/>
                <w:color w:val="auto"/>
                <w:sz w:val="24"/>
                <w:szCs w:val="24"/>
                <w:highlight w:val="none"/>
              </w:rPr>
              <w:t>－地面效应所引起的A声级衰减量</w:t>
            </w:r>
            <w:r>
              <w:rPr>
                <w:rFonts w:ascii="Times New Roman" w:hAnsi="Times New Roman" w:eastAsia="宋体"/>
                <w:color w:val="auto"/>
                <w:sz w:val="24"/>
                <w:szCs w:val="24"/>
                <w:highlight w:val="none"/>
                <w:lang w:val="pt-BR"/>
              </w:rPr>
              <w:t>。</w:t>
            </w:r>
          </w:p>
          <w:p w14:paraId="27378D48">
            <w:pPr>
              <w:autoSpaceDE w:val="0"/>
              <w:autoSpaceDN w:val="0"/>
              <w:adjustRightInd w:val="0"/>
              <w:spacing w:line="360" w:lineRule="auto"/>
              <w:ind w:firstLine="840" w:firstLineChars="35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lang w:val="pt-BR"/>
              </w:rPr>
              <w:t>Amisc</w:t>
            </w:r>
            <w:r>
              <w:rPr>
                <w:rFonts w:ascii="Times New Roman" w:hAnsi="Times New Roman" w:eastAsia="宋体"/>
                <w:color w:val="auto"/>
                <w:sz w:val="24"/>
                <w:szCs w:val="24"/>
                <w:highlight w:val="none"/>
              </w:rPr>
              <w:t>－附加A声级衰减量，附加声级衰减包括通过工业场所、房屋群的衰减等。一般情况下的环境影响评价中，不需考虑风、云、雾及温度梯度所引起的附加影响。</w:t>
            </w:r>
          </w:p>
          <w:p w14:paraId="3483FF53">
            <w:pPr>
              <w:autoSpaceDE w:val="0"/>
              <w:autoSpaceDN w:val="0"/>
              <w:adjustRightInd w:val="0"/>
              <w:spacing w:line="360" w:lineRule="auto"/>
              <w:ind w:firstLine="840" w:firstLineChars="350"/>
              <w:rPr>
                <w:rFonts w:ascii="Times New Roman" w:hAnsi="Times New Roman" w:eastAsia="宋体"/>
                <w:color w:val="auto"/>
                <w:sz w:val="24"/>
                <w:szCs w:val="24"/>
                <w:highlight w:val="none"/>
                <w:lang w:val="pt-BR"/>
              </w:rPr>
            </w:pPr>
            <w:r>
              <w:rPr>
                <w:rFonts w:ascii="Times New Roman" w:hAnsi="Times New Roman" w:eastAsia="宋体"/>
                <w:color w:val="auto"/>
                <w:sz w:val="24"/>
                <w:szCs w:val="24"/>
                <w:highlight w:val="none"/>
              </w:rPr>
              <w:t>多个机械同时作业的总等效连续A声级计算公式为：</w:t>
            </w:r>
          </w:p>
          <w:p w14:paraId="6D056536">
            <w:pPr>
              <w:tabs>
                <w:tab w:val="left" w:pos="2100"/>
              </w:tabs>
              <w:spacing w:line="360" w:lineRule="auto"/>
              <w:ind w:firstLine="2040" w:firstLineChars="850"/>
              <w:rPr>
                <w:rFonts w:ascii="Times New Roman" w:hAnsi="Times New Roman" w:eastAsia="宋体"/>
                <w:color w:val="auto"/>
                <w:sz w:val="24"/>
                <w:szCs w:val="24"/>
                <w:highlight w:val="none"/>
                <w:lang w:val="pt-BR"/>
              </w:rPr>
            </w:pPr>
            <w:r>
              <w:rPr>
                <w:rFonts w:ascii="Times New Roman" w:hAnsi="Times New Roman" w:eastAsia="宋体"/>
                <w:color w:val="auto"/>
                <w:sz w:val="24"/>
                <w:szCs w:val="24"/>
                <w:highlight w:val="none"/>
                <w:lang w:val="pt-BR"/>
              </w:rPr>
              <w:object>
                <v:shape id="_x0000_i1025" o:spt="75" type="#_x0000_t75" style="height:37.4pt;width:151.55pt;" o:ole="t" filled="f" o:preferrelative="t" stroked="f" coordsize="21600,21600">
                  <v:path/>
                  <v:fill on="f" focussize="0,0"/>
                  <v:stroke on="f"/>
                  <v:imagedata r:id="rId40" o:title=""/>
                  <o:lock v:ext="edit" aspectratio="t"/>
                  <w10:wrap type="none"/>
                  <w10:anchorlock/>
                </v:shape>
                <o:OLEObject Type="Embed" ProgID="Equation.3" ShapeID="_x0000_i1025" DrawAspect="Content" ObjectID="_1468075725" r:id="rId39">
                  <o:LockedField>false</o:LockedField>
                </o:OLEObject>
              </w:object>
            </w:r>
          </w:p>
          <w:p w14:paraId="0B8CAD86">
            <w:pPr>
              <w:keepNext w:val="0"/>
              <w:keepLines w:val="0"/>
              <w:pageBreakBefore w:val="0"/>
              <w:widowControl w:val="0"/>
              <w:tabs>
                <w:tab w:val="left" w:pos="2100"/>
              </w:tabs>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olor w:val="auto"/>
                <w:sz w:val="24"/>
                <w:szCs w:val="24"/>
                <w:highlight w:val="none"/>
                <w:lang w:val="pt-BR"/>
              </w:rPr>
            </w:pPr>
            <w:r>
              <w:rPr>
                <w:rFonts w:ascii="Times New Roman" w:hAnsi="Times New Roman" w:eastAsia="宋体"/>
                <w:color w:val="auto"/>
                <w:sz w:val="24"/>
                <w:szCs w:val="24"/>
                <w:highlight w:val="none"/>
              </w:rPr>
              <w:t>式中Lpi－预测点（r）处，第i倍频带声压级，dB</w:t>
            </w:r>
            <w:r>
              <w:rPr>
                <w:rFonts w:ascii="Times New Roman" w:hAnsi="Times New Roman" w:eastAsia="宋体"/>
                <w:color w:val="auto"/>
                <w:sz w:val="24"/>
                <w:szCs w:val="24"/>
                <w:highlight w:val="none"/>
                <w:lang w:val="pt-BR"/>
              </w:rPr>
              <w:t>；</w:t>
            </w:r>
          </w:p>
          <w:p w14:paraId="03907AA3">
            <w:pPr>
              <w:keepNext w:val="0"/>
              <w:keepLines w:val="0"/>
              <w:pageBreakBefore w:val="0"/>
              <w:widowControl w:val="0"/>
              <w:tabs>
                <w:tab w:val="left" w:pos="2100"/>
              </w:tabs>
              <w:kinsoku/>
              <w:wordWrap/>
              <w:overflowPunct/>
              <w:topLinePunct w:val="0"/>
              <w:autoSpaceDE/>
              <w:autoSpaceDN/>
              <w:bidi w:val="0"/>
              <w:adjustRightInd/>
              <w:snapToGrid/>
              <w:spacing w:line="360" w:lineRule="auto"/>
              <w:ind w:firstLine="480" w:firstLineChars="200"/>
              <w:textAlignment w:val="auto"/>
              <w:rPr>
                <w:rFonts w:ascii="Times New Roman" w:hAnsi="Times New Roman" w:eastAsia="宋体"/>
                <w:color w:val="auto"/>
                <w:sz w:val="24"/>
                <w:szCs w:val="24"/>
                <w:highlight w:val="none"/>
                <w:lang w:val="pt-BR"/>
              </w:rPr>
            </w:pPr>
            <w:r>
              <w:rPr>
                <w:rFonts w:ascii="Times New Roman" w:hAnsi="Times New Roman" w:eastAsia="宋体"/>
                <w:color w:val="auto"/>
                <w:sz w:val="24"/>
                <w:szCs w:val="24"/>
                <w:highlight w:val="none"/>
              </w:rPr>
              <w:t>ΔLi－第i倍频带的A计权网格修正值，dB，本项目取0</w:t>
            </w:r>
            <w:r>
              <w:rPr>
                <w:rFonts w:ascii="Times New Roman" w:hAnsi="Times New Roman" w:eastAsia="宋体"/>
                <w:color w:val="auto"/>
                <w:sz w:val="24"/>
                <w:szCs w:val="24"/>
                <w:highlight w:val="none"/>
                <w:lang w:val="pt-BR"/>
              </w:rPr>
              <w:t>；</w:t>
            </w:r>
          </w:p>
          <w:p w14:paraId="6E411A52">
            <w:pPr>
              <w:bidi w:val="0"/>
              <w:rPr>
                <w:color w:val="auto"/>
              </w:rPr>
            </w:pPr>
            <w:bookmarkStart w:id="38" w:name="_Toc350868195"/>
            <w:r>
              <w:rPr>
                <w:rFonts w:hint="eastAsia"/>
                <w:color w:val="auto"/>
                <w:lang w:eastAsia="zh-CN"/>
              </w:rPr>
              <w:t>（</w:t>
            </w:r>
            <w:r>
              <w:rPr>
                <w:rFonts w:hint="eastAsia"/>
                <w:color w:val="auto"/>
                <w:lang w:val="en-US" w:eastAsia="zh-CN"/>
              </w:rPr>
              <w:t>3</w:t>
            </w:r>
            <w:r>
              <w:rPr>
                <w:rFonts w:hint="eastAsia"/>
                <w:color w:val="auto"/>
                <w:lang w:eastAsia="zh-CN"/>
              </w:rPr>
              <w:t>）</w:t>
            </w:r>
            <w:r>
              <w:rPr>
                <w:color w:val="auto"/>
              </w:rPr>
              <w:t>施工期噪声影响预测结果</w:t>
            </w:r>
            <w:bookmarkEnd w:id="38"/>
          </w:p>
          <w:p w14:paraId="602459B8">
            <w:pPr>
              <w:bidi w:val="0"/>
              <w:rPr>
                <w:color w:val="auto"/>
              </w:rPr>
            </w:pPr>
            <w:r>
              <w:rPr>
                <w:rFonts w:hint="eastAsia"/>
                <w:color w:val="auto"/>
              </w:rPr>
              <w:t>各施工阶段主要噪声源在不同距离处的平均等效声级计算结果详见下表。</w:t>
            </w:r>
          </w:p>
          <w:p w14:paraId="775CF5EF">
            <w:pPr>
              <w:pStyle w:val="27"/>
              <w:bidi w:val="0"/>
              <w:rPr>
                <w:color w:val="auto"/>
              </w:rPr>
            </w:pPr>
            <w:r>
              <w:rPr>
                <w:rStyle w:val="38"/>
                <w:b/>
                <w:bCs/>
                <w:color w:val="auto"/>
              </w:rPr>
              <w:t>表</w:t>
            </w:r>
            <w:r>
              <w:rPr>
                <w:rStyle w:val="38"/>
                <w:rFonts w:hint="eastAsia"/>
                <w:b/>
                <w:bCs/>
                <w:color w:val="auto"/>
                <w:lang w:val="en-US" w:eastAsia="zh-CN"/>
              </w:rPr>
              <w:t>4-2</w:t>
            </w:r>
            <w:r>
              <w:rPr>
                <w:rStyle w:val="38"/>
                <w:b/>
                <w:bCs/>
                <w:color w:val="auto"/>
              </w:rPr>
              <w:t xml:space="preserve">  </w:t>
            </w:r>
            <w:r>
              <w:rPr>
                <w:rStyle w:val="38"/>
                <w:rFonts w:hint="eastAsia"/>
                <w:b/>
                <w:bCs/>
                <w:color w:val="auto"/>
              </w:rPr>
              <w:t>施工各阶段噪声在不同距离的平均等效声级</w:t>
            </w:r>
            <w:r>
              <w:rPr>
                <w:rStyle w:val="38"/>
                <w:b/>
                <w:bCs/>
                <w:color w:val="auto"/>
              </w:rPr>
              <w:t xml:space="preserve">  单位：dB</w:t>
            </w:r>
            <w:r>
              <w:rPr>
                <w:b/>
                <w:bCs/>
                <w:color w:val="auto"/>
                <w:spacing w:val="-2"/>
                <w:sz w:val="24"/>
                <w:szCs w:val="24"/>
              </w:rPr>
              <w:t>（</w:t>
            </w:r>
            <w:r>
              <w:rPr>
                <w:rFonts w:ascii="Times New Roman" w:hAnsi="Times New Roman" w:eastAsia="Times New Roman" w:cs="Times New Roman"/>
                <w:b/>
                <w:bCs/>
                <w:color w:val="auto"/>
                <w:spacing w:val="-2"/>
                <w:sz w:val="24"/>
                <w:szCs w:val="24"/>
              </w:rPr>
              <w:t>A</w:t>
            </w:r>
            <w:r>
              <w:rPr>
                <w:b/>
                <w:bCs/>
                <w:color w:val="auto"/>
                <w:spacing w:val="-2"/>
                <w:sz w:val="24"/>
                <w:szCs w:val="24"/>
              </w:rPr>
              <w:t>）</w:t>
            </w:r>
          </w:p>
          <w:tbl>
            <w:tblPr>
              <w:tblStyle w:val="20"/>
              <w:tblW w:w="8298" w:type="dxa"/>
              <w:tblInd w:w="-1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50"/>
              <w:gridCol w:w="1102"/>
              <w:gridCol w:w="879"/>
              <w:gridCol w:w="573"/>
              <w:gridCol w:w="573"/>
              <w:gridCol w:w="573"/>
              <w:gridCol w:w="573"/>
              <w:gridCol w:w="573"/>
              <w:gridCol w:w="675"/>
              <w:gridCol w:w="675"/>
              <w:gridCol w:w="675"/>
              <w:gridCol w:w="677"/>
            </w:tblGrid>
            <w:tr w14:paraId="1ACD6D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32" w:hRule="atLeast"/>
              </w:trPr>
              <w:tc>
                <w:tcPr>
                  <w:tcW w:w="750" w:type="dxa"/>
                  <w:vMerge w:val="restart"/>
                  <w:tcBorders>
                    <w:tl2br w:val="nil"/>
                    <w:tr2bl w:val="nil"/>
                  </w:tcBorders>
                  <w:shd w:val="clear" w:color="auto" w:fill="auto"/>
                  <w:vAlign w:val="center"/>
                </w:tcPr>
                <w:p w14:paraId="628C95F4">
                  <w:pPr>
                    <w:pStyle w:val="37"/>
                    <w:bidi w:val="0"/>
                    <w:rPr>
                      <w:rFonts w:hint="default"/>
                      <w:color w:val="auto"/>
                    </w:rPr>
                  </w:pPr>
                  <w:r>
                    <w:rPr>
                      <w:rFonts w:hint="eastAsia"/>
                      <w:color w:val="auto"/>
                      <w:lang w:val="en-US" w:eastAsia="zh-CN"/>
                    </w:rPr>
                    <w:t>项目</w:t>
                  </w:r>
                </w:p>
              </w:tc>
              <w:tc>
                <w:tcPr>
                  <w:tcW w:w="1102" w:type="dxa"/>
                  <w:vMerge w:val="restart"/>
                  <w:tcBorders>
                    <w:tl2br w:val="nil"/>
                    <w:tr2bl w:val="nil"/>
                  </w:tcBorders>
                  <w:shd w:val="clear" w:color="auto" w:fill="auto"/>
                  <w:vAlign w:val="center"/>
                </w:tcPr>
                <w:p w14:paraId="737F2E96">
                  <w:pPr>
                    <w:pStyle w:val="37"/>
                    <w:bidi w:val="0"/>
                    <w:rPr>
                      <w:rFonts w:hint="default"/>
                      <w:color w:val="auto"/>
                    </w:rPr>
                  </w:pPr>
                  <w:r>
                    <w:rPr>
                      <w:rFonts w:hint="eastAsia"/>
                      <w:color w:val="auto"/>
                      <w:lang w:val="en-US" w:eastAsia="zh-CN"/>
                    </w:rPr>
                    <w:t>设备名称</w:t>
                  </w:r>
                </w:p>
              </w:tc>
              <w:tc>
                <w:tcPr>
                  <w:tcW w:w="879" w:type="dxa"/>
                  <w:vMerge w:val="restart"/>
                  <w:tcBorders>
                    <w:tl2br w:val="nil"/>
                    <w:tr2bl w:val="nil"/>
                  </w:tcBorders>
                  <w:shd w:val="clear" w:color="auto" w:fill="auto"/>
                  <w:vAlign w:val="center"/>
                </w:tcPr>
                <w:p w14:paraId="5FE2E7AC">
                  <w:pPr>
                    <w:pStyle w:val="37"/>
                    <w:bidi w:val="0"/>
                    <w:rPr>
                      <w:rFonts w:hint="eastAsia"/>
                      <w:color w:val="auto"/>
                    </w:rPr>
                  </w:pPr>
                  <w:r>
                    <w:rPr>
                      <w:rFonts w:hint="eastAsia"/>
                      <w:color w:val="auto"/>
                      <w:lang w:val="en-US" w:eastAsia="zh-CN"/>
                    </w:rPr>
                    <w:t>噪声源强（</w:t>
                  </w:r>
                  <w:r>
                    <w:rPr>
                      <w:rFonts w:hint="default"/>
                      <w:color w:val="auto"/>
                      <w:lang w:val="en-US" w:eastAsia="zh-CN"/>
                    </w:rPr>
                    <w:t>5m</w:t>
                  </w:r>
                  <w:r>
                    <w:rPr>
                      <w:rFonts w:hint="eastAsia"/>
                      <w:color w:val="auto"/>
                      <w:lang w:val="en-US" w:eastAsia="zh-CN"/>
                    </w:rPr>
                    <w:t>）</w:t>
                  </w:r>
                  <w:r>
                    <w:rPr>
                      <w:rFonts w:hint="default"/>
                      <w:color w:val="auto"/>
                      <w:lang w:val="en-US" w:eastAsia="zh-CN"/>
                    </w:rPr>
                    <w:t>dB</w:t>
                  </w:r>
                  <w:r>
                    <w:rPr>
                      <w:rFonts w:hint="eastAsia"/>
                      <w:color w:val="auto"/>
                      <w:lang w:val="en-US" w:eastAsia="zh-CN"/>
                    </w:rPr>
                    <w:t>（</w:t>
                  </w:r>
                  <w:r>
                    <w:rPr>
                      <w:rFonts w:hint="default"/>
                      <w:color w:val="auto"/>
                      <w:lang w:val="en-US" w:eastAsia="zh-CN"/>
                    </w:rPr>
                    <w:t>A</w:t>
                  </w:r>
                  <w:r>
                    <w:rPr>
                      <w:rFonts w:hint="eastAsia"/>
                      <w:color w:val="auto"/>
                      <w:lang w:val="en-US" w:eastAsia="zh-CN"/>
                    </w:rPr>
                    <w:t>）</w:t>
                  </w:r>
                </w:p>
              </w:tc>
              <w:tc>
                <w:tcPr>
                  <w:tcW w:w="5567" w:type="dxa"/>
                  <w:gridSpan w:val="9"/>
                  <w:tcBorders>
                    <w:tl2br w:val="nil"/>
                    <w:tr2bl w:val="nil"/>
                  </w:tcBorders>
                  <w:shd w:val="clear" w:color="auto" w:fill="auto"/>
                  <w:noWrap/>
                  <w:vAlign w:val="center"/>
                </w:tcPr>
                <w:p w14:paraId="0ACA252F">
                  <w:pPr>
                    <w:pStyle w:val="37"/>
                    <w:bidi w:val="0"/>
                    <w:rPr>
                      <w:rFonts w:hint="eastAsia"/>
                      <w:color w:val="auto"/>
                      <w:lang w:val="en-US" w:eastAsia="zh-CN"/>
                    </w:rPr>
                  </w:pPr>
                  <w:r>
                    <w:rPr>
                      <w:rFonts w:hint="eastAsia"/>
                      <w:color w:val="auto"/>
                      <w:lang w:val="en-US" w:eastAsia="zh-CN"/>
                    </w:rPr>
                    <w:t>不同距离处的噪声预测</w:t>
                  </w:r>
                  <w:r>
                    <w:rPr>
                      <w:rFonts w:hint="default"/>
                      <w:color w:val="auto"/>
                      <w:lang w:val="en-US" w:eastAsia="zh-CN"/>
                    </w:rPr>
                    <w:t>dB</w:t>
                  </w:r>
                  <w:r>
                    <w:rPr>
                      <w:rFonts w:hint="eastAsia"/>
                      <w:color w:val="auto"/>
                      <w:lang w:val="en-US" w:eastAsia="zh-CN"/>
                    </w:rPr>
                    <w:t>（</w:t>
                  </w:r>
                  <w:r>
                    <w:rPr>
                      <w:rFonts w:hint="default"/>
                      <w:color w:val="auto"/>
                      <w:lang w:val="en-US" w:eastAsia="zh-CN"/>
                    </w:rPr>
                    <w:t>A</w:t>
                  </w:r>
                  <w:r>
                    <w:rPr>
                      <w:rFonts w:hint="eastAsia"/>
                      <w:color w:val="auto"/>
                      <w:lang w:val="en-US" w:eastAsia="zh-CN"/>
                    </w:rPr>
                    <w:t>）</w:t>
                  </w:r>
                </w:p>
              </w:tc>
            </w:tr>
            <w:tr w14:paraId="0FFA09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41" w:hRule="atLeast"/>
              </w:trPr>
              <w:tc>
                <w:tcPr>
                  <w:tcW w:w="750" w:type="dxa"/>
                  <w:vMerge w:val="continue"/>
                  <w:tcBorders>
                    <w:tl2br w:val="nil"/>
                    <w:tr2bl w:val="nil"/>
                  </w:tcBorders>
                  <w:shd w:val="clear" w:color="auto" w:fill="auto"/>
                  <w:vAlign w:val="center"/>
                </w:tcPr>
                <w:p w14:paraId="7266B21B">
                  <w:pPr>
                    <w:pStyle w:val="37"/>
                    <w:bidi w:val="0"/>
                    <w:rPr>
                      <w:rFonts w:hint="default"/>
                      <w:color w:val="auto"/>
                    </w:rPr>
                  </w:pPr>
                </w:p>
              </w:tc>
              <w:tc>
                <w:tcPr>
                  <w:tcW w:w="1102" w:type="dxa"/>
                  <w:vMerge w:val="continue"/>
                  <w:tcBorders>
                    <w:tl2br w:val="nil"/>
                    <w:tr2bl w:val="nil"/>
                  </w:tcBorders>
                  <w:shd w:val="clear" w:color="auto" w:fill="auto"/>
                  <w:vAlign w:val="center"/>
                </w:tcPr>
                <w:p w14:paraId="6F1575F7">
                  <w:pPr>
                    <w:pStyle w:val="37"/>
                    <w:bidi w:val="0"/>
                    <w:rPr>
                      <w:rFonts w:hint="default"/>
                      <w:color w:val="auto"/>
                    </w:rPr>
                  </w:pPr>
                </w:p>
              </w:tc>
              <w:tc>
                <w:tcPr>
                  <w:tcW w:w="879" w:type="dxa"/>
                  <w:vMerge w:val="continue"/>
                  <w:tcBorders>
                    <w:tl2br w:val="nil"/>
                    <w:tr2bl w:val="nil"/>
                  </w:tcBorders>
                  <w:shd w:val="clear" w:color="auto" w:fill="auto"/>
                  <w:vAlign w:val="center"/>
                </w:tcPr>
                <w:p w14:paraId="421B93E9">
                  <w:pPr>
                    <w:pStyle w:val="37"/>
                    <w:bidi w:val="0"/>
                    <w:rPr>
                      <w:rFonts w:hint="eastAsia"/>
                      <w:color w:val="auto"/>
                    </w:rPr>
                  </w:pPr>
                </w:p>
              </w:tc>
              <w:tc>
                <w:tcPr>
                  <w:tcW w:w="573" w:type="dxa"/>
                  <w:tcBorders>
                    <w:tl2br w:val="nil"/>
                    <w:tr2bl w:val="nil"/>
                  </w:tcBorders>
                  <w:shd w:val="clear" w:color="auto" w:fill="auto"/>
                  <w:vAlign w:val="center"/>
                </w:tcPr>
                <w:p w14:paraId="7A625220">
                  <w:pPr>
                    <w:pStyle w:val="37"/>
                    <w:bidi w:val="0"/>
                    <w:rPr>
                      <w:rFonts w:hint="default"/>
                      <w:color w:val="auto"/>
                    </w:rPr>
                  </w:pPr>
                  <w:r>
                    <w:rPr>
                      <w:rFonts w:hint="default"/>
                      <w:color w:val="auto"/>
                      <w:lang w:val="en-US" w:eastAsia="zh-CN"/>
                    </w:rPr>
                    <w:t>10m</w:t>
                  </w:r>
                </w:p>
              </w:tc>
              <w:tc>
                <w:tcPr>
                  <w:tcW w:w="573" w:type="dxa"/>
                  <w:tcBorders>
                    <w:tl2br w:val="nil"/>
                    <w:tr2bl w:val="nil"/>
                  </w:tcBorders>
                  <w:shd w:val="clear" w:color="auto" w:fill="auto"/>
                  <w:vAlign w:val="center"/>
                </w:tcPr>
                <w:p w14:paraId="3CF48BCE">
                  <w:pPr>
                    <w:pStyle w:val="37"/>
                    <w:bidi w:val="0"/>
                    <w:rPr>
                      <w:rFonts w:hint="default"/>
                      <w:color w:val="auto"/>
                    </w:rPr>
                  </w:pPr>
                  <w:r>
                    <w:rPr>
                      <w:rFonts w:hint="default"/>
                      <w:color w:val="auto"/>
                      <w:lang w:val="en-US" w:eastAsia="zh-CN"/>
                    </w:rPr>
                    <w:t>20m</w:t>
                  </w:r>
                </w:p>
              </w:tc>
              <w:tc>
                <w:tcPr>
                  <w:tcW w:w="573" w:type="dxa"/>
                  <w:tcBorders>
                    <w:tl2br w:val="nil"/>
                    <w:tr2bl w:val="nil"/>
                  </w:tcBorders>
                  <w:shd w:val="clear" w:color="auto" w:fill="auto"/>
                  <w:vAlign w:val="center"/>
                </w:tcPr>
                <w:p w14:paraId="3C3FAFDD">
                  <w:pPr>
                    <w:pStyle w:val="37"/>
                    <w:bidi w:val="0"/>
                    <w:rPr>
                      <w:rFonts w:hint="default"/>
                      <w:color w:val="auto"/>
                    </w:rPr>
                  </w:pPr>
                  <w:r>
                    <w:rPr>
                      <w:rFonts w:hint="default"/>
                      <w:color w:val="auto"/>
                      <w:lang w:val="en-US" w:eastAsia="zh-CN"/>
                    </w:rPr>
                    <w:t>40m</w:t>
                  </w:r>
                </w:p>
              </w:tc>
              <w:tc>
                <w:tcPr>
                  <w:tcW w:w="573" w:type="dxa"/>
                  <w:tcBorders>
                    <w:tl2br w:val="nil"/>
                    <w:tr2bl w:val="nil"/>
                  </w:tcBorders>
                  <w:shd w:val="clear" w:color="auto" w:fill="auto"/>
                  <w:vAlign w:val="center"/>
                </w:tcPr>
                <w:p w14:paraId="286F2038">
                  <w:pPr>
                    <w:pStyle w:val="37"/>
                    <w:bidi w:val="0"/>
                    <w:rPr>
                      <w:rFonts w:hint="default"/>
                      <w:color w:val="auto"/>
                    </w:rPr>
                  </w:pPr>
                  <w:r>
                    <w:rPr>
                      <w:rFonts w:hint="default"/>
                      <w:color w:val="auto"/>
                      <w:lang w:val="en-US" w:eastAsia="zh-CN"/>
                    </w:rPr>
                    <w:t>60m</w:t>
                  </w:r>
                </w:p>
              </w:tc>
              <w:tc>
                <w:tcPr>
                  <w:tcW w:w="573" w:type="dxa"/>
                  <w:tcBorders>
                    <w:tl2br w:val="nil"/>
                    <w:tr2bl w:val="nil"/>
                  </w:tcBorders>
                  <w:shd w:val="clear" w:color="auto" w:fill="auto"/>
                  <w:vAlign w:val="center"/>
                </w:tcPr>
                <w:p w14:paraId="5D290A2F">
                  <w:pPr>
                    <w:pStyle w:val="37"/>
                    <w:bidi w:val="0"/>
                    <w:rPr>
                      <w:rFonts w:hint="default" w:eastAsia="宋体"/>
                      <w:color w:val="auto"/>
                      <w:lang w:val="en-US" w:eastAsia="zh-CN"/>
                    </w:rPr>
                  </w:pPr>
                  <w:r>
                    <w:rPr>
                      <w:rFonts w:hint="eastAsia"/>
                      <w:color w:val="auto"/>
                      <w:lang w:val="en-US" w:eastAsia="zh-CN"/>
                    </w:rPr>
                    <w:t>75</w:t>
                  </w:r>
                  <w:r>
                    <w:rPr>
                      <w:rFonts w:hint="default"/>
                      <w:color w:val="auto"/>
                      <w:lang w:val="en-US" w:eastAsia="zh-CN"/>
                    </w:rPr>
                    <w:t>m</w:t>
                  </w:r>
                </w:p>
              </w:tc>
              <w:tc>
                <w:tcPr>
                  <w:tcW w:w="675" w:type="dxa"/>
                  <w:tcBorders>
                    <w:tl2br w:val="nil"/>
                    <w:tr2bl w:val="nil"/>
                  </w:tcBorders>
                  <w:shd w:val="clear" w:color="auto" w:fill="auto"/>
                  <w:vAlign w:val="center"/>
                </w:tcPr>
                <w:p w14:paraId="2DDADE1A">
                  <w:pPr>
                    <w:pStyle w:val="37"/>
                    <w:bidi w:val="0"/>
                    <w:rPr>
                      <w:rFonts w:hint="default"/>
                      <w:color w:val="auto"/>
                    </w:rPr>
                  </w:pPr>
                  <w:r>
                    <w:rPr>
                      <w:rFonts w:hint="default"/>
                      <w:color w:val="auto"/>
                      <w:lang w:val="en-US" w:eastAsia="zh-CN"/>
                    </w:rPr>
                    <w:t>100m</w:t>
                  </w:r>
                </w:p>
              </w:tc>
              <w:tc>
                <w:tcPr>
                  <w:tcW w:w="675" w:type="dxa"/>
                  <w:tcBorders>
                    <w:tl2br w:val="nil"/>
                    <w:tr2bl w:val="nil"/>
                  </w:tcBorders>
                  <w:shd w:val="clear" w:color="auto" w:fill="auto"/>
                  <w:vAlign w:val="center"/>
                </w:tcPr>
                <w:p w14:paraId="3FFEF4A7">
                  <w:pPr>
                    <w:pStyle w:val="37"/>
                    <w:bidi w:val="0"/>
                    <w:rPr>
                      <w:rFonts w:hint="default"/>
                      <w:color w:val="auto"/>
                    </w:rPr>
                  </w:pPr>
                  <w:r>
                    <w:rPr>
                      <w:rFonts w:hint="default"/>
                      <w:color w:val="auto"/>
                      <w:lang w:val="en-US" w:eastAsia="zh-CN"/>
                    </w:rPr>
                    <w:t>200m</w:t>
                  </w:r>
                </w:p>
              </w:tc>
              <w:tc>
                <w:tcPr>
                  <w:tcW w:w="675" w:type="dxa"/>
                  <w:tcBorders>
                    <w:tl2br w:val="nil"/>
                    <w:tr2bl w:val="nil"/>
                  </w:tcBorders>
                  <w:shd w:val="clear" w:color="auto" w:fill="auto"/>
                  <w:vAlign w:val="center"/>
                </w:tcPr>
                <w:p w14:paraId="105B12E9">
                  <w:pPr>
                    <w:pStyle w:val="37"/>
                    <w:bidi w:val="0"/>
                    <w:rPr>
                      <w:rFonts w:hint="default"/>
                      <w:color w:val="auto"/>
                    </w:rPr>
                  </w:pPr>
                  <w:r>
                    <w:rPr>
                      <w:rFonts w:hint="default"/>
                      <w:color w:val="auto"/>
                      <w:lang w:val="en-US" w:eastAsia="zh-CN"/>
                    </w:rPr>
                    <w:t>300m</w:t>
                  </w:r>
                </w:p>
              </w:tc>
              <w:tc>
                <w:tcPr>
                  <w:tcW w:w="677" w:type="dxa"/>
                  <w:tcBorders>
                    <w:tl2br w:val="nil"/>
                    <w:tr2bl w:val="nil"/>
                  </w:tcBorders>
                  <w:shd w:val="clear" w:color="auto" w:fill="auto"/>
                  <w:vAlign w:val="center"/>
                </w:tcPr>
                <w:p w14:paraId="02C32693">
                  <w:pPr>
                    <w:pStyle w:val="37"/>
                    <w:bidi w:val="0"/>
                    <w:rPr>
                      <w:rFonts w:hint="default"/>
                      <w:color w:val="auto"/>
                      <w:lang w:val="en-US" w:eastAsia="zh-CN"/>
                    </w:rPr>
                  </w:pPr>
                  <w:r>
                    <w:rPr>
                      <w:rFonts w:hint="default"/>
                      <w:color w:val="auto"/>
                      <w:lang w:val="en-US" w:eastAsia="zh-CN"/>
                    </w:rPr>
                    <w:t>500m</w:t>
                  </w:r>
                </w:p>
              </w:tc>
            </w:tr>
            <w:tr w14:paraId="0DAC986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750" w:type="dxa"/>
                  <w:vMerge w:val="restart"/>
                  <w:tcBorders>
                    <w:tl2br w:val="nil"/>
                    <w:tr2bl w:val="nil"/>
                  </w:tcBorders>
                  <w:shd w:val="clear" w:color="auto" w:fill="auto"/>
                  <w:vAlign w:val="center"/>
                </w:tcPr>
                <w:p w14:paraId="64239554">
                  <w:pPr>
                    <w:pStyle w:val="37"/>
                    <w:bidi w:val="0"/>
                    <w:rPr>
                      <w:rFonts w:hint="default"/>
                      <w:color w:val="auto"/>
                    </w:rPr>
                  </w:pPr>
                  <w:r>
                    <w:rPr>
                      <w:rFonts w:hint="eastAsia"/>
                      <w:color w:val="auto"/>
                      <w:lang w:val="en-US" w:eastAsia="zh-CN"/>
                    </w:rPr>
                    <w:t>土石方阶段</w:t>
                  </w:r>
                </w:p>
              </w:tc>
              <w:tc>
                <w:tcPr>
                  <w:tcW w:w="1102" w:type="dxa"/>
                  <w:tcBorders>
                    <w:tl2br w:val="nil"/>
                    <w:tr2bl w:val="nil"/>
                  </w:tcBorders>
                  <w:shd w:val="clear" w:color="auto" w:fill="auto"/>
                  <w:vAlign w:val="center"/>
                </w:tcPr>
                <w:p w14:paraId="1598ACC0">
                  <w:pPr>
                    <w:pStyle w:val="37"/>
                    <w:bidi w:val="0"/>
                    <w:rPr>
                      <w:rFonts w:hint="default"/>
                      <w:color w:val="auto"/>
                    </w:rPr>
                  </w:pPr>
                  <w:r>
                    <w:rPr>
                      <w:rFonts w:hint="eastAsia"/>
                      <w:color w:val="auto"/>
                      <w:lang w:val="en-US" w:eastAsia="zh-CN"/>
                    </w:rPr>
                    <w:t>挖掘机</w:t>
                  </w:r>
                </w:p>
              </w:tc>
              <w:tc>
                <w:tcPr>
                  <w:tcW w:w="879" w:type="dxa"/>
                  <w:tcBorders>
                    <w:tl2br w:val="nil"/>
                    <w:tr2bl w:val="nil"/>
                  </w:tcBorders>
                  <w:shd w:val="clear" w:color="auto" w:fill="auto"/>
                  <w:vAlign w:val="center"/>
                </w:tcPr>
                <w:p w14:paraId="5A071C0F">
                  <w:pPr>
                    <w:pStyle w:val="37"/>
                    <w:bidi w:val="0"/>
                    <w:rPr>
                      <w:rFonts w:hint="default"/>
                      <w:color w:val="auto"/>
                    </w:rPr>
                  </w:pPr>
                  <w:r>
                    <w:rPr>
                      <w:rFonts w:hint="default"/>
                      <w:color w:val="auto"/>
                      <w:lang w:val="en-US" w:eastAsia="zh-CN"/>
                    </w:rPr>
                    <w:t>82</w:t>
                  </w:r>
                </w:p>
              </w:tc>
              <w:tc>
                <w:tcPr>
                  <w:tcW w:w="573" w:type="dxa"/>
                  <w:tcBorders>
                    <w:tl2br w:val="nil"/>
                    <w:tr2bl w:val="nil"/>
                  </w:tcBorders>
                  <w:shd w:val="clear" w:color="auto" w:fill="auto"/>
                  <w:noWrap/>
                  <w:vAlign w:val="center"/>
                </w:tcPr>
                <w:p w14:paraId="36043C50">
                  <w:pPr>
                    <w:pStyle w:val="37"/>
                    <w:bidi w:val="0"/>
                    <w:rPr>
                      <w:rFonts w:hint="default"/>
                      <w:color w:val="auto"/>
                    </w:rPr>
                  </w:pPr>
                  <w:r>
                    <w:rPr>
                      <w:rFonts w:hint="default"/>
                      <w:color w:val="auto"/>
                      <w:lang w:val="en-US" w:eastAsia="zh-CN"/>
                    </w:rPr>
                    <w:t>76</w:t>
                  </w:r>
                </w:p>
              </w:tc>
              <w:tc>
                <w:tcPr>
                  <w:tcW w:w="573" w:type="dxa"/>
                  <w:tcBorders>
                    <w:tl2br w:val="nil"/>
                    <w:tr2bl w:val="nil"/>
                  </w:tcBorders>
                  <w:shd w:val="clear" w:color="auto" w:fill="auto"/>
                  <w:noWrap/>
                  <w:vAlign w:val="center"/>
                </w:tcPr>
                <w:p w14:paraId="09E1C86D">
                  <w:pPr>
                    <w:pStyle w:val="37"/>
                    <w:bidi w:val="0"/>
                    <w:rPr>
                      <w:rFonts w:hint="default"/>
                      <w:color w:val="auto"/>
                    </w:rPr>
                  </w:pPr>
                  <w:r>
                    <w:rPr>
                      <w:rFonts w:hint="default"/>
                      <w:color w:val="auto"/>
                      <w:lang w:val="en-US" w:eastAsia="zh-CN"/>
                    </w:rPr>
                    <w:t>70</w:t>
                  </w:r>
                </w:p>
              </w:tc>
              <w:tc>
                <w:tcPr>
                  <w:tcW w:w="573" w:type="dxa"/>
                  <w:tcBorders>
                    <w:tl2br w:val="nil"/>
                    <w:tr2bl w:val="nil"/>
                  </w:tcBorders>
                  <w:shd w:val="clear" w:color="auto" w:fill="auto"/>
                  <w:noWrap/>
                  <w:vAlign w:val="center"/>
                </w:tcPr>
                <w:p w14:paraId="17F0BDD9">
                  <w:pPr>
                    <w:pStyle w:val="37"/>
                    <w:bidi w:val="0"/>
                    <w:rPr>
                      <w:rFonts w:hint="default"/>
                      <w:color w:val="auto"/>
                    </w:rPr>
                  </w:pPr>
                  <w:r>
                    <w:rPr>
                      <w:rFonts w:hint="default"/>
                      <w:color w:val="auto"/>
                      <w:lang w:val="en-US" w:eastAsia="zh-CN"/>
                    </w:rPr>
                    <w:t>64</w:t>
                  </w:r>
                </w:p>
              </w:tc>
              <w:tc>
                <w:tcPr>
                  <w:tcW w:w="573" w:type="dxa"/>
                  <w:tcBorders>
                    <w:tl2br w:val="nil"/>
                    <w:tr2bl w:val="nil"/>
                  </w:tcBorders>
                  <w:shd w:val="clear" w:color="auto" w:fill="auto"/>
                  <w:noWrap/>
                  <w:vAlign w:val="center"/>
                </w:tcPr>
                <w:p w14:paraId="297DBAD3">
                  <w:pPr>
                    <w:pStyle w:val="37"/>
                    <w:bidi w:val="0"/>
                    <w:rPr>
                      <w:rFonts w:hint="default"/>
                      <w:color w:val="auto"/>
                    </w:rPr>
                  </w:pPr>
                  <w:r>
                    <w:rPr>
                      <w:rFonts w:hint="default"/>
                      <w:color w:val="auto"/>
                      <w:lang w:val="en-US" w:eastAsia="zh-CN"/>
                    </w:rPr>
                    <w:t>60</w:t>
                  </w:r>
                </w:p>
              </w:tc>
              <w:tc>
                <w:tcPr>
                  <w:tcW w:w="573" w:type="dxa"/>
                  <w:tcBorders>
                    <w:tl2br w:val="nil"/>
                    <w:tr2bl w:val="nil"/>
                  </w:tcBorders>
                  <w:shd w:val="clear" w:color="auto" w:fill="auto"/>
                  <w:noWrap/>
                  <w:vAlign w:val="center"/>
                </w:tcPr>
                <w:p w14:paraId="4441A5CD">
                  <w:pPr>
                    <w:pStyle w:val="37"/>
                    <w:bidi w:val="0"/>
                    <w:rPr>
                      <w:rFonts w:hint="default"/>
                      <w:color w:val="auto"/>
                    </w:rPr>
                  </w:pPr>
                  <w:r>
                    <w:rPr>
                      <w:rFonts w:hint="default"/>
                      <w:color w:val="auto"/>
                      <w:lang w:val="en-US" w:eastAsia="zh-CN"/>
                    </w:rPr>
                    <w:t>58</w:t>
                  </w:r>
                </w:p>
              </w:tc>
              <w:tc>
                <w:tcPr>
                  <w:tcW w:w="675" w:type="dxa"/>
                  <w:tcBorders>
                    <w:tl2br w:val="nil"/>
                    <w:tr2bl w:val="nil"/>
                  </w:tcBorders>
                  <w:shd w:val="clear" w:color="auto" w:fill="auto"/>
                  <w:noWrap/>
                  <w:vAlign w:val="center"/>
                </w:tcPr>
                <w:p w14:paraId="04419A3A">
                  <w:pPr>
                    <w:pStyle w:val="37"/>
                    <w:bidi w:val="0"/>
                    <w:rPr>
                      <w:rFonts w:hint="default"/>
                      <w:color w:val="auto"/>
                    </w:rPr>
                  </w:pPr>
                  <w:r>
                    <w:rPr>
                      <w:rFonts w:hint="default"/>
                      <w:color w:val="auto"/>
                      <w:lang w:val="en-US" w:eastAsia="zh-CN"/>
                    </w:rPr>
                    <w:t>56</w:t>
                  </w:r>
                </w:p>
              </w:tc>
              <w:tc>
                <w:tcPr>
                  <w:tcW w:w="675" w:type="dxa"/>
                  <w:tcBorders>
                    <w:tl2br w:val="nil"/>
                    <w:tr2bl w:val="nil"/>
                  </w:tcBorders>
                  <w:shd w:val="clear" w:color="auto" w:fill="auto"/>
                  <w:noWrap/>
                  <w:vAlign w:val="center"/>
                </w:tcPr>
                <w:p w14:paraId="68DABE86">
                  <w:pPr>
                    <w:pStyle w:val="37"/>
                    <w:bidi w:val="0"/>
                    <w:rPr>
                      <w:rFonts w:hint="default"/>
                      <w:color w:val="auto"/>
                    </w:rPr>
                  </w:pPr>
                  <w:r>
                    <w:rPr>
                      <w:rFonts w:hint="default"/>
                      <w:color w:val="auto"/>
                      <w:lang w:val="en-US" w:eastAsia="zh-CN"/>
                    </w:rPr>
                    <w:t>50</w:t>
                  </w:r>
                </w:p>
              </w:tc>
              <w:tc>
                <w:tcPr>
                  <w:tcW w:w="675" w:type="dxa"/>
                  <w:tcBorders>
                    <w:tl2br w:val="nil"/>
                    <w:tr2bl w:val="nil"/>
                  </w:tcBorders>
                  <w:shd w:val="clear" w:color="auto" w:fill="auto"/>
                  <w:noWrap/>
                  <w:vAlign w:val="center"/>
                </w:tcPr>
                <w:p w14:paraId="3E5B5C40">
                  <w:pPr>
                    <w:pStyle w:val="37"/>
                    <w:bidi w:val="0"/>
                    <w:rPr>
                      <w:rFonts w:hint="default"/>
                      <w:color w:val="auto"/>
                    </w:rPr>
                  </w:pPr>
                  <w:r>
                    <w:rPr>
                      <w:rFonts w:hint="default"/>
                      <w:color w:val="auto"/>
                      <w:lang w:val="en-US" w:eastAsia="zh-CN"/>
                    </w:rPr>
                    <w:t>46</w:t>
                  </w:r>
                </w:p>
              </w:tc>
              <w:tc>
                <w:tcPr>
                  <w:tcW w:w="677" w:type="dxa"/>
                  <w:tcBorders>
                    <w:tl2br w:val="nil"/>
                    <w:tr2bl w:val="nil"/>
                  </w:tcBorders>
                  <w:shd w:val="clear" w:color="auto" w:fill="auto"/>
                  <w:noWrap/>
                  <w:vAlign w:val="center"/>
                </w:tcPr>
                <w:p w14:paraId="2C49CFFB">
                  <w:pPr>
                    <w:pStyle w:val="37"/>
                    <w:bidi w:val="0"/>
                    <w:rPr>
                      <w:rFonts w:hint="default"/>
                      <w:color w:val="auto"/>
                      <w:lang w:val="en-US" w:eastAsia="zh-CN"/>
                    </w:rPr>
                  </w:pPr>
                  <w:r>
                    <w:rPr>
                      <w:rFonts w:hint="default"/>
                      <w:color w:val="auto"/>
                      <w:lang w:val="en-US" w:eastAsia="zh-CN"/>
                    </w:rPr>
                    <w:t>42</w:t>
                  </w:r>
                </w:p>
              </w:tc>
            </w:tr>
            <w:tr w14:paraId="025D73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750" w:type="dxa"/>
                  <w:vMerge w:val="continue"/>
                  <w:tcBorders>
                    <w:tl2br w:val="nil"/>
                    <w:tr2bl w:val="nil"/>
                  </w:tcBorders>
                  <w:shd w:val="clear" w:color="auto" w:fill="auto"/>
                  <w:vAlign w:val="center"/>
                </w:tcPr>
                <w:p w14:paraId="5C10C1F1">
                  <w:pPr>
                    <w:pStyle w:val="37"/>
                    <w:bidi w:val="0"/>
                    <w:rPr>
                      <w:rFonts w:hint="default"/>
                      <w:color w:val="auto"/>
                    </w:rPr>
                  </w:pPr>
                </w:p>
              </w:tc>
              <w:tc>
                <w:tcPr>
                  <w:tcW w:w="1102" w:type="dxa"/>
                  <w:tcBorders>
                    <w:tl2br w:val="nil"/>
                    <w:tr2bl w:val="nil"/>
                  </w:tcBorders>
                  <w:shd w:val="clear" w:color="auto" w:fill="auto"/>
                  <w:noWrap/>
                  <w:vAlign w:val="center"/>
                </w:tcPr>
                <w:p w14:paraId="13F4713B">
                  <w:pPr>
                    <w:pStyle w:val="37"/>
                    <w:bidi w:val="0"/>
                    <w:rPr>
                      <w:rFonts w:hint="eastAsia"/>
                      <w:b/>
                      <w:bCs/>
                      <w:color w:val="auto"/>
                    </w:rPr>
                  </w:pPr>
                  <w:r>
                    <w:rPr>
                      <w:rFonts w:hint="eastAsia"/>
                      <w:b/>
                      <w:bCs/>
                      <w:color w:val="auto"/>
                      <w:lang w:val="en-US" w:eastAsia="zh-CN"/>
                    </w:rPr>
                    <w:t>多声源叠加值</w:t>
                  </w:r>
                </w:p>
              </w:tc>
              <w:tc>
                <w:tcPr>
                  <w:tcW w:w="879" w:type="dxa"/>
                  <w:tcBorders>
                    <w:tl2br w:val="nil"/>
                    <w:tr2bl w:val="nil"/>
                  </w:tcBorders>
                  <w:shd w:val="clear" w:color="auto" w:fill="auto"/>
                  <w:vAlign w:val="center"/>
                </w:tcPr>
                <w:p w14:paraId="4DACF11B">
                  <w:pPr>
                    <w:pStyle w:val="37"/>
                    <w:bidi w:val="0"/>
                    <w:rPr>
                      <w:rFonts w:hint="default"/>
                      <w:b/>
                      <w:bCs/>
                      <w:color w:val="auto"/>
                    </w:rPr>
                  </w:pPr>
                  <w:r>
                    <w:rPr>
                      <w:rFonts w:hint="default"/>
                      <w:b/>
                      <w:bCs/>
                      <w:color w:val="auto"/>
                      <w:lang w:val="en-US" w:eastAsia="zh-CN"/>
                    </w:rPr>
                    <w:t>82</w:t>
                  </w:r>
                </w:p>
              </w:tc>
              <w:tc>
                <w:tcPr>
                  <w:tcW w:w="573" w:type="dxa"/>
                  <w:tcBorders>
                    <w:tl2br w:val="nil"/>
                    <w:tr2bl w:val="nil"/>
                  </w:tcBorders>
                  <w:shd w:val="clear" w:color="auto" w:fill="auto"/>
                  <w:noWrap/>
                  <w:vAlign w:val="center"/>
                </w:tcPr>
                <w:p w14:paraId="60DEEB29">
                  <w:pPr>
                    <w:pStyle w:val="37"/>
                    <w:bidi w:val="0"/>
                    <w:rPr>
                      <w:rFonts w:hint="default"/>
                      <w:b/>
                      <w:bCs/>
                      <w:color w:val="auto"/>
                    </w:rPr>
                  </w:pPr>
                  <w:r>
                    <w:rPr>
                      <w:rFonts w:hint="default"/>
                      <w:b/>
                      <w:bCs/>
                      <w:color w:val="auto"/>
                      <w:lang w:val="en-US" w:eastAsia="zh-CN"/>
                    </w:rPr>
                    <w:t>76</w:t>
                  </w:r>
                </w:p>
              </w:tc>
              <w:tc>
                <w:tcPr>
                  <w:tcW w:w="573" w:type="dxa"/>
                  <w:tcBorders>
                    <w:tl2br w:val="nil"/>
                    <w:tr2bl w:val="nil"/>
                  </w:tcBorders>
                  <w:shd w:val="clear" w:color="auto" w:fill="auto"/>
                  <w:noWrap/>
                  <w:vAlign w:val="center"/>
                </w:tcPr>
                <w:p w14:paraId="760D0520">
                  <w:pPr>
                    <w:pStyle w:val="37"/>
                    <w:bidi w:val="0"/>
                    <w:rPr>
                      <w:rFonts w:hint="default"/>
                      <w:b/>
                      <w:bCs/>
                      <w:color w:val="auto"/>
                    </w:rPr>
                  </w:pPr>
                  <w:r>
                    <w:rPr>
                      <w:rFonts w:hint="default"/>
                      <w:b/>
                      <w:bCs/>
                      <w:color w:val="auto"/>
                      <w:lang w:val="en-US" w:eastAsia="zh-CN"/>
                    </w:rPr>
                    <w:t>70</w:t>
                  </w:r>
                </w:p>
              </w:tc>
              <w:tc>
                <w:tcPr>
                  <w:tcW w:w="573" w:type="dxa"/>
                  <w:tcBorders>
                    <w:tl2br w:val="nil"/>
                    <w:tr2bl w:val="nil"/>
                  </w:tcBorders>
                  <w:shd w:val="clear" w:color="auto" w:fill="auto"/>
                  <w:noWrap/>
                  <w:vAlign w:val="center"/>
                </w:tcPr>
                <w:p w14:paraId="27F80822">
                  <w:pPr>
                    <w:pStyle w:val="37"/>
                    <w:bidi w:val="0"/>
                    <w:rPr>
                      <w:rFonts w:hint="default"/>
                      <w:b/>
                      <w:bCs/>
                      <w:color w:val="auto"/>
                    </w:rPr>
                  </w:pPr>
                  <w:r>
                    <w:rPr>
                      <w:rFonts w:hint="default"/>
                      <w:b/>
                      <w:bCs/>
                      <w:color w:val="auto"/>
                      <w:lang w:val="en-US" w:eastAsia="zh-CN"/>
                    </w:rPr>
                    <w:t>64</w:t>
                  </w:r>
                </w:p>
              </w:tc>
              <w:tc>
                <w:tcPr>
                  <w:tcW w:w="573" w:type="dxa"/>
                  <w:tcBorders>
                    <w:tl2br w:val="nil"/>
                    <w:tr2bl w:val="nil"/>
                  </w:tcBorders>
                  <w:shd w:val="clear" w:color="auto" w:fill="auto"/>
                  <w:noWrap/>
                  <w:vAlign w:val="center"/>
                </w:tcPr>
                <w:p w14:paraId="010C8680">
                  <w:pPr>
                    <w:pStyle w:val="37"/>
                    <w:bidi w:val="0"/>
                    <w:rPr>
                      <w:rFonts w:hint="default"/>
                      <w:b/>
                      <w:bCs/>
                      <w:color w:val="auto"/>
                      <w:lang w:val="en-US"/>
                    </w:rPr>
                  </w:pPr>
                  <w:r>
                    <w:rPr>
                      <w:rFonts w:hint="eastAsia"/>
                      <w:b/>
                      <w:bCs/>
                      <w:color w:val="auto"/>
                      <w:lang w:val="en-US" w:eastAsia="zh-CN"/>
                    </w:rPr>
                    <w:t>60</w:t>
                  </w:r>
                </w:p>
              </w:tc>
              <w:tc>
                <w:tcPr>
                  <w:tcW w:w="573" w:type="dxa"/>
                  <w:tcBorders>
                    <w:tl2br w:val="nil"/>
                    <w:tr2bl w:val="nil"/>
                  </w:tcBorders>
                  <w:shd w:val="clear" w:color="auto" w:fill="auto"/>
                  <w:noWrap/>
                  <w:vAlign w:val="center"/>
                </w:tcPr>
                <w:p w14:paraId="785CFBE6">
                  <w:pPr>
                    <w:pStyle w:val="37"/>
                    <w:bidi w:val="0"/>
                    <w:rPr>
                      <w:rFonts w:hint="default"/>
                      <w:color w:val="auto"/>
                    </w:rPr>
                  </w:pPr>
                  <w:r>
                    <w:rPr>
                      <w:rFonts w:hint="default"/>
                      <w:color w:val="auto"/>
                      <w:lang w:val="en-US" w:eastAsia="zh-CN"/>
                    </w:rPr>
                    <w:t>58</w:t>
                  </w:r>
                </w:p>
              </w:tc>
              <w:tc>
                <w:tcPr>
                  <w:tcW w:w="675" w:type="dxa"/>
                  <w:tcBorders>
                    <w:tl2br w:val="nil"/>
                    <w:tr2bl w:val="nil"/>
                  </w:tcBorders>
                  <w:shd w:val="clear" w:color="auto" w:fill="auto"/>
                  <w:noWrap/>
                  <w:vAlign w:val="center"/>
                </w:tcPr>
                <w:p w14:paraId="70DC918F">
                  <w:pPr>
                    <w:pStyle w:val="37"/>
                    <w:bidi w:val="0"/>
                    <w:rPr>
                      <w:rFonts w:hint="default"/>
                      <w:b/>
                      <w:bCs/>
                      <w:color w:val="auto"/>
                    </w:rPr>
                  </w:pPr>
                  <w:r>
                    <w:rPr>
                      <w:rFonts w:hint="default"/>
                      <w:b/>
                      <w:bCs/>
                      <w:color w:val="auto"/>
                      <w:lang w:val="en-US" w:eastAsia="zh-CN"/>
                    </w:rPr>
                    <w:t>56</w:t>
                  </w:r>
                </w:p>
              </w:tc>
              <w:tc>
                <w:tcPr>
                  <w:tcW w:w="675" w:type="dxa"/>
                  <w:tcBorders>
                    <w:tl2br w:val="nil"/>
                    <w:tr2bl w:val="nil"/>
                  </w:tcBorders>
                  <w:shd w:val="clear" w:color="auto" w:fill="auto"/>
                  <w:noWrap/>
                  <w:vAlign w:val="center"/>
                </w:tcPr>
                <w:p w14:paraId="1B443E44">
                  <w:pPr>
                    <w:pStyle w:val="37"/>
                    <w:bidi w:val="0"/>
                    <w:rPr>
                      <w:rFonts w:hint="default"/>
                      <w:b/>
                      <w:bCs/>
                      <w:color w:val="auto"/>
                    </w:rPr>
                  </w:pPr>
                  <w:r>
                    <w:rPr>
                      <w:rFonts w:hint="default"/>
                      <w:b/>
                      <w:bCs/>
                      <w:color w:val="auto"/>
                      <w:lang w:val="en-US" w:eastAsia="zh-CN"/>
                    </w:rPr>
                    <w:t>50</w:t>
                  </w:r>
                </w:p>
              </w:tc>
              <w:tc>
                <w:tcPr>
                  <w:tcW w:w="675" w:type="dxa"/>
                  <w:tcBorders>
                    <w:tl2br w:val="nil"/>
                    <w:tr2bl w:val="nil"/>
                  </w:tcBorders>
                  <w:shd w:val="clear" w:color="auto" w:fill="auto"/>
                  <w:noWrap/>
                  <w:vAlign w:val="center"/>
                </w:tcPr>
                <w:p w14:paraId="701D0944">
                  <w:pPr>
                    <w:pStyle w:val="37"/>
                    <w:bidi w:val="0"/>
                    <w:rPr>
                      <w:rFonts w:hint="default"/>
                      <w:b/>
                      <w:bCs/>
                      <w:color w:val="auto"/>
                      <w:lang w:val="en-US"/>
                    </w:rPr>
                  </w:pPr>
                  <w:r>
                    <w:rPr>
                      <w:rFonts w:hint="eastAsia"/>
                      <w:b/>
                      <w:bCs/>
                      <w:color w:val="auto"/>
                      <w:lang w:val="en-US" w:eastAsia="zh-CN"/>
                    </w:rPr>
                    <w:t>46</w:t>
                  </w:r>
                </w:p>
              </w:tc>
              <w:tc>
                <w:tcPr>
                  <w:tcW w:w="677" w:type="dxa"/>
                  <w:tcBorders>
                    <w:tl2br w:val="nil"/>
                    <w:tr2bl w:val="nil"/>
                  </w:tcBorders>
                  <w:shd w:val="clear" w:color="auto" w:fill="auto"/>
                  <w:noWrap/>
                  <w:vAlign w:val="center"/>
                </w:tcPr>
                <w:p w14:paraId="7DD2E987">
                  <w:pPr>
                    <w:pStyle w:val="37"/>
                    <w:bidi w:val="0"/>
                    <w:rPr>
                      <w:rFonts w:hint="default"/>
                      <w:b/>
                      <w:bCs/>
                      <w:color w:val="auto"/>
                      <w:lang w:val="en-US" w:eastAsia="zh-CN"/>
                    </w:rPr>
                  </w:pPr>
                  <w:r>
                    <w:rPr>
                      <w:rFonts w:hint="eastAsia"/>
                      <w:b/>
                      <w:bCs/>
                      <w:color w:val="auto"/>
                      <w:lang w:val="en-US" w:eastAsia="zh-CN"/>
                    </w:rPr>
                    <w:t>42</w:t>
                  </w:r>
                </w:p>
              </w:tc>
            </w:tr>
            <w:tr w14:paraId="0276A2B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50" w:type="dxa"/>
                  <w:vMerge w:val="restart"/>
                  <w:tcBorders>
                    <w:tl2br w:val="nil"/>
                    <w:tr2bl w:val="nil"/>
                  </w:tcBorders>
                  <w:shd w:val="clear" w:color="auto" w:fill="auto"/>
                  <w:vAlign w:val="center"/>
                </w:tcPr>
                <w:p w14:paraId="4CAFB622">
                  <w:pPr>
                    <w:pStyle w:val="37"/>
                    <w:bidi w:val="0"/>
                    <w:rPr>
                      <w:rFonts w:hint="default"/>
                      <w:color w:val="auto"/>
                    </w:rPr>
                  </w:pPr>
                  <w:r>
                    <w:rPr>
                      <w:rFonts w:hint="eastAsia"/>
                      <w:color w:val="auto"/>
                      <w:lang w:val="en-US" w:eastAsia="zh-CN"/>
                    </w:rPr>
                    <w:t>风机基础施工阶段</w:t>
                  </w:r>
                </w:p>
              </w:tc>
              <w:tc>
                <w:tcPr>
                  <w:tcW w:w="1102" w:type="dxa"/>
                  <w:tcBorders>
                    <w:tl2br w:val="nil"/>
                    <w:tr2bl w:val="nil"/>
                  </w:tcBorders>
                  <w:shd w:val="clear" w:color="auto" w:fill="auto"/>
                  <w:vAlign w:val="center"/>
                </w:tcPr>
                <w:p w14:paraId="7DFC62D1">
                  <w:pPr>
                    <w:pStyle w:val="37"/>
                    <w:bidi w:val="0"/>
                    <w:rPr>
                      <w:rFonts w:hint="eastAsia"/>
                      <w:color w:val="auto"/>
                    </w:rPr>
                  </w:pPr>
                  <w:r>
                    <w:rPr>
                      <w:rFonts w:hint="eastAsia"/>
                      <w:color w:val="auto"/>
                      <w:lang w:val="en-US" w:eastAsia="zh-CN"/>
                    </w:rPr>
                    <w:t>钻孔机</w:t>
                  </w:r>
                </w:p>
              </w:tc>
              <w:tc>
                <w:tcPr>
                  <w:tcW w:w="879" w:type="dxa"/>
                  <w:tcBorders>
                    <w:tl2br w:val="nil"/>
                    <w:tr2bl w:val="nil"/>
                  </w:tcBorders>
                  <w:shd w:val="clear" w:color="auto" w:fill="auto"/>
                  <w:vAlign w:val="center"/>
                </w:tcPr>
                <w:p w14:paraId="1750E762">
                  <w:pPr>
                    <w:pStyle w:val="37"/>
                    <w:bidi w:val="0"/>
                    <w:rPr>
                      <w:rFonts w:hint="default"/>
                      <w:color w:val="auto"/>
                    </w:rPr>
                  </w:pPr>
                  <w:r>
                    <w:rPr>
                      <w:rFonts w:hint="default"/>
                      <w:color w:val="auto"/>
                      <w:lang w:val="en-US" w:eastAsia="zh-CN"/>
                    </w:rPr>
                    <w:t>80</w:t>
                  </w:r>
                </w:p>
              </w:tc>
              <w:tc>
                <w:tcPr>
                  <w:tcW w:w="573" w:type="dxa"/>
                  <w:tcBorders>
                    <w:tl2br w:val="nil"/>
                    <w:tr2bl w:val="nil"/>
                  </w:tcBorders>
                  <w:shd w:val="clear" w:color="auto" w:fill="auto"/>
                  <w:noWrap/>
                  <w:vAlign w:val="center"/>
                </w:tcPr>
                <w:p w14:paraId="164C415A">
                  <w:pPr>
                    <w:pStyle w:val="37"/>
                    <w:bidi w:val="0"/>
                    <w:rPr>
                      <w:rFonts w:hint="default"/>
                      <w:color w:val="auto"/>
                    </w:rPr>
                  </w:pPr>
                  <w:r>
                    <w:rPr>
                      <w:rFonts w:hint="default"/>
                      <w:color w:val="auto"/>
                      <w:lang w:val="en-US" w:eastAsia="zh-CN"/>
                    </w:rPr>
                    <w:t>74</w:t>
                  </w:r>
                </w:p>
              </w:tc>
              <w:tc>
                <w:tcPr>
                  <w:tcW w:w="573" w:type="dxa"/>
                  <w:tcBorders>
                    <w:tl2br w:val="nil"/>
                    <w:tr2bl w:val="nil"/>
                  </w:tcBorders>
                  <w:shd w:val="clear" w:color="auto" w:fill="auto"/>
                  <w:noWrap/>
                  <w:vAlign w:val="center"/>
                </w:tcPr>
                <w:p w14:paraId="346A6DD2">
                  <w:pPr>
                    <w:pStyle w:val="37"/>
                    <w:bidi w:val="0"/>
                    <w:rPr>
                      <w:rFonts w:hint="default"/>
                      <w:color w:val="auto"/>
                    </w:rPr>
                  </w:pPr>
                  <w:r>
                    <w:rPr>
                      <w:rFonts w:hint="default"/>
                      <w:color w:val="auto"/>
                      <w:lang w:val="en-US" w:eastAsia="zh-CN"/>
                    </w:rPr>
                    <w:t>68</w:t>
                  </w:r>
                </w:p>
              </w:tc>
              <w:tc>
                <w:tcPr>
                  <w:tcW w:w="573" w:type="dxa"/>
                  <w:tcBorders>
                    <w:tl2br w:val="nil"/>
                    <w:tr2bl w:val="nil"/>
                  </w:tcBorders>
                  <w:shd w:val="clear" w:color="auto" w:fill="auto"/>
                  <w:noWrap/>
                  <w:vAlign w:val="center"/>
                </w:tcPr>
                <w:p w14:paraId="1687AC6E">
                  <w:pPr>
                    <w:pStyle w:val="37"/>
                    <w:bidi w:val="0"/>
                    <w:rPr>
                      <w:rFonts w:hint="default"/>
                      <w:color w:val="auto"/>
                    </w:rPr>
                  </w:pPr>
                  <w:r>
                    <w:rPr>
                      <w:rFonts w:hint="default"/>
                      <w:color w:val="auto"/>
                      <w:lang w:val="en-US" w:eastAsia="zh-CN"/>
                    </w:rPr>
                    <w:t>64</w:t>
                  </w:r>
                </w:p>
              </w:tc>
              <w:tc>
                <w:tcPr>
                  <w:tcW w:w="573" w:type="dxa"/>
                  <w:tcBorders>
                    <w:tl2br w:val="nil"/>
                    <w:tr2bl w:val="nil"/>
                  </w:tcBorders>
                  <w:shd w:val="clear" w:color="auto" w:fill="auto"/>
                  <w:noWrap/>
                  <w:vAlign w:val="center"/>
                </w:tcPr>
                <w:p w14:paraId="0870F6DF">
                  <w:pPr>
                    <w:pStyle w:val="37"/>
                    <w:bidi w:val="0"/>
                    <w:rPr>
                      <w:rFonts w:hint="default"/>
                      <w:color w:val="auto"/>
                    </w:rPr>
                  </w:pPr>
                  <w:r>
                    <w:rPr>
                      <w:rFonts w:hint="default"/>
                      <w:color w:val="auto"/>
                      <w:lang w:val="en-US" w:eastAsia="zh-CN"/>
                    </w:rPr>
                    <w:t>56</w:t>
                  </w:r>
                </w:p>
              </w:tc>
              <w:tc>
                <w:tcPr>
                  <w:tcW w:w="573" w:type="dxa"/>
                  <w:tcBorders>
                    <w:tl2br w:val="nil"/>
                    <w:tr2bl w:val="nil"/>
                  </w:tcBorders>
                  <w:shd w:val="clear" w:color="auto" w:fill="auto"/>
                  <w:noWrap/>
                  <w:vAlign w:val="center"/>
                </w:tcPr>
                <w:p w14:paraId="4A4AFABA">
                  <w:pPr>
                    <w:pStyle w:val="37"/>
                    <w:bidi w:val="0"/>
                    <w:rPr>
                      <w:rFonts w:hint="default"/>
                      <w:color w:val="auto"/>
                    </w:rPr>
                  </w:pPr>
                  <w:r>
                    <w:rPr>
                      <w:rFonts w:hint="default"/>
                      <w:color w:val="auto"/>
                      <w:lang w:val="en-US" w:eastAsia="zh-CN"/>
                    </w:rPr>
                    <w:t>54</w:t>
                  </w:r>
                </w:p>
              </w:tc>
              <w:tc>
                <w:tcPr>
                  <w:tcW w:w="675" w:type="dxa"/>
                  <w:tcBorders>
                    <w:tl2br w:val="nil"/>
                    <w:tr2bl w:val="nil"/>
                  </w:tcBorders>
                  <w:shd w:val="clear" w:color="auto" w:fill="auto"/>
                  <w:noWrap/>
                  <w:vAlign w:val="center"/>
                </w:tcPr>
                <w:p w14:paraId="47ECCB40">
                  <w:pPr>
                    <w:pStyle w:val="37"/>
                    <w:bidi w:val="0"/>
                    <w:rPr>
                      <w:rFonts w:hint="default"/>
                      <w:color w:val="auto"/>
                    </w:rPr>
                  </w:pPr>
                  <w:r>
                    <w:rPr>
                      <w:rFonts w:hint="default"/>
                      <w:color w:val="auto"/>
                      <w:lang w:val="en-US" w:eastAsia="zh-CN"/>
                    </w:rPr>
                    <w:t>48</w:t>
                  </w:r>
                </w:p>
              </w:tc>
              <w:tc>
                <w:tcPr>
                  <w:tcW w:w="675" w:type="dxa"/>
                  <w:tcBorders>
                    <w:tl2br w:val="nil"/>
                    <w:tr2bl w:val="nil"/>
                  </w:tcBorders>
                  <w:shd w:val="clear" w:color="auto" w:fill="auto"/>
                  <w:noWrap/>
                  <w:vAlign w:val="center"/>
                </w:tcPr>
                <w:p w14:paraId="1A46235E">
                  <w:pPr>
                    <w:pStyle w:val="37"/>
                    <w:bidi w:val="0"/>
                    <w:rPr>
                      <w:rFonts w:hint="default"/>
                      <w:color w:val="auto"/>
                    </w:rPr>
                  </w:pPr>
                  <w:r>
                    <w:rPr>
                      <w:rFonts w:hint="default"/>
                      <w:color w:val="auto"/>
                      <w:lang w:val="en-US" w:eastAsia="zh-CN"/>
                    </w:rPr>
                    <w:t>44</w:t>
                  </w:r>
                </w:p>
              </w:tc>
              <w:tc>
                <w:tcPr>
                  <w:tcW w:w="675" w:type="dxa"/>
                  <w:tcBorders>
                    <w:tl2br w:val="nil"/>
                    <w:tr2bl w:val="nil"/>
                  </w:tcBorders>
                  <w:shd w:val="clear" w:color="auto" w:fill="auto"/>
                  <w:noWrap/>
                  <w:vAlign w:val="center"/>
                </w:tcPr>
                <w:p w14:paraId="0406D3E5">
                  <w:pPr>
                    <w:pStyle w:val="37"/>
                    <w:bidi w:val="0"/>
                    <w:rPr>
                      <w:rFonts w:hint="default"/>
                      <w:color w:val="auto"/>
                    </w:rPr>
                  </w:pPr>
                  <w:r>
                    <w:rPr>
                      <w:rFonts w:hint="default"/>
                      <w:color w:val="auto"/>
                      <w:lang w:val="en-US" w:eastAsia="zh-CN"/>
                    </w:rPr>
                    <w:t>40</w:t>
                  </w:r>
                </w:p>
              </w:tc>
              <w:tc>
                <w:tcPr>
                  <w:tcW w:w="677" w:type="dxa"/>
                  <w:tcBorders>
                    <w:tl2br w:val="nil"/>
                    <w:tr2bl w:val="nil"/>
                  </w:tcBorders>
                  <w:shd w:val="clear" w:color="auto" w:fill="auto"/>
                  <w:noWrap/>
                  <w:vAlign w:val="center"/>
                </w:tcPr>
                <w:p w14:paraId="61CCD717">
                  <w:pPr>
                    <w:pStyle w:val="37"/>
                    <w:bidi w:val="0"/>
                    <w:rPr>
                      <w:rFonts w:hint="default"/>
                      <w:color w:val="auto"/>
                      <w:lang w:val="en-US" w:eastAsia="zh-CN"/>
                    </w:rPr>
                  </w:pPr>
                  <w:r>
                    <w:rPr>
                      <w:rFonts w:hint="default"/>
                      <w:color w:val="auto"/>
                      <w:lang w:val="en-US" w:eastAsia="zh-CN"/>
                    </w:rPr>
                    <w:t>80</w:t>
                  </w:r>
                </w:p>
              </w:tc>
            </w:tr>
            <w:tr w14:paraId="5DF5F40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750" w:type="dxa"/>
                  <w:vMerge w:val="continue"/>
                  <w:tcBorders>
                    <w:tl2br w:val="nil"/>
                    <w:tr2bl w:val="nil"/>
                  </w:tcBorders>
                  <w:shd w:val="clear" w:color="auto" w:fill="auto"/>
                  <w:vAlign w:val="center"/>
                </w:tcPr>
                <w:p w14:paraId="38B837AA">
                  <w:pPr>
                    <w:pStyle w:val="37"/>
                    <w:bidi w:val="0"/>
                    <w:rPr>
                      <w:rFonts w:hint="default"/>
                      <w:color w:val="auto"/>
                    </w:rPr>
                  </w:pPr>
                </w:p>
              </w:tc>
              <w:tc>
                <w:tcPr>
                  <w:tcW w:w="1102" w:type="dxa"/>
                  <w:tcBorders>
                    <w:tl2br w:val="nil"/>
                    <w:tr2bl w:val="nil"/>
                  </w:tcBorders>
                  <w:shd w:val="clear" w:color="auto" w:fill="auto"/>
                  <w:vAlign w:val="center"/>
                </w:tcPr>
                <w:p w14:paraId="24FE8D3A">
                  <w:pPr>
                    <w:pStyle w:val="37"/>
                    <w:bidi w:val="0"/>
                    <w:rPr>
                      <w:rFonts w:hint="default"/>
                      <w:color w:val="auto"/>
                    </w:rPr>
                  </w:pPr>
                  <w:r>
                    <w:rPr>
                      <w:rFonts w:hint="eastAsia"/>
                      <w:color w:val="auto"/>
                      <w:lang w:val="en-US" w:eastAsia="zh-CN"/>
                    </w:rPr>
                    <w:t>风镐</w:t>
                  </w:r>
                </w:p>
              </w:tc>
              <w:tc>
                <w:tcPr>
                  <w:tcW w:w="879" w:type="dxa"/>
                  <w:tcBorders>
                    <w:tl2br w:val="nil"/>
                    <w:tr2bl w:val="nil"/>
                  </w:tcBorders>
                  <w:shd w:val="clear" w:color="auto" w:fill="auto"/>
                  <w:vAlign w:val="center"/>
                </w:tcPr>
                <w:p w14:paraId="37365C4B">
                  <w:pPr>
                    <w:pStyle w:val="37"/>
                    <w:bidi w:val="0"/>
                    <w:rPr>
                      <w:rFonts w:hint="default"/>
                      <w:color w:val="auto"/>
                    </w:rPr>
                  </w:pPr>
                  <w:r>
                    <w:rPr>
                      <w:rFonts w:hint="default"/>
                      <w:color w:val="auto"/>
                      <w:lang w:val="en-US" w:eastAsia="zh-CN"/>
                    </w:rPr>
                    <w:t>88</w:t>
                  </w:r>
                </w:p>
              </w:tc>
              <w:tc>
                <w:tcPr>
                  <w:tcW w:w="573" w:type="dxa"/>
                  <w:tcBorders>
                    <w:tl2br w:val="nil"/>
                    <w:tr2bl w:val="nil"/>
                  </w:tcBorders>
                  <w:shd w:val="clear" w:color="auto" w:fill="auto"/>
                  <w:noWrap/>
                  <w:vAlign w:val="center"/>
                </w:tcPr>
                <w:p w14:paraId="7953D206">
                  <w:pPr>
                    <w:pStyle w:val="37"/>
                    <w:bidi w:val="0"/>
                    <w:rPr>
                      <w:rFonts w:hint="default"/>
                      <w:color w:val="auto"/>
                    </w:rPr>
                  </w:pPr>
                  <w:r>
                    <w:rPr>
                      <w:rFonts w:hint="default"/>
                      <w:color w:val="auto"/>
                      <w:lang w:val="en-US" w:eastAsia="zh-CN"/>
                    </w:rPr>
                    <w:t>82</w:t>
                  </w:r>
                </w:p>
              </w:tc>
              <w:tc>
                <w:tcPr>
                  <w:tcW w:w="573" w:type="dxa"/>
                  <w:tcBorders>
                    <w:tl2br w:val="nil"/>
                    <w:tr2bl w:val="nil"/>
                  </w:tcBorders>
                  <w:shd w:val="clear" w:color="auto" w:fill="auto"/>
                  <w:noWrap/>
                  <w:vAlign w:val="center"/>
                </w:tcPr>
                <w:p w14:paraId="243A12ED">
                  <w:pPr>
                    <w:pStyle w:val="37"/>
                    <w:bidi w:val="0"/>
                    <w:rPr>
                      <w:rFonts w:hint="default"/>
                      <w:color w:val="auto"/>
                    </w:rPr>
                  </w:pPr>
                  <w:r>
                    <w:rPr>
                      <w:rFonts w:hint="default"/>
                      <w:color w:val="auto"/>
                      <w:lang w:val="en-US" w:eastAsia="zh-CN"/>
                    </w:rPr>
                    <w:t>76</w:t>
                  </w:r>
                </w:p>
              </w:tc>
              <w:tc>
                <w:tcPr>
                  <w:tcW w:w="573" w:type="dxa"/>
                  <w:tcBorders>
                    <w:tl2br w:val="nil"/>
                    <w:tr2bl w:val="nil"/>
                  </w:tcBorders>
                  <w:shd w:val="clear" w:color="auto" w:fill="auto"/>
                  <w:noWrap/>
                  <w:vAlign w:val="center"/>
                </w:tcPr>
                <w:p w14:paraId="4084FCCF">
                  <w:pPr>
                    <w:pStyle w:val="37"/>
                    <w:bidi w:val="0"/>
                    <w:rPr>
                      <w:rFonts w:hint="default"/>
                      <w:color w:val="auto"/>
                    </w:rPr>
                  </w:pPr>
                  <w:r>
                    <w:rPr>
                      <w:rFonts w:hint="default"/>
                      <w:color w:val="auto"/>
                      <w:lang w:val="en-US" w:eastAsia="zh-CN"/>
                    </w:rPr>
                    <w:t>70</w:t>
                  </w:r>
                </w:p>
              </w:tc>
              <w:tc>
                <w:tcPr>
                  <w:tcW w:w="573" w:type="dxa"/>
                  <w:tcBorders>
                    <w:tl2br w:val="nil"/>
                    <w:tr2bl w:val="nil"/>
                  </w:tcBorders>
                  <w:shd w:val="clear" w:color="auto" w:fill="auto"/>
                  <w:noWrap/>
                  <w:vAlign w:val="center"/>
                </w:tcPr>
                <w:p w14:paraId="7BA396EF">
                  <w:pPr>
                    <w:pStyle w:val="37"/>
                    <w:bidi w:val="0"/>
                    <w:rPr>
                      <w:rFonts w:hint="default"/>
                      <w:color w:val="auto"/>
                    </w:rPr>
                  </w:pPr>
                  <w:r>
                    <w:rPr>
                      <w:rFonts w:hint="default"/>
                      <w:color w:val="auto"/>
                      <w:lang w:val="en-US" w:eastAsia="zh-CN"/>
                    </w:rPr>
                    <w:t>66</w:t>
                  </w:r>
                </w:p>
              </w:tc>
              <w:tc>
                <w:tcPr>
                  <w:tcW w:w="573" w:type="dxa"/>
                  <w:tcBorders>
                    <w:tl2br w:val="nil"/>
                    <w:tr2bl w:val="nil"/>
                  </w:tcBorders>
                  <w:shd w:val="clear" w:color="auto" w:fill="auto"/>
                  <w:noWrap/>
                  <w:vAlign w:val="center"/>
                </w:tcPr>
                <w:p w14:paraId="3CAE1DD2">
                  <w:pPr>
                    <w:pStyle w:val="37"/>
                    <w:bidi w:val="0"/>
                    <w:rPr>
                      <w:rFonts w:hint="default"/>
                      <w:color w:val="auto"/>
                    </w:rPr>
                  </w:pPr>
                  <w:r>
                    <w:rPr>
                      <w:rFonts w:hint="default"/>
                      <w:color w:val="auto"/>
                      <w:lang w:val="en-US" w:eastAsia="zh-CN"/>
                    </w:rPr>
                    <w:t>64</w:t>
                  </w:r>
                </w:p>
              </w:tc>
              <w:tc>
                <w:tcPr>
                  <w:tcW w:w="675" w:type="dxa"/>
                  <w:tcBorders>
                    <w:tl2br w:val="nil"/>
                    <w:tr2bl w:val="nil"/>
                  </w:tcBorders>
                  <w:shd w:val="clear" w:color="auto" w:fill="auto"/>
                  <w:noWrap/>
                  <w:vAlign w:val="center"/>
                </w:tcPr>
                <w:p w14:paraId="110A0F72">
                  <w:pPr>
                    <w:pStyle w:val="37"/>
                    <w:bidi w:val="0"/>
                    <w:rPr>
                      <w:rFonts w:hint="default"/>
                      <w:color w:val="auto"/>
                    </w:rPr>
                  </w:pPr>
                  <w:r>
                    <w:rPr>
                      <w:rFonts w:hint="default"/>
                      <w:color w:val="auto"/>
                      <w:lang w:val="en-US" w:eastAsia="zh-CN"/>
                    </w:rPr>
                    <w:t>62</w:t>
                  </w:r>
                </w:p>
              </w:tc>
              <w:tc>
                <w:tcPr>
                  <w:tcW w:w="675" w:type="dxa"/>
                  <w:tcBorders>
                    <w:tl2br w:val="nil"/>
                    <w:tr2bl w:val="nil"/>
                  </w:tcBorders>
                  <w:shd w:val="clear" w:color="auto" w:fill="auto"/>
                  <w:noWrap/>
                  <w:vAlign w:val="center"/>
                </w:tcPr>
                <w:p w14:paraId="7208B213">
                  <w:pPr>
                    <w:pStyle w:val="37"/>
                    <w:bidi w:val="0"/>
                    <w:rPr>
                      <w:rFonts w:hint="default"/>
                      <w:color w:val="auto"/>
                    </w:rPr>
                  </w:pPr>
                  <w:r>
                    <w:rPr>
                      <w:rFonts w:hint="default"/>
                      <w:color w:val="auto"/>
                      <w:lang w:val="en-US" w:eastAsia="zh-CN"/>
                    </w:rPr>
                    <w:t>56</w:t>
                  </w:r>
                </w:p>
              </w:tc>
              <w:tc>
                <w:tcPr>
                  <w:tcW w:w="675" w:type="dxa"/>
                  <w:tcBorders>
                    <w:tl2br w:val="nil"/>
                    <w:tr2bl w:val="nil"/>
                  </w:tcBorders>
                  <w:shd w:val="clear" w:color="auto" w:fill="auto"/>
                  <w:noWrap/>
                  <w:vAlign w:val="center"/>
                </w:tcPr>
                <w:p w14:paraId="231F4BE0">
                  <w:pPr>
                    <w:pStyle w:val="37"/>
                    <w:bidi w:val="0"/>
                    <w:rPr>
                      <w:rFonts w:hint="default"/>
                      <w:color w:val="auto"/>
                    </w:rPr>
                  </w:pPr>
                  <w:r>
                    <w:rPr>
                      <w:rFonts w:hint="default"/>
                      <w:color w:val="auto"/>
                      <w:lang w:val="en-US" w:eastAsia="zh-CN"/>
                    </w:rPr>
                    <w:t>52</w:t>
                  </w:r>
                </w:p>
              </w:tc>
              <w:tc>
                <w:tcPr>
                  <w:tcW w:w="677" w:type="dxa"/>
                  <w:tcBorders>
                    <w:tl2br w:val="nil"/>
                    <w:tr2bl w:val="nil"/>
                  </w:tcBorders>
                  <w:shd w:val="clear" w:color="auto" w:fill="auto"/>
                  <w:noWrap/>
                  <w:vAlign w:val="center"/>
                </w:tcPr>
                <w:p w14:paraId="391AA854">
                  <w:pPr>
                    <w:pStyle w:val="37"/>
                    <w:bidi w:val="0"/>
                    <w:rPr>
                      <w:rFonts w:hint="default"/>
                      <w:color w:val="auto"/>
                      <w:lang w:val="en-US" w:eastAsia="zh-CN"/>
                    </w:rPr>
                  </w:pPr>
                  <w:r>
                    <w:rPr>
                      <w:rFonts w:hint="default"/>
                      <w:color w:val="auto"/>
                      <w:lang w:val="en-US" w:eastAsia="zh-CN"/>
                    </w:rPr>
                    <w:t>48</w:t>
                  </w:r>
                </w:p>
              </w:tc>
            </w:tr>
            <w:tr w14:paraId="7FAE14A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750" w:type="dxa"/>
                  <w:vMerge w:val="continue"/>
                  <w:tcBorders>
                    <w:tl2br w:val="nil"/>
                    <w:tr2bl w:val="nil"/>
                  </w:tcBorders>
                  <w:shd w:val="clear" w:color="auto" w:fill="auto"/>
                  <w:vAlign w:val="center"/>
                </w:tcPr>
                <w:p w14:paraId="547B3D2E">
                  <w:pPr>
                    <w:pStyle w:val="37"/>
                    <w:bidi w:val="0"/>
                    <w:rPr>
                      <w:rFonts w:hint="default"/>
                      <w:color w:val="auto"/>
                    </w:rPr>
                  </w:pPr>
                </w:p>
              </w:tc>
              <w:tc>
                <w:tcPr>
                  <w:tcW w:w="1102" w:type="dxa"/>
                  <w:tcBorders>
                    <w:tl2br w:val="nil"/>
                    <w:tr2bl w:val="nil"/>
                  </w:tcBorders>
                  <w:shd w:val="clear" w:color="auto" w:fill="auto"/>
                  <w:vAlign w:val="center"/>
                </w:tcPr>
                <w:p w14:paraId="3941652B">
                  <w:pPr>
                    <w:pStyle w:val="37"/>
                    <w:bidi w:val="0"/>
                    <w:rPr>
                      <w:rFonts w:hint="default"/>
                      <w:color w:val="auto"/>
                    </w:rPr>
                  </w:pPr>
                  <w:r>
                    <w:rPr>
                      <w:rFonts w:hint="eastAsia"/>
                      <w:color w:val="auto"/>
                      <w:lang w:val="en-US" w:eastAsia="zh-CN"/>
                    </w:rPr>
                    <w:t>空压机</w:t>
                  </w:r>
                </w:p>
              </w:tc>
              <w:tc>
                <w:tcPr>
                  <w:tcW w:w="879" w:type="dxa"/>
                  <w:tcBorders>
                    <w:tl2br w:val="nil"/>
                    <w:tr2bl w:val="nil"/>
                  </w:tcBorders>
                  <w:shd w:val="clear" w:color="auto" w:fill="auto"/>
                  <w:vAlign w:val="center"/>
                </w:tcPr>
                <w:p w14:paraId="62FC74E0">
                  <w:pPr>
                    <w:pStyle w:val="37"/>
                    <w:bidi w:val="0"/>
                    <w:rPr>
                      <w:rFonts w:hint="default"/>
                      <w:color w:val="auto"/>
                    </w:rPr>
                  </w:pPr>
                  <w:r>
                    <w:rPr>
                      <w:rFonts w:hint="default"/>
                      <w:color w:val="auto"/>
                      <w:lang w:val="en-US" w:eastAsia="zh-CN"/>
                    </w:rPr>
                    <w:t>88</w:t>
                  </w:r>
                </w:p>
              </w:tc>
              <w:tc>
                <w:tcPr>
                  <w:tcW w:w="573" w:type="dxa"/>
                  <w:tcBorders>
                    <w:tl2br w:val="nil"/>
                    <w:tr2bl w:val="nil"/>
                  </w:tcBorders>
                  <w:shd w:val="clear" w:color="auto" w:fill="auto"/>
                  <w:noWrap/>
                  <w:vAlign w:val="center"/>
                </w:tcPr>
                <w:p w14:paraId="0103D306">
                  <w:pPr>
                    <w:pStyle w:val="37"/>
                    <w:bidi w:val="0"/>
                    <w:rPr>
                      <w:rFonts w:hint="default"/>
                      <w:color w:val="auto"/>
                    </w:rPr>
                  </w:pPr>
                  <w:r>
                    <w:rPr>
                      <w:rFonts w:hint="default"/>
                      <w:color w:val="auto"/>
                      <w:lang w:val="en-US" w:eastAsia="zh-CN"/>
                    </w:rPr>
                    <w:t>82</w:t>
                  </w:r>
                </w:p>
              </w:tc>
              <w:tc>
                <w:tcPr>
                  <w:tcW w:w="573" w:type="dxa"/>
                  <w:tcBorders>
                    <w:tl2br w:val="nil"/>
                    <w:tr2bl w:val="nil"/>
                  </w:tcBorders>
                  <w:shd w:val="clear" w:color="auto" w:fill="auto"/>
                  <w:noWrap/>
                  <w:vAlign w:val="center"/>
                </w:tcPr>
                <w:p w14:paraId="77A89404">
                  <w:pPr>
                    <w:pStyle w:val="37"/>
                    <w:bidi w:val="0"/>
                    <w:rPr>
                      <w:rFonts w:hint="default"/>
                      <w:color w:val="auto"/>
                    </w:rPr>
                  </w:pPr>
                  <w:r>
                    <w:rPr>
                      <w:rFonts w:hint="default"/>
                      <w:color w:val="auto"/>
                      <w:lang w:val="en-US" w:eastAsia="zh-CN"/>
                    </w:rPr>
                    <w:t>76</w:t>
                  </w:r>
                </w:p>
              </w:tc>
              <w:tc>
                <w:tcPr>
                  <w:tcW w:w="573" w:type="dxa"/>
                  <w:tcBorders>
                    <w:tl2br w:val="nil"/>
                    <w:tr2bl w:val="nil"/>
                  </w:tcBorders>
                  <w:shd w:val="clear" w:color="auto" w:fill="auto"/>
                  <w:noWrap/>
                  <w:vAlign w:val="center"/>
                </w:tcPr>
                <w:p w14:paraId="1A4A431F">
                  <w:pPr>
                    <w:pStyle w:val="37"/>
                    <w:bidi w:val="0"/>
                    <w:rPr>
                      <w:rFonts w:hint="default"/>
                      <w:color w:val="auto"/>
                    </w:rPr>
                  </w:pPr>
                  <w:r>
                    <w:rPr>
                      <w:rFonts w:hint="default"/>
                      <w:color w:val="auto"/>
                      <w:lang w:val="en-US" w:eastAsia="zh-CN"/>
                    </w:rPr>
                    <w:t>70</w:t>
                  </w:r>
                </w:p>
              </w:tc>
              <w:tc>
                <w:tcPr>
                  <w:tcW w:w="573" w:type="dxa"/>
                  <w:tcBorders>
                    <w:tl2br w:val="nil"/>
                    <w:tr2bl w:val="nil"/>
                  </w:tcBorders>
                  <w:shd w:val="clear" w:color="auto" w:fill="auto"/>
                  <w:noWrap/>
                  <w:vAlign w:val="center"/>
                </w:tcPr>
                <w:p w14:paraId="7A1CD0AD">
                  <w:pPr>
                    <w:pStyle w:val="37"/>
                    <w:bidi w:val="0"/>
                    <w:rPr>
                      <w:rFonts w:hint="default"/>
                      <w:color w:val="auto"/>
                    </w:rPr>
                  </w:pPr>
                  <w:r>
                    <w:rPr>
                      <w:rFonts w:hint="default"/>
                      <w:color w:val="auto"/>
                      <w:lang w:val="en-US" w:eastAsia="zh-CN"/>
                    </w:rPr>
                    <w:t>66</w:t>
                  </w:r>
                </w:p>
              </w:tc>
              <w:tc>
                <w:tcPr>
                  <w:tcW w:w="573" w:type="dxa"/>
                  <w:tcBorders>
                    <w:tl2br w:val="nil"/>
                    <w:tr2bl w:val="nil"/>
                  </w:tcBorders>
                  <w:shd w:val="clear" w:color="auto" w:fill="auto"/>
                  <w:noWrap/>
                  <w:vAlign w:val="center"/>
                </w:tcPr>
                <w:p w14:paraId="25632B05">
                  <w:pPr>
                    <w:pStyle w:val="37"/>
                    <w:bidi w:val="0"/>
                    <w:rPr>
                      <w:rFonts w:hint="default"/>
                      <w:color w:val="auto"/>
                    </w:rPr>
                  </w:pPr>
                  <w:r>
                    <w:rPr>
                      <w:rFonts w:hint="default"/>
                      <w:color w:val="auto"/>
                      <w:lang w:val="en-US" w:eastAsia="zh-CN"/>
                    </w:rPr>
                    <w:t>64</w:t>
                  </w:r>
                </w:p>
              </w:tc>
              <w:tc>
                <w:tcPr>
                  <w:tcW w:w="675" w:type="dxa"/>
                  <w:tcBorders>
                    <w:tl2br w:val="nil"/>
                    <w:tr2bl w:val="nil"/>
                  </w:tcBorders>
                  <w:shd w:val="clear" w:color="auto" w:fill="auto"/>
                  <w:noWrap/>
                  <w:vAlign w:val="center"/>
                </w:tcPr>
                <w:p w14:paraId="7AAC74B2">
                  <w:pPr>
                    <w:pStyle w:val="37"/>
                    <w:bidi w:val="0"/>
                    <w:rPr>
                      <w:rFonts w:hint="default"/>
                      <w:color w:val="auto"/>
                    </w:rPr>
                  </w:pPr>
                  <w:r>
                    <w:rPr>
                      <w:rFonts w:hint="default"/>
                      <w:color w:val="auto"/>
                      <w:lang w:val="en-US" w:eastAsia="zh-CN"/>
                    </w:rPr>
                    <w:t>62</w:t>
                  </w:r>
                </w:p>
              </w:tc>
              <w:tc>
                <w:tcPr>
                  <w:tcW w:w="675" w:type="dxa"/>
                  <w:tcBorders>
                    <w:tl2br w:val="nil"/>
                    <w:tr2bl w:val="nil"/>
                  </w:tcBorders>
                  <w:shd w:val="clear" w:color="auto" w:fill="auto"/>
                  <w:noWrap/>
                  <w:vAlign w:val="center"/>
                </w:tcPr>
                <w:p w14:paraId="407D9AF1">
                  <w:pPr>
                    <w:pStyle w:val="37"/>
                    <w:bidi w:val="0"/>
                    <w:rPr>
                      <w:rFonts w:hint="default"/>
                      <w:color w:val="auto"/>
                    </w:rPr>
                  </w:pPr>
                  <w:r>
                    <w:rPr>
                      <w:rFonts w:hint="default"/>
                      <w:color w:val="auto"/>
                      <w:lang w:val="en-US" w:eastAsia="zh-CN"/>
                    </w:rPr>
                    <w:t>56</w:t>
                  </w:r>
                </w:p>
              </w:tc>
              <w:tc>
                <w:tcPr>
                  <w:tcW w:w="675" w:type="dxa"/>
                  <w:tcBorders>
                    <w:tl2br w:val="nil"/>
                    <w:tr2bl w:val="nil"/>
                  </w:tcBorders>
                  <w:shd w:val="clear" w:color="auto" w:fill="auto"/>
                  <w:noWrap/>
                  <w:vAlign w:val="center"/>
                </w:tcPr>
                <w:p w14:paraId="4966E970">
                  <w:pPr>
                    <w:pStyle w:val="37"/>
                    <w:bidi w:val="0"/>
                    <w:rPr>
                      <w:rFonts w:hint="default"/>
                      <w:color w:val="auto"/>
                    </w:rPr>
                  </w:pPr>
                  <w:r>
                    <w:rPr>
                      <w:rFonts w:hint="default"/>
                      <w:color w:val="auto"/>
                      <w:lang w:val="en-US" w:eastAsia="zh-CN"/>
                    </w:rPr>
                    <w:t>52</w:t>
                  </w:r>
                </w:p>
              </w:tc>
              <w:tc>
                <w:tcPr>
                  <w:tcW w:w="677" w:type="dxa"/>
                  <w:tcBorders>
                    <w:tl2br w:val="nil"/>
                    <w:tr2bl w:val="nil"/>
                  </w:tcBorders>
                  <w:shd w:val="clear" w:color="auto" w:fill="auto"/>
                  <w:noWrap/>
                  <w:vAlign w:val="center"/>
                </w:tcPr>
                <w:p w14:paraId="4FAEC508">
                  <w:pPr>
                    <w:pStyle w:val="37"/>
                    <w:bidi w:val="0"/>
                    <w:rPr>
                      <w:rFonts w:hint="default"/>
                      <w:color w:val="auto"/>
                      <w:lang w:val="en-US" w:eastAsia="zh-CN"/>
                    </w:rPr>
                  </w:pPr>
                  <w:r>
                    <w:rPr>
                      <w:rFonts w:hint="default"/>
                      <w:color w:val="auto"/>
                      <w:lang w:val="en-US" w:eastAsia="zh-CN"/>
                    </w:rPr>
                    <w:t>48</w:t>
                  </w:r>
                </w:p>
              </w:tc>
            </w:tr>
            <w:tr w14:paraId="41DC22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750" w:type="dxa"/>
                  <w:vMerge w:val="continue"/>
                  <w:tcBorders>
                    <w:tl2br w:val="nil"/>
                    <w:tr2bl w:val="nil"/>
                  </w:tcBorders>
                  <w:shd w:val="clear" w:color="auto" w:fill="auto"/>
                  <w:vAlign w:val="center"/>
                </w:tcPr>
                <w:p w14:paraId="67C022E9">
                  <w:pPr>
                    <w:pStyle w:val="37"/>
                    <w:bidi w:val="0"/>
                    <w:rPr>
                      <w:rFonts w:hint="default"/>
                      <w:color w:val="auto"/>
                    </w:rPr>
                  </w:pPr>
                </w:p>
              </w:tc>
              <w:tc>
                <w:tcPr>
                  <w:tcW w:w="1102" w:type="dxa"/>
                  <w:tcBorders>
                    <w:tl2br w:val="nil"/>
                    <w:tr2bl w:val="nil"/>
                  </w:tcBorders>
                  <w:shd w:val="clear" w:color="auto" w:fill="auto"/>
                  <w:vAlign w:val="center"/>
                </w:tcPr>
                <w:p w14:paraId="62005674">
                  <w:pPr>
                    <w:pStyle w:val="37"/>
                    <w:bidi w:val="0"/>
                    <w:rPr>
                      <w:rFonts w:hint="default"/>
                      <w:b w:val="0"/>
                      <w:bCs w:val="0"/>
                      <w:color w:val="auto"/>
                    </w:rPr>
                  </w:pPr>
                  <w:r>
                    <w:rPr>
                      <w:rFonts w:hint="eastAsia"/>
                      <w:b w:val="0"/>
                      <w:bCs w:val="0"/>
                      <w:color w:val="auto"/>
                      <w:lang w:val="en-US" w:eastAsia="zh-CN"/>
                    </w:rPr>
                    <w:t>混凝土振捣器</w:t>
                  </w:r>
                </w:p>
              </w:tc>
              <w:tc>
                <w:tcPr>
                  <w:tcW w:w="879" w:type="dxa"/>
                  <w:tcBorders>
                    <w:tl2br w:val="nil"/>
                    <w:tr2bl w:val="nil"/>
                  </w:tcBorders>
                  <w:shd w:val="clear" w:color="auto" w:fill="auto"/>
                  <w:vAlign w:val="center"/>
                </w:tcPr>
                <w:p w14:paraId="2F90A46C">
                  <w:pPr>
                    <w:pStyle w:val="37"/>
                    <w:bidi w:val="0"/>
                    <w:rPr>
                      <w:rFonts w:hint="default"/>
                      <w:b w:val="0"/>
                      <w:bCs w:val="0"/>
                      <w:color w:val="auto"/>
                    </w:rPr>
                  </w:pPr>
                  <w:r>
                    <w:rPr>
                      <w:rFonts w:hint="default"/>
                      <w:b w:val="0"/>
                      <w:bCs w:val="0"/>
                      <w:color w:val="auto"/>
                      <w:lang w:val="en-US" w:eastAsia="zh-CN"/>
                    </w:rPr>
                    <w:t>80</w:t>
                  </w:r>
                </w:p>
              </w:tc>
              <w:tc>
                <w:tcPr>
                  <w:tcW w:w="573" w:type="dxa"/>
                  <w:tcBorders>
                    <w:tl2br w:val="nil"/>
                    <w:tr2bl w:val="nil"/>
                  </w:tcBorders>
                  <w:shd w:val="clear" w:color="auto" w:fill="auto"/>
                  <w:noWrap/>
                  <w:vAlign w:val="center"/>
                </w:tcPr>
                <w:p w14:paraId="5808D16D">
                  <w:pPr>
                    <w:pStyle w:val="37"/>
                    <w:bidi w:val="0"/>
                    <w:rPr>
                      <w:rFonts w:hint="default"/>
                      <w:b w:val="0"/>
                      <w:bCs w:val="0"/>
                      <w:color w:val="auto"/>
                    </w:rPr>
                  </w:pPr>
                  <w:r>
                    <w:rPr>
                      <w:rFonts w:hint="default"/>
                      <w:b w:val="0"/>
                      <w:bCs w:val="0"/>
                      <w:color w:val="auto"/>
                      <w:lang w:val="en-US" w:eastAsia="zh-CN"/>
                    </w:rPr>
                    <w:t>74</w:t>
                  </w:r>
                </w:p>
              </w:tc>
              <w:tc>
                <w:tcPr>
                  <w:tcW w:w="573" w:type="dxa"/>
                  <w:tcBorders>
                    <w:tl2br w:val="nil"/>
                    <w:tr2bl w:val="nil"/>
                  </w:tcBorders>
                  <w:shd w:val="clear" w:color="auto" w:fill="auto"/>
                  <w:noWrap/>
                  <w:vAlign w:val="center"/>
                </w:tcPr>
                <w:p w14:paraId="60EA2C03">
                  <w:pPr>
                    <w:pStyle w:val="37"/>
                    <w:bidi w:val="0"/>
                    <w:rPr>
                      <w:rFonts w:hint="default"/>
                      <w:b w:val="0"/>
                      <w:bCs w:val="0"/>
                      <w:color w:val="auto"/>
                    </w:rPr>
                  </w:pPr>
                  <w:r>
                    <w:rPr>
                      <w:rFonts w:hint="default"/>
                      <w:b w:val="0"/>
                      <w:bCs w:val="0"/>
                      <w:color w:val="auto"/>
                      <w:lang w:val="en-US" w:eastAsia="zh-CN"/>
                    </w:rPr>
                    <w:t>68</w:t>
                  </w:r>
                </w:p>
              </w:tc>
              <w:tc>
                <w:tcPr>
                  <w:tcW w:w="573" w:type="dxa"/>
                  <w:tcBorders>
                    <w:tl2br w:val="nil"/>
                    <w:tr2bl w:val="nil"/>
                  </w:tcBorders>
                  <w:shd w:val="clear" w:color="auto" w:fill="auto"/>
                  <w:noWrap/>
                  <w:vAlign w:val="center"/>
                </w:tcPr>
                <w:p w14:paraId="45339FB5">
                  <w:pPr>
                    <w:pStyle w:val="37"/>
                    <w:bidi w:val="0"/>
                    <w:rPr>
                      <w:rFonts w:hint="default"/>
                      <w:b w:val="0"/>
                      <w:bCs w:val="0"/>
                      <w:color w:val="auto"/>
                    </w:rPr>
                  </w:pPr>
                  <w:r>
                    <w:rPr>
                      <w:rFonts w:hint="default"/>
                      <w:b w:val="0"/>
                      <w:bCs w:val="0"/>
                      <w:color w:val="auto"/>
                      <w:lang w:val="en-US" w:eastAsia="zh-CN"/>
                    </w:rPr>
                    <w:t>62</w:t>
                  </w:r>
                </w:p>
              </w:tc>
              <w:tc>
                <w:tcPr>
                  <w:tcW w:w="573" w:type="dxa"/>
                  <w:tcBorders>
                    <w:tl2br w:val="nil"/>
                    <w:tr2bl w:val="nil"/>
                  </w:tcBorders>
                  <w:shd w:val="clear" w:color="auto" w:fill="auto"/>
                  <w:noWrap/>
                  <w:vAlign w:val="center"/>
                </w:tcPr>
                <w:p w14:paraId="61FD8533">
                  <w:pPr>
                    <w:pStyle w:val="37"/>
                    <w:bidi w:val="0"/>
                    <w:rPr>
                      <w:rFonts w:hint="default"/>
                      <w:b w:val="0"/>
                      <w:bCs w:val="0"/>
                      <w:color w:val="auto"/>
                    </w:rPr>
                  </w:pPr>
                  <w:r>
                    <w:rPr>
                      <w:rFonts w:hint="default"/>
                      <w:b w:val="0"/>
                      <w:bCs w:val="0"/>
                      <w:color w:val="auto"/>
                      <w:lang w:val="en-US" w:eastAsia="zh-CN"/>
                    </w:rPr>
                    <w:t>58</w:t>
                  </w:r>
                </w:p>
              </w:tc>
              <w:tc>
                <w:tcPr>
                  <w:tcW w:w="573" w:type="dxa"/>
                  <w:tcBorders>
                    <w:tl2br w:val="nil"/>
                    <w:tr2bl w:val="nil"/>
                  </w:tcBorders>
                  <w:shd w:val="clear" w:color="auto" w:fill="auto"/>
                  <w:noWrap/>
                  <w:vAlign w:val="center"/>
                </w:tcPr>
                <w:p w14:paraId="36E740F9">
                  <w:pPr>
                    <w:pStyle w:val="37"/>
                    <w:bidi w:val="0"/>
                    <w:rPr>
                      <w:rFonts w:hint="default"/>
                      <w:color w:val="auto"/>
                    </w:rPr>
                  </w:pPr>
                  <w:r>
                    <w:rPr>
                      <w:rFonts w:hint="default"/>
                      <w:color w:val="auto"/>
                      <w:lang w:val="en-US" w:eastAsia="zh-CN"/>
                    </w:rPr>
                    <w:t>56</w:t>
                  </w:r>
                </w:p>
              </w:tc>
              <w:tc>
                <w:tcPr>
                  <w:tcW w:w="675" w:type="dxa"/>
                  <w:tcBorders>
                    <w:tl2br w:val="nil"/>
                    <w:tr2bl w:val="nil"/>
                  </w:tcBorders>
                  <w:shd w:val="clear" w:color="auto" w:fill="auto"/>
                  <w:noWrap/>
                  <w:vAlign w:val="center"/>
                </w:tcPr>
                <w:p w14:paraId="5D409675">
                  <w:pPr>
                    <w:pStyle w:val="37"/>
                    <w:bidi w:val="0"/>
                    <w:rPr>
                      <w:rFonts w:hint="default"/>
                      <w:b w:val="0"/>
                      <w:bCs w:val="0"/>
                      <w:color w:val="auto"/>
                    </w:rPr>
                  </w:pPr>
                  <w:r>
                    <w:rPr>
                      <w:rFonts w:hint="default"/>
                      <w:b w:val="0"/>
                      <w:bCs w:val="0"/>
                      <w:color w:val="auto"/>
                      <w:lang w:val="en-US" w:eastAsia="zh-CN"/>
                    </w:rPr>
                    <w:t>54</w:t>
                  </w:r>
                </w:p>
              </w:tc>
              <w:tc>
                <w:tcPr>
                  <w:tcW w:w="675" w:type="dxa"/>
                  <w:tcBorders>
                    <w:tl2br w:val="nil"/>
                    <w:tr2bl w:val="nil"/>
                  </w:tcBorders>
                  <w:shd w:val="clear" w:color="auto" w:fill="auto"/>
                  <w:noWrap/>
                  <w:vAlign w:val="center"/>
                </w:tcPr>
                <w:p w14:paraId="07BDF1C0">
                  <w:pPr>
                    <w:pStyle w:val="37"/>
                    <w:bidi w:val="0"/>
                    <w:rPr>
                      <w:rFonts w:hint="default"/>
                      <w:b w:val="0"/>
                      <w:bCs w:val="0"/>
                      <w:color w:val="auto"/>
                    </w:rPr>
                  </w:pPr>
                  <w:r>
                    <w:rPr>
                      <w:rFonts w:hint="default"/>
                      <w:b w:val="0"/>
                      <w:bCs w:val="0"/>
                      <w:color w:val="auto"/>
                      <w:lang w:val="en-US" w:eastAsia="zh-CN"/>
                    </w:rPr>
                    <w:t>48</w:t>
                  </w:r>
                </w:p>
              </w:tc>
              <w:tc>
                <w:tcPr>
                  <w:tcW w:w="675" w:type="dxa"/>
                  <w:tcBorders>
                    <w:tl2br w:val="nil"/>
                    <w:tr2bl w:val="nil"/>
                  </w:tcBorders>
                  <w:shd w:val="clear" w:color="auto" w:fill="auto"/>
                  <w:noWrap/>
                  <w:vAlign w:val="center"/>
                </w:tcPr>
                <w:p w14:paraId="70523F83">
                  <w:pPr>
                    <w:pStyle w:val="37"/>
                    <w:bidi w:val="0"/>
                    <w:rPr>
                      <w:rFonts w:hint="default"/>
                      <w:b w:val="0"/>
                      <w:bCs w:val="0"/>
                      <w:color w:val="auto"/>
                    </w:rPr>
                  </w:pPr>
                  <w:r>
                    <w:rPr>
                      <w:rFonts w:hint="default"/>
                      <w:b w:val="0"/>
                      <w:bCs w:val="0"/>
                      <w:color w:val="auto"/>
                      <w:lang w:val="en-US" w:eastAsia="zh-CN"/>
                    </w:rPr>
                    <w:t>44</w:t>
                  </w:r>
                </w:p>
              </w:tc>
              <w:tc>
                <w:tcPr>
                  <w:tcW w:w="677" w:type="dxa"/>
                  <w:tcBorders>
                    <w:tl2br w:val="nil"/>
                    <w:tr2bl w:val="nil"/>
                  </w:tcBorders>
                  <w:shd w:val="clear" w:color="auto" w:fill="auto"/>
                  <w:noWrap/>
                  <w:vAlign w:val="center"/>
                </w:tcPr>
                <w:p w14:paraId="79BD5B0B">
                  <w:pPr>
                    <w:pStyle w:val="37"/>
                    <w:bidi w:val="0"/>
                    <w:rPr>
                      <w:rFonts w:hint="default"/>
                      <w:b w:val="0"/>
                      <w:bCs w:val="0"/>
                      <w:color w:val="auto"/>
                      <w:lang w:val="en-US" w:eastAsia="zh-CN"/>
                    </w:rPr>
                  </w:pPr>
                  <w:r>
                    <w:rPr>
                      <w:rFonts w:hint="default"/>
                      <w:b w:val="0"/>
                      <w:bCs w:val="0"/>
                      <w:color w:val="auto"/>
                      <w:lang w:val="en-US" w:eastAsia="zh-CN"/>
                    </w:rPr>
                    <w:t>40</w:t>
                  </w:r>
                </w:p>
              </w:tc>
            </w:tr>
            <w:tr w14:paraId="63FED71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750" w:type="dxa"/>
                  <w:vMerge w:val="continue"/>
                  <w:tcBorders>
                    <w:tl2br w:val="nil"/>
                    <w:tr2bl w:val="nil"/>
                  </w:tcBorders>
                  <w:shd w:val="clear" w:color="auto" w:fill="auto"/>
                  <w:vAlign w:val="center"/>
                </w:tcPr>
                <w:p w14:paraId="5D85E8F4">
                  <w:pPr>
                    <w:pStyle w:val="37"/>
                    <w:bidi w:val="0"/>
                    <w:rPr>
                      <w:rFonts w:hint="default"/>
                      <w:color w:val="auto"/>
                    </w:rPr>
                  </w:pPr>
                </w:p>
              </w:tc>
              <w:tc>
                <w:tcPr>
                  <w:tcW w:w="1102" w:type="dxa"/>
                  <w:tcBorders>
                    <w:tl2br w:val="nil"/>
                    <w:tr2bl w:val="nil"/>
                  </w:tcBorders>
                  <w:shd w:val="clear" w:color="auto" w:fill="auto"/>
                  <w:noWrap/>
                  <w:vAlign w:val="center"/>
                </w:tcPr>
                <w:p w14:paraId="1C74E90A">
                  <w:pPr>
                    <w:pStyle w:val="37"/>
                    <w:bidi w:val="0"/>
                    <w:rPr>
                      <w:rFonts w:hint="eastAsia"/>
                      <w:b/>
                      <w:bCs/>
                      <w:color w:val="auto"/>
                    </w:rPr>
                  </w:pPr>
                  <w:r>
                    <w:rPr>
                      <w:rFonts w:hint="eastAsia"/>
                      <w:b/>
                      <w:bCs/>
                      <w:color w:val="auto"/>
                      <w:lang w:val="en-US" w:eastAsia="zh-CN"/>
                    </w:rPr>
                    <w:t>多声源叠加值</w:t>
                  </w:r>
                </w:p>
              </w:tc>
              <w:tc>
                <w:tcPr>
                  <w:tcW w:w="879" w:type="dxa"/>
                  <w:tcBorders>
                    <w:tl2br w:val="nil"/>
                    <w:tr2bl w:val="nil"/>
                  </w:tcBorders>
                  <w:shd w:val="clear" w:color="auto" w:fill="auto"/>
                  <w:noWrap/>
                  <w:vAlign w:val="center"/>
                </w:tcPr>
                <w:p w14:paraId="0E1A8DA7">
                  <w:pPr>
                    <w:pStyle w:val="37"/>
                    <w:bidi w:val="0"/>
                    <w:rPr>
                      <w:rFonts w:hint="default"/>
                      <w:b/>
                      <w:bCs/>
                      <w:color w:val="auto"/>
                    </w:rPr>
                  </w:pPr>
                  <w:r>
                    <w:rPr>
                      <w:rFonts w:hint="default"/>
                      <w:b/>
                      <w:bCs/>
                      <w:color w:val="auto"/>
                      <w:lang w:val="en-US" w:eastAsia="zh-CN"/>
                    </w:rPr>
                    <w:t>92</w:t>
                  </w:r>
                </w:p>
              </w:tc>
              <w:tc>
                <w:tcPr>
                  <w:tcW w:w="573" w:type="dxa"/>
                  <w:tcBorders>
                    <w:tl2br w:val="nil"/>
                    <w:tr2bl w:val="nil"/>
                  </w:tcBorders>
                  <w:shd w:val="clear" w:color="auto" w:fill="auto"/>
                  <w:noWrap/>
                  <w:vAlign w:val="center"/>
                </w:tcPr>
                <w:p w14:paraId="73987AD0">
                  <w:pPr>
                    <w:pStyle w:val="37"/>
                    <w:bidi w:val="0"/>
                    <w:rPr>
                      <w:rFonts w:hint="default"/>
                      <w:b/>
                      <w:bCs/>
                      <w:color w:val="auto"/>
                    </w:rPr>
                  </w:pPr>
                  <w:r>
                    <w:rPr>
                      <w:rFonts w:hint="default"/>
                      <w:b/>
                      <w:bCs/>
                      <w:color w:val="auto"/>
                      <w:lang w:val="en-US" w:eastAsia="zh-CN"/>
                    </w:rPr>
                    <w:t>86</w:t>
                  </w:r>
                </w:p>
              </w:tc>
              <w:tc>
                <w:tcPr>
                  <w:tcW w:w="573" w:type="dxa"/>
                  <w:tcBorders>
                    <w:tl2br w:val="nil"/>
                    <w:tr2bl w:val="nil"/>
                  </w:tcBorders>
                  <w:shd w:val="clear" w:color="auto" w:fill="auto"/>
                  <w:noWrap/>
                  <w:vAlign w:val="center"/>
                </w:tcPr>
                <w:p w14:paraId="47414DB7">
                  <w:pPr>
                    <w:pStyle w:val="37"/>
                    <w:bidi w:val="0"/>
                    <w:rPr>
                      <w:rFonts w:hint="default"/>
                      <w:b/>
                      <w:bCs/>
                      <w:color w:val="auto"/>
                    </w:rPr>
                  </w:pPr>
                  <w:r>
                    <w:rPr>
                      <w:rFonts w:hint="default"/>
                      <w:b/>
                      <w:bCs/>
                      <w:color w:val="auto"/>
                      <w:lang w:val="en-US" w:eastAsia="zh-CN"/>
                    </w:rPr>
                    <w:t>80</w:t>
                  </w:r>
                </w:p>
              </w:tc>
              <w:tc>
                <w:tcPr>
                  <w:tcW w:w="573" w:type="dxa"/>
                  <w:tcBorders>
                    <w:tl2br w:val="nil"/>
                    <w:tr2bl w:val="nil"/>
                  </w:tcBorders>
                  <w:shd w:val="clear" w:color="auto" w:fill="auto"/>
                  <w:noWrap/>
                  <w:vAlign w:val="center"/>
                </w:tcPr>
                <w:p w14:paraId="72BE5650">
                  <w:pPr>
                    <w:pStyle w:val="37"/>
                    <w:bidi w:val="0"/>
                    <w:rPr>
                      <w:rFonts w:hint="default"/>
                      <w:b/>
                      <w:bCs/>
                      <w:color w:val="auto"/>
                    </w:rPr>
                  </w:pPr>
                  <w:r>
                    <w:rPr>
                      <w:rFonts w:hint="default"/>
                      <w:b/>
                      <w:bCs/>
                      <w:color w:val="auto"/>
                      <w:lang w:val="en-US" w:eastAsia="zh-CN"/>
                    </w:rPr>
                    <w:t>74</w:t>
                  </w:r>
                </w:p>
              </w:tc>
              <w:tc>
                <w:tcPr>
                  <w:tcW w:w="573" w:type="dxa"/>
                  <w:tcBorders>
                    <w:tl2br w:val="nil"/>
                    <w:tr2bl w:val="nil"/>
                  </w:tcBorders>
                  <w:shd w:val="clear" w:color="auto" w:fill="auto"/>
                  <w:noWrap/>
                  <w:vAlign w:val="center"/>
                </w:tcPr>
                <w:p w14:paraId="283124F8">
                  <w:pPr>
                    <w:pStyle w:val="37"/>
                    <w:bidi w:val="0"/>
                    <w:rPr>
                      <w:rFonts w:hint="default"/>
                      <w:b/>
                      <w:bCs/>
                      <w:color w:val="auto"/>
                    </w:rPr>
                  </w:pPr>
                  <w:r>
                    <w:rPr>
                      <w:rFonts w:hint="default"/>
                      <w:b/>
                      <w:bCs/>
                      <w:color w:val="auto"/>
                      <w:lang w:val="en-US" w:eastAsia="zh-CN"/>
                    </w:rPr>
                    <w:t>71</w:t>
                  </w:r>
                </w:p>
              </w:tc>
              <w:tc>
                <w:tcPr>
                  <w:tcW w:w="573" w:type="dxa"/>
                  <w:tcBorders>
                    <w:tl2br w:val="nil"/>
                    <w:tr2bl w:val="nil"/>
                  </w:tcBorders>
                  <w:shd w:val="clear" w:color="auto" w:fill="auto"/>
                  <w:noWrap/>
                  <w:vAlign w:val="center"/>
                </w:tcPr>
                <w:p w14:paraId="00AA1480">
                  <w:pPr>
                    <w:pStyle w:val="37"/>
                    <w:bidi w:val="0"/>
                    <w:rPr>
                      <w:rFonts w:hint="default"/>
                      <w:color w:val="auto"/>
                    </w:rPr>
                  </w:pPr>
                  <w:r>
                    <w:rPr>
                      <w:rFonts w:hint="default"/>
                      <w:color w:val="auto"/>
                      <w:lang w:val="en-US" w:eastAsia="zh-CN"/>
                    </w:rPr>
                    <w:t>68</w:t>
                  </w:r>
                </w:p>
              </w:tc>
              <w:tc>
                <w:tcPr>
                  <w:tcW w:w="675" w:type="dxa"/>
                  <w:tcBorders>
                    <w:tl2br w:val="nil"/>
                    <w:tr2bl w:val="nil"/>
                  </w:tcBorders>
                  <w:shd w:val="clear" w:color="auto" w:fill="auto"/>
                  <w:noWrap/>
                  <w:vAlign w:val="center"/>
                </w:tcPr>
                <w:p w14:paraId="42BF3647">
                  <w:pPr>
                    <w:pStyle w:val="37"/>
                    <w:bidi w:val="0"/>
                    <w:rPr>
                      <w:rFonts w:hint="default"/>
                      <w:b/>
                      <w:bCs/>
                      <w:color w:val="auto"/>
                    </w:rPr>
                  </w:pPr>
                  <w:r>
                    <w:rPr>
                      <w:rFonts w:hint="default"/>
                      <w:b/>
                      <w:bCs/>
                      <w:color w:val="auto"/>
                      <w:lang w:val="en-US" w:eastAsia="zh-CN"/>
                    </w:rPr>
                    <w:t>66</w:t>
                  </w:r>
                </w:p>
              </w:tc>
              <w:tc>
                <w:tcPr>
                  <w:tcW w:w="675" w:type="dxa"/>
                  <w:tcBorders>
                    <w:tl2br w:val="nil"/>
                    <w:tr2bl w:val="nil"/>
                  </w:tcBorders>
                  <w:shd w:val="clear" w:color="auto" w:fill="auto"/>
                  <w:noWrap/>
                  <w:vAlign w:val="center"/>
                </w:tcPr>
                <w:p w14:paraId="3A99910D">
                  <w:pPr>
                    <w:pStyle w:val="37"/>
                    <w:bidi w:val="0"/>
                    <w:rPr>
                      <w:rFonts w:hint="default"/>
                      <w:b/>
                      <w:bCs/>
                      <w:color w:val="auto"/>
                    </w:rPr>
                  </w:pPr>
                  <w:r>
                    <w:rPr>
                      <w:rFonts w:hint="default"/>
                      <w:b/>
                      <w:bCs/>
                      <w:color w:val="auto"/>
                      <w:lang w:val="en-US" w:eastAsia="zh-CN"/>
                    </w:rPr>
                    <w:t>60</w:t>
                  </w:r>
                </w:p>
              </w:tc>
              <w:tc>
                <w:tcPr>
                  <w:tcW w:w="675" w:type="dxa"/>
                  <w:tcBorders>
                    <w:tl2br w:val="nil"/>
                    <w:tr2bl w:val="nil"/>
                  </w:tcBorders>
                  <w:shd w:val="clear" w:color="auto" w:fill="auto"/>
                  <w:noWrap/>
                  <w:vAlign w:val="center"/>
                </w:tcPr>
                <w:p w14:paraId="64D3C6F4">
                  <w:pPr>
                    <w:pStyle w:val="37"/>
                    <w:bidi w:val="0"/>
                    <w:rPr>
                      <w:rFonts w:hint="default"/>
                      <w:b/>
                      <w:bCs/>
                      <w:color w:val="auto"/>
                    </w:rPr>
                  </w:pPr>
                  <w:r>
                    <w:rPr>
                      <w:rFonts w:hint="default"/>
                      <w:b/>
                      <w:bCs/>
                      <w:color w:val="auto"/>
                      <w:lang w:val="en-US" w:eastAsia="zh-CN"/>
                    </w:rPr>
                    <w:t>57</w:t>
                  </w:r>
                </w:p>
              </w:tc>
              <w:tc>
                <w:tcPr>
                  <w:tcW w:w="677" w:type="dxa"/>
                  <w:tcBorders>
                    <w:tl2br w:val="nil"/>
                    <w:tr2bl w:val="nil"/>
                  </w:tcBorders>
                  <w:shd w:val="clear" w:color="auto" w:fill="auto"/>
                  <w:noWrap/>
                  <w:vAlign w:val="center"/>
                </w:tcPr>
                <w:p w14:paraId="383E6D2F">
                  <w:pPr>
                    <w:pStyle w:val="37"/>
                    <w:bidi w:val="0"/>
                    <w:rPr>
                      <w:rFonts w:hint="default"/>
                      <w:b/>
                      <w:bCs/>
                      <w:color w:val="auto"/>
                      <w:lang w:val="en-US" w:eastAsia="zh-CN"/>
                    </w:rPr>
                  </w:pPr>
                  <w:r>
                    <w:rPr>
                      <w:rFonts w:hint="default"/>
                      <w:b/>
                      <w:bCs/>
                      <w:color w:val="auto"/>
                      <w:lang w:val="en-US" w:eastAsia="zh-CN"/>
                    </w:rPr>
                    <w:t>52</w:t>
                  </w:r>
                </w:p>
              </w:tc>
            </w:tr>
            <w:tr w14:paraId="4AECAA1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750" w:type="dxa"/>
                  <w:vMerge w:val="restart"/>
                  <w:tcBorders>
                    <w:tl2br w:val="nil"/>
                    <w:tr2bl w:val="nil"/>
                  </w:tcBorders>
                  <w:shd w:val="clear" w:color="auto" w:fill="auto"/>
                  <w:vAlign w:val="center"/>
                </w:tcPr>
                <w:p w14:paraId="28A2FBFE">
                  <w:pPr>
                    <w:pStyle w:val="37"/>
                    <w:bidi w:val="0"/>
                    <w:rPr>
                      <w:rFonts w:hint="default"/>
                      <w:color w:val="auto"/>
                    </w:rPr>
                  </w:pPr>
                  <w:r>
                    <w:rPr>
                      <w:rFonts w:hint="eastAsia"/>
                      <w:color w:val="auto"/>
                      <w:lang w:val="en-US" w:eastAsia="zh-CN"/>
                    </w:rPr>
                    <w:t>升压站土建施工阶段</w:t>
                  </w:r>
                </w:p>
              </w:tc>
              <w:tc>
                <w:tcPr>
                  <w:tcW w:w="1102" w:type="dxa"/>
                  <w:tcBorders>
                    <w:tl2br w:val="nil"/>
                    <w:tr2bl w:val="nil"/>
                  </w:tcBorders>
                  <w:shd w:val="clear" w:color="auto" w:fill="auto"/>
                  <w:vAlign w:val="center"/>
                </w:tcPr>
                <w:p w14:paraId="6FC19070">
                  <w:pPr>
                    <w:pStyle w:val="37"/>
                    <w:bidi w:val="0"/>
                    <w:rPr>
                      <w:rFonts w:hint="default"/>
                      <w:b w:val="0"/>
                      <w:bCs w:val="0"/>
                      <w:color w:val="auto"/>
                    </w:rPr>
                  </w:pPr>
                  <w:r>
                    <w:rPr>
                      <w:rFonts w:hint="eastAsia"/>
                      <w:b w:val="0"/>
                      <w:bCs w:val="0"/>
                      <w:color w:val="auto"/>
                      <w:lang w:val="en-US" w:eastAsia="zh-CN"/>
                    </w:rPr>
                    <w:t>混凝土振捣器</w:t>
                  </w:r>
                </w:p>
              </w:tc>
              <w:tc>
                <w:tcPr>
                  <w:tcW w:w="879" w:type="dxa"/>
                  <w:tcBorders>
                    <w:tl2br w:val="nil"/>
                    <w:tr2bl w:val="nil"/>
                  </w:tcBorders>
                  <w:shd w:val="clear" w:color="auto" w:fill="auto"/>
                  <w:vAlign w:val="center"/>
                </w:tcPr>
                <w:p w14:paraId="67CF34F2">
                  <w:pPr>
                    <w:pStyle w:val="37"/>
                    <w:bidi w:val="0"/>
                    <w:rPr>
                      <w:rFonts w:hint="default"/>
                      <w:b w:val="0"/>
                      <w:bCs w:val="0"/>
                      <w:color w:val="auto"/>
                    </w:rPr>
                  </w:pPr>
                  <w:r>
                    <w:rPr>
                      <w:rFonts w:hint="default"/>
                      <w:b w:val="0"/>
                      <w:bCs w:val="0"/>
                      <w:color w:val="auto"/>
                      <w:lang w:val="en-US" w:eastAsia="zh-CN"/>
                    </w:rPr>
                    <w:t>80</w:t>
                  </w:r>
                </w:p>
              </w:tc>
              <w:tc>
                <w:tcPr>
                  <w:tcW w:w="573" w:type="dxa"/>
                  <w:tcBorders>
                    <w:tl2br w:val="nil"/>
                    <w:tr2bl w:val="nil"/>
                  </w:tcBorders>
                  <w:shd w:val="clear" w:color="auto" w:fill="auto"/>
                  <w:noWrap/>
                  <w:vAlign w:val="center"/>
                </w:tcPr>
                <w:p w14:paraId="6C33F91A">
                  <w:pPr>
                    <w:pStyle w:val="37"/>
                    <w:bidi w:val="0"/>
                    <w:rPr>
                      <w:rFonts w:hint="default"/>
                      <w:b w:val="0"/>
                      <w:bCs w:val="0"/>
                      <w:color w:val="auto"/>
                    </w:rPr>
                  </w:pPr>
                  <w:r>
                    <w:rPr>
                      <w:rFonts w:hint="default"/>
                      <w:b w:val="0"/>
                      <w:bCs w:val="0"/>
                      <w:color w:val="auto"/>
                      <w:lang w:val="en-US" w:eastAsia="zh-CN"/>
                    </w:rPr>
                    <w:t>74</w:t>
                  </w:r>
                </w:p>
              </w:tc>
              <w:tc>
                <w:tcPr>
                  <w:tcW w:w="573" w:type="dxa"/>
                  <w:tcBorders>
                    <w:tl2br w:val="nil"/>
                    <w:tr2bl w:val="nil"/>
                  </w:tcBorders>
                  <w:shd w:val="clear" w:color="auto" w:fill="auto"/>
                  <w:noWrap/>
                  <w:vAlign w:val="center"/>
                </w:tcPr>
                <w:p w14:paraId="4BB9E3DA">
                  <w:pPr>
                    <w:pStyle w:val="37"/>
                    <w:bidi w:val="0"/>
                    <w:rPr>
                      <w:rFonts w:hint="default"/>
                      <w:b w:val="0"/>
                      <w:bCs w:val="0"/>
                      <w:color w:val="auto"/>
                    </w:rPr>
                  </w:pPr>
                  <w:r>
                    <w:rPr>
                      <w:rFonts w:hint="default"/>
                      <w:b w:val="0"/>
                      <w:bCs w:val="0"/>
                      <w:color w:val="auto"/>
                      <w:lang w:val="en-US" w:eastAsia="zh-CN"/>
                    </w:rPr>
                    <w:t>68</w:t>
                  </w:r>
                </w:p>
              </w:tc>
              <w:tc>
                <w:tcPr>
                  <w:tcW w:w="573" w:type="dxa"/>
                  <w:tcBorders>
                    <w:tl2br w:val="nil"/>
                    <w:tr2bl w:val="nil"/>
                  </w:tcBorders>
                  <w:shd w:val="clear" w:color="auto" w:fill="auto"/>
                  <w:noWrap/>
                  <w:vAlign w:val="center"/>
                </w:tcPr>
                <w:p w14:paraId="6490C051">
                  <w:pPr>
                    <w:pStyle w:val="37"/>
                    <w:bidi w:val="0"/>
                    <w:rPr>
                      <w:rFonts w:hint="default"/>
                      <w:b w:val="0"/>
                      <w:bCs w:val="0"/>
                      <w:color w:val="auto"/>
                    </w:rPr>
                  </w:pPr>
                  <w:r>
                    <w:rPr>
                      <w:rFonts w:hint="default"/>
                      <w:b w:val="0"/>
                      <w:bCs w:val="0"/>
                      <w:color w:val="auto"/>
                      <w:lang w:val="en-US" w:eastAsia="zh-CN"/>
                    </w:rPr>
                    <w:t>62</w:t>
                  </w:r>
                </w:p>
              </w:tc>
              <w:tc>
                <w:tcPr>
                  <w:tcW w:w="573" w:type="dxa"/>
                  <w:tcBorders>
                    <w:tl2br w:val="nil"/>
                    <w:tr2bl w:val="nil"/>
                  </w:tcBorders>
                  <w:shd w:val="clear" w:color="auto" w:fill="auto"/>
                  <w:noWrap/>
                  <w:vAlign w:val="center"/>
                </w:tcPr>
                <w:p w14:paraId="6C105D79">
                  <w:pPr>
                    <w:pStyle w:val="37"/>
                    <w:bidi w:val="0"/>
                    <w:rPr>
                      <w:rFonts w:hint="default"/>
                      <w:b w:val="0"/>
                      <w:bCs w:val="0"/>
                      <w:color w:val="auto"/>
                    </w:rPr>
                  </w:pPr>
                  <w:r>
                    <w:rPr>
                      <w:rFonts w:hint="default"/>
                      <w:b w:val="0"/>
                      <w:bCs w:val="0"/>
                      <w:color w:val="auto"/>
                      <w:lang w:val="en-US" w:eastAsia="zh-CN"/>
                    </w:rPr>
                    <w:t>58</w:t>
                  </w:r>
                </w:p>
              </w:tc>
              <w:tc>
                <w:tcPr>
                  <w:tcW w:w="573" w:type="dxa"/>
                  <w:tcBorders>
                    <w:tl2br w:val="nil"/>
                    <w:tr2bl w:val="nil"/>
                  </w:tcBorders>
                  <w:shd w:val="clear" w:color="auto" w:fill="auto"/>
                  <w:noWrap/>
                  <w:vAlign w:val="center"/>
                </w:tcPr>
                <w:p w14:paraId="1158047F">
                  <w:pPr>
                    <w:pStyle w:val="37"/>
                    <w:bidi w:val="0"/>
                    <w:rPr>
                      <w:rFonts w:hint="default"/>
                      <w:color w:val="auto"/>
                    </w:rPr>
                  </w:pPr>
                  <w:r>
                    <w:rPr>
                      <w:rFonts w:hint="default"/>
                      <w:color w:val="auto"/>
                      <w:lang w:val="en-US" w:eastAsia="zh-CN"/>
                    </w:rPr>
                    <w:t>56</w:t>
                  </w:r>
                </w:p>
              </w:tc>
              <w:tc>
                <w:tcPr>
                  <w:tcW w:w="675" w:type="dxa"/>
                  <w:tcBorders>
                    <w:tl2br w:val="nil"/>
                    <w:tr2bl w:val="nil"/>
                  </w:tcBorders>
                  <w:shd w:val="clear" w:color="auto" w:fill="auto"/>
                  <w:noWrap/>
                  <w:vAlign w:val="center"/>
                </w:tcPr>
                <w:p w14:paraId="5C46CA33">
                  <w:pPr>
                    <w:pStyle w:val="37"/>
                    <w:bidi w:val="0"/>
                    <w:rPr>
                      <w:rFonts w:hint="default"/>
                      <w:b w:val="0"/>
                      <w:bCs w:val="0"/>
                      <w:color w:val="auto"/>
                    </w:rPr>
                  </w:pPr>
                  <w:r>
                    <w:rPr>
                      <w:rFonts w:hint="default"/>
                      <w:b w:val="0"/>
                      <w:bCs w:val="0"/>
                      <w:color w:val="auto"/>
                      <w:lang w:val="en-US" w:eastAsia="zh-CN"/>
                    </w:rPr>
                    <w:t>54</w:t>
                  </w:r>
                </w:p>
              </w:tc>
              <w:tc>
                <w:tcPr>
                  <w:tcW w:w="675" w:type="dxa"/>
                  <w:tcBorders>
                    <w:tl2br w:val="nil"/>
                    <w:tr2bl w:val="nil"/>
                  </w:tcBorders>
                  <w:shd w:val="clear" w:color="auto" w:fill="auto"/>
                  <w:noWrap/>
                  <w:vAlign w:val="center"/>
                </w:tcPr>
                <w:p w14:paraId="27D6FD2E">
                  <w:pPr>
                    <w:pStyle w:val="37"/>
                    <w:bidi w:val="0"/>
                    <w:rPr>
                      <w:rFonts w:hint="default"/>
                      <w:b w:val="0"/>
                      <w:bCs w:val="0"/>
                      <w:color w:val="auto"/>
                    </w:rPr>
                  </w:pPr>
                  <w:r>
                    <w:rPr>
                      <w:rFonts w:hint="default"/>
                      <w:b w:val="0"/>
                      <w:bCs w:val="0"/>
                      <w:color w:val="auto"/>
                      <w:lang w:val="en-US" w:eastAsia="zh-CN"/>
                    </w:rPr>
                    <w:t>48</w:t>
                  </w:r>
                </w:p>
              </w:tc>
              <w:tc>
                <w:tcPr>
                  <w:tcW w:w="675" w:type="dxa"/>
                  <w:tcBorders>
                    <w:tl2br w:val="nil"/>
                    <w:tr2bl w:val="nil"/>
                  </w:tcBorders>
                  <w:shd w:val="clear" w:color="auto" w:fill="auto"/>
                  <w:noWrap/>
                  <w:vAlign w:val="center"/>
                </w:tcPr>
                <w:p w14:paraId="05791AC3">
                  <w:pPr>
                    <w:pStyle w:val="37"/>
                    <w:bidi w:val="0"/>
                    <w:rPr>
                      <w:rFonts w:hint="default"/>
                      <w:b w:val="0"/>
                      <w:bCs w:val="0"/>
                      <w:color w:val="auto"/>
                    </w:rPr>
                  </w:pPr>
                  <w:r>
                    <w:rPr>
                      <w:rFonts w:hint="default"/>
                      <w:b w:val="0"/>
                      <w:bCs w:val="0"/>
                      <w:color w:val="auto"/>
                      <w:lang w:val="en-US" w:eastAsia="zh-CN"/>
                    </w:rPr>
                    <w:t>44</w:t>
                  </w:r>
                </w:p>
              </w:tc>
              <w:tc>
                <w:tcPr>
                  <w:tcW w:w="677" w:type="dxa"/>
                  <w:tcBorders>
                    <w:tl2br w:val="nil"/>
                    <w:tr2bl w:val="nil"/>
                  </w:tcBorders>
                  <w:shd w:val="clear" w:color="auto" w:fill="auto"/>
                  <w:noWrap/>
                  <w:vAlign w:val="center"/>
                </w:tcPr>
                <w:p w14:paraId="331C496C">
                  <w:pPr>
                    <w:pStyle w:val="37"/>
                    <w:bidi w:val="0"/>
                    <w:rPr>
                      <w:rFonts w:hint="default"/>
                      <w:b w:val="0"/>
                      <w:bCs w:val="0"/>
                      <w:color w:val="auto"/>
                      <w:lang w:val="en-US" w:eastAsia="zh-CN"/>
                    </w:rPr>
                  </w:pPr>
                  <w:r>
                    <w:rPr>
                      <w:rFonts w:hint="default"/>
                      <w:b w:val="0"/>
                      <w:bCs w:val="0"/>
                      <w:color w:val="auto"/>
                      <w:lang w:val="en-US" w:eastAsia="zh-CN"/>
                    </w:rPr>
                    <w:t>40</w:t>
                  </w:r>
                </w:p>
              </w:tc>
            </w:tr>
            <w:tr w14:paraId="268DBDD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750" w:type="dxa"/>
                  <w:vMerge w:val="continue"/>
                  <w:tcBorders>
                    <w:tl2br w:val="nil"/>
                    <w:tr2bl w:val="nil"/>
                  </w:tcBorders>
                  <w:shd w:val="clear" w:color="auto" w:fill="auto"/>
                  <w:vAlign w:val="center"/>
                </w:tcPr>
                <w:p w14:paraId="432695C2">
                  <w:pPr>
                    <w:pStyle w:val="37"/>
                    <w:bidi w:val="0"/>
                    <w:rPr>
                      <w:rFonts w:hint="default"/>
                      <w:color w:val="auto"/>
                    </w:rPr>
                  </w:pPr>
                </w:p>
              </w:tc>
              <w:tc>
                <w:tcPr>
                  <w:tcW w:w="1102" w:type="dxa"/>
                  <w:tcBorders>
                    <w:tl2br w:val="nil"/>
                    <w:tr2bl w:val="nil"/>
                  </w:tcBorders>
                  <w:shd w:val="clear" w:color="auto" w:fill="auto"/>
                  <w:vAlign w:val="center"/>
                </w:tcPr>
                <w:p w14:paraId="3E94BBC3">
                  <w:pPr>
                    <w:pStyle w:val="37"/>
                    <w:bidi w:val="0"/>
                    <w:rPr>
                      <w:rFonts w:hint="default"/>
                      <w:b w:val="0"/>
                      <w:bCs w:val="0"/>
                      <w:color w:val="auto"/>
                    </w:rPr>
                  </w:pPr>
                  <w:r>
                    <w:rPr>
                      <w:rFonts w:hint="eastAsia"/>
                      <w:b w:val="0"/>
                      <w:bCs w:val="0"/>
                      <w:color w:val="auto"/>
                      <w:lang w:val="en-US" w:eastAsia="zh-CN"/>
                    </w:rPr>
                    <w:t>切割机</w:t>
                  </w:r>
                </w:p>
              </w:tc>
              <w:tc>
                <w:tcPr>
                  <w:tcW w:w="879" w:type="dxa"/>
                  <w:tcBorders>
                    <w:tl2br w:val="nil"/>
                    <w:tr2bl w:val="nil"/>
                  </w:tcBorders>
                  <w:shd w:val="clear" w:color="auto" w:fill="auto"/>
                  <w:vAlign w:val="center"/>
                </w:tcPr>
                <w:p w14:paraId="31D5A47C">
                  <w:pPr>
                    <w:pStyle w:val="37"/>
                    <w:bidi w:val="0"/>
                    <w:rPr>
                      <w:rFonts w:hint="default"/>
                      <w:b w:val="0"/>
                      <w:bCs w:val="0"/>
                      <w:color w:val="auto"/>
                    </w:rPr>
                  </w:pPr>
                  <w:r>
                    <w:rPr>
                      <w:rFonts w:hint="default"/>
                      <w:b w:val="0"/>
                      <w:bCs w:val="0"/>
                      <w:color w:val="auto"/>
                      <w:lang w:val="en-US" w:eastAsia="zh-CN"/>
                    </w:rPr>
                    <w:t>85</w:t>
                  </w:r>
                </w:p>
              </w:tc>
              <w:tc>
                <w:tcPr>
                  <w:tcW w:w="573" w:type="dxa"/>
                  <w:tcBorders>
                    <w:tl2br w:val="nil"/>
                    <w:tr2bl w:val="nil"/>
                  </w:tcBorders>
                  <w:shd w:val="clear" w:color="auto" w:fill="auto"/>
                  <w:noWrap/>
                  <w:vAlign w:val="center"/>
                </w:tcPr>
                <w:p w14:paraId="7C4D3412">
                  <w:pPr>
                    <w:pStyle w:val="37"/>
                    <w:bidi w:val="0"/>
                    <w:rPr>
                      <w:rFonts w:hint="default"/>
                      <w:b w:val="0"/>
                      <w:bCs w:val="0"/>
                      <w:color w:val="auto"/>
                    </w:rPr>
                  </w:pPr>
                  <w:r>
                    <w:rPr>
                      <w:rFonts w:hint="default"/>
                      <w:b w:val="0"/>
                      <w:bCs w:val="0"/>
                      <w:color w:val="auto"/>
                      <w:lang w:val="en-US" w:eastAsia="zh-CN"/>
                    </w:rPr>
                    <w:t>79</w:t>
                  </w:r>
                </w:p>
              </w:tc>
              <w:tc>
                <w:tcPr>
                  <w:tcW w:w="573" w:type="dxa"/>
                  <w:tcBorders>
                    <w:tl2br w:val="nil"/>
                    <w:tr2bl w:val="nil"/>
                  </w:tcBorders>
                  <w:shd w:val="clear" w:color="auto" w:fill="auto"/>
                  <w:noWrap/>
                  <w:vAlign w:val="center"/>
                </w:tcPr>
                <w:p w14:paraId="5F3DF809">
                  <w:pPr>
                    <w:pStyle w:val="37"/>
                    <w:bidi w:val="0"/>
                    <w:rPr>
                      <w:rFonts w:hint="default"/>
                      <w:b w:val="0"/>
                      <w:bCs w:val="0"/>
                      <w:color w:val="auto"/>
                    </w:rPr>
                  </w:pPr>
                  <w:r>
                    <w:rPr>
                      <w:rFonts w:hint="default"/>
                      <w:b w:val="0"/>
                      <w:bCs w:val="0"/>
                      <w:color w:val="auto"/>
                      <w:lang w:val="en-US" w:eastAsia="zh-CN"/>
                    </w:rPr>
                    <w:t>73</w:t>
                  </w:r>
                </w:p>
              </w:tc>
              <w:tc>
                <w:tcPr>
                  <w:tcW w:w="573" w:type="dxa"/>
                  <w:tcBorders>
                    <w:tl2br w:val="nil"/>
                    <w:tr2bl w:val="nil"/>
                  </w:tcBorders>
                  <w:shd w:val="clear" w:color="auto" w:fill="auto"/>
                  <w:noWrap/>
                  <w:vAlign w:val="center"/>
                </w:tcPr>
                <w:p w14:paraId="62856745">
                  <w:pPr>
                    <w:pStyle w:val="37"/>
                    <w:bidi w:val="0"/>
                    <w:rPr>
                      <w:rFonts w:hint="default"/>
                      <w:b w:val="0"/>
                      <w:bCs w:val="0"/>
                      <w:color w:val="auto"/>
                    </w:rPr>
                  </w:pPr>
                  <w:r>
                    <w:rPr>
                      <w:rFonts w:hint="default"/>
                      <w:b w:val="0"/>
                      <w:bCs w:val="0"/>
                      <w:color w:val="auto"/>
                      <w:lang w:val="en-US" w:eastAsia="zh-CN"/>
                    </w:rPr>
                    <w:t>69</w:t>
                  </w:r>
                </w:p>
              </w:tc>
              <w:tc>
                <w:tcPr>
                  <w:tcW w:w="573" w:type="dxa"/>
                  <w:tcBorders>
                    <w:tl2br w:val="nil"/>
                    <w:tr2bl w:val="nil"/>
                  </w:tcBorders>
                  <w:shd w:val="clear" w:color="auto" w:fill="auto"/>
                  <w:noWrap/>
                  <w:vAlign w:val="center"/>
                </w:tcPr>
                <w:p w14:paraId="0B071AEA">
                  <w:pPr>
                    <w:pStyle w:val="37"/>
                    <w:bidi w:val="0"/>
                    <w:rPr>
                      <w:rFonts w:hint="default"/>
                      <w:b w:val="0"/>
                      <w:bCs w:val="0"/>
                      <w:color w:val="auto"/>
                    </w:rPr>
                  </w:pPr>
                  <w:r>
                    <w:rPr>
                      <w:rFonts w:hint="default"/>
                      <w:b w:val="0"/>
                      <w:bCs w:val="0"/>
                      <w:color w:val="auto"/>
                      <w:lang w:val="en-US" w:eastAsia="zh-CN"/>
                    </w:rPr>
                    <w:t>63</w:t>
                  </w:r>
                </w:p>
              </w:tc>
              <w:tc>
                <w:tcPr>
                  <w:tcW w:w="573" w:type="dxa"/>
                  <w:tcBorders>
                    <w:tl2br w:val="nil"/>
                    <w:tr2bl w:val="nil"/>
                  </w:tcBorders>
                  <w:shd w:val="clear" w:color="auto" w:fill="auto"/>
                  <w:noWrap/>
                  <w:vAlign w:val="center"/>
                </w:tcPr>
                <w:p w14:paraId="705F5CBF">
                  <w:pPr>
                    <w:pStyle w:val="37"/>
                    <w:bidi w:val="0"/>
                    <w:rPr>
                      <w:rFonts w:hint="default"/>
                      <w:color w:val="auto"/>
                    </w:rPr>
                  </w:pPr>
                  <w:r>
                    <w:rPr>
                      <w:rFonts w:hint="default"/>
                      <w:color w:val="auto"/>
                      <w:lang w:val="en-US" w:eastAsia="zh-CN"/>
                    </w:rPr>
                    <w:t>61</w:t>
                  </w:r>
                </w:p>
              </w:tc>
              <w:tc>
                <w:tcPr>
                  <w:tcW w:w="675" w:type="dxa"/>
                  <w:tcBorders>
                    <w:tl2br w:val="nil"/>
                    <w:tr2bl w:val="nil"/>
                  </w:tcBorders>
                  <w:shd w:val="clear" w:color="auto" w:fill="auto"/>
                  <w:noWrap/>
                  <w:vAlign w:val="center"/>
                </w:tcPr>
                <w:p w14:paraId="1442670A">
                  <w:pPr>
                    <w:pStyle w:val="37"/>
                    <w:bidi w:val="0"/>
                    <w:rPr>
                      <w:rFonts w:hint="default"/>
                      <w:b w:val="0"/>
                      <w:bCs w:val="0"/>
                      <w:color w:val="auto"/>
                    </w:rPr>
                  </w:pPr>
                  <w:r>
                    <w:rPr>
                      <w:rFonts w:hint="default"/>
                      <w:b w:val="0"/>
                      <w:bCs w:val="0"/>
                      <w:color w:val="auto"/>
                      <w:lang w:val="en-US" w:eastAsia="zh-CN"/>
                    </w:rPr>
                    <w:t>59</w:t>
                  </w:r>
                </w:p>
              </w:tc>
              <w:tc>
                <w:tcPr>
                  <w:tcW w:w="675" w:type="dxa"/>
                  <w:tcBorders>
                    <w:tl2br w:val="nil"/>
                    <w:tr2bl w:val="nil"/>
                  </w:tcBorders>
                  <w:shd w:val="clear" w:color="auto" w:fill="auto"/>
                  <w:noWrap/>
                  <w:vAlign w:val="center"/>
                </w:tcPr>
                <w:p w14:paraId="15377D71">
                  <w:pPr>
                    <w:pStyle w:val="37"/>
                    <w:bidi w:val="0"/>
                    <w:rPr>
                      <w:rFonts w:hint="default"/>
                      <w:b w:val="0"/>
                      <w:bCs w:val="0"/>
                      <w:color w:val="auto"/>
                    </w:rPr>
                  </w:pPr>
                  <w:r>
                    <w:rPr>
                      <w:rFonts w:hint="default"/>
                      <w:b w:val="0"/>
                      <w:bCs w:val="0"/>
                      <w:color w:val="auto"/>
                      <w:lang w:val="en-US" w:eastAsia="zh-CN"/>
                    </w:rPr>
                    <w:t>53</w:t>
                  </w:r>
                </w:p>
              </w:tc>
              <w:tc>
                <w:tcPr>
                  <w:tcW w:w="675" w:type="dxa"/>
                  <w:tcBorders>
                    <w:tl2br w:val="nil"/>
                    <w:tr2bl w:val="nil"/>
                  </w:tcBorders>
                  <w:shd w:val="clear" w:color="auto" w:fill="auto"/>
                  <w:noWrap/>
                  <w:vAlign w:val="center"/>
                </w:tcPr>
                <w:p w14:paraId="17B7539B">
                  <w:pPr>
                    <w:pStyle w:val="37"/>
                    <w:bidi w:val="0"/>
                    <w:rPr>
                      <w:rFonts w:hint="default"/>
                      <w:b w:val="0"/>
                      <w:bCs w:val="0"/>
                      <w:color w:val="auto"/>
                    </w:rPr>
                  </w:pPr>
                  <w:r>
                    <w:rPr>
                      <w:rFonts w:hint="default"/>
                      <w:b w:val="0"/>
                      <w:bCs w:val="0"/>
                      <w:color w:val="auto"/>
                      <w:lang w:val="en-US" w:eastAsia="zh-CN"/>
                    </w:rPr>
                    <w:t>49</w:t>
                  </w:r>
                </w:p>
              </w:tc>
              <w:tc>
                <w:tcPr>
                  <w:tcW w:w="677" w:type="dxa"/>
                  <w:tcBorders>
                    <w:tl2br w:val="nil"/>
                    <w:tr2bl w:val="nil"/>
                  </w:tcBorders>
                  <w:shd w:val="clear" w:color="auto" w:fill="auto"/>
                  <w:noWrap/>
                  <w:vAlign w:val="center"/>
                </w:tcPr>
                <w:p w14:paraId="0CE51A94">
                  <w:pPr>
                    <w:pStyle w:val="37"/>
                    <w:bidi w:val="0"/>
                    <w:rPr>
                      <w:rFonts w:hint="default"/>
                      <w:b w:val="0"/>
                      <w:bCs w:val="0"/>
                      <w:color w:val="auto"/>
                      <w:lang w:val="en-US" w:eastAsia="zh-CN"/>
                    </w:rPr>
                  </w:pPr>
                  <w:r>
                    <w:rPr>
                      <w:rFonts w:hint="default"/>
                      <w:b w:val="0"/>
                      <w:bCs w:val="0"/>
                      <w:color w:val="auto"/>
                      <w:lang w:val="en-US" w:eastAsia="zh-CN"/>
                    </w:rPr>
                    <w:t>45</w:t>
                  </w:r>
                </w:p>
              </w:tc>
            </w:tr>
            <w:tr w14:paraId="4F461B6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750" w:type="dxa"/>
                  <w:vMerge w:val="continue"/>
                  <w:tcBorders>
                    <w:tl2br w:val="nil"/>
                    <w:tr2bl w:val="nil"/>
                  </w:tcBorders>
                  <w:shd w:val="clear" w:color="auto" w:fill="auto"/>
                  <w:vAlign w:val="center"/>
                </w:tcPr>
                <w:p w14:paraId="35F4F6E0">
                  <w:pPr>
                    <w:pStyle w:val="37"/>
                    <w:bidi w:val="0"/>
                    <w:rPr>
                      <w:rFonts w:hint="default"/>
                      <w:color w:val="auto"/>
                    </w:rPr>
                  </w:pPr>
                </w:p>
              </w:tc>
              <w:tc>
                <w:tcPr>
                  <w:tcW w:w="1102" w:type="dxa"/>
                  <w:tcBorders>
                    <w:tl2br w:val="nil"/>
                    <w:tr2bl w:val="nil"/>
                  </w:tcBorders>
                  <w:shd w:val="clear" w:color="auto" w:fill="auto"/>
                  <w:vAlign w:val="center"/>
                </w:tcPr>
                <w:p w14:paraId="66D536D8">
                  <w:pPr>
                    <w:pStyle w:val="37"/>
                    <w:bidi w:val="0"/>
                    <w:rPr>
                      <w:rFonts w:hint="default"/>
                      <w:color w:val="auto"/>
                    </w:rPr>
                  </w:pPr>
                  <w:r>
                    <w:rPr>
                      <w:rFonts w:hint="eastAsia"/>
                      <w:color w:val="auto"/>
                      <w:lang w:val="en-US" w:eastAsia="zh-CN"/>
                    </w:rPr>
                    <w:t>空压机</w:t>
                  </w:r>
                </w:p>
              </w:tc>
              <w:tc>
                <w:tcPr>
                  <w:tcW w:w="879" w:type="dxa"/>
                  <w:tcBorders>
                    <w:tl2br w:val="nil"/>
                    <w:tr2bl w:val="nil"/>
                  </w:tcBorders>
                  <w:shd w:val="clear" w:color="auto" w:fill="auto"/>
                  <w:vAlign w:val="center"/>
                </w:tcPr>
                <w:p w14:paraId="1CC29014">
                  <w:pPr>
                    <w:pStyle w:val="37"/>
                    <w:bidi w:val="0"/>
                    <w:rPr>
                      <w:rFonts w:hint="default"/>
                      <w:color w:val="auto"/>
                    </w:rPr>
                  </w:pPr>
                  <w:r>
                    <w:rPr>
                      <w:rFonts w:hint="default"/>
                      <w:color w:val="auto"/>
                      <w:lang w:val="en-US" w:eastAsia="zh-CN"/>
                    </w:rPr>
                    <w:t>90</w:t>
                  </w:r>
                </w:p>
              </w:tc>
              <w:tc>
                <w:tcPr>
                  <w:tcW w:w="573" w:type="dxa"/>
                  <w:tcBorders>
                    <w:tl2br w:val="nil"/>
                    <w:tr2bl w:val="nil"/>
                  </w:tcBorders>
                  <w:shd w:val="clear" w:color="auto" w:fill="auto"/>
                  <w:noWrap/>
                  <w:vAlign w:val="center"/>
                </w:tcPr>
                <w:p w14:paraId="48EBEA26">
                  <w:pPr>
                    <w:pStyle w:val="37"/>
                    <w:bidi w:val="0"/>
                    <w:rPr>
                      <w:rFonts w:hint="default"/>
                      <w:color w:val="auto"/>
                    </w:rPr>
                  </w:pPr>
                  <w:r>
                    <w:rPr>
                      <w:rFonts w:hint="default"/>
                      <w:color w:val="auto"/>
                      <w:lang w:val="en-US" w:eastAsia="zh-CN"/>
                    </w:rPr>
                    <w:t>84</w:t>
                  </w:r>
                </w:p>
              </w:tc>
              <w:tc>
                <w:tcPr>
                  <w:tcW w:w="573" w:type="dxa"/>
                  <w:tcBorders>
                    <w:tl2br w:val="nil"/>
                    <w:tr2bl w:val="nil"/>
                  </w:tcBorders>
                  <w:shd w:val="clear" w:color="auto" w:fill="auto"/>
                  <w:noWrap/>
                  <w:vAlign w:val="center"/>
                </w:tcPr>
                <w:p w14:paraId="2A2E20E1">
                  <w:pPr>
                    <w:pStyle w:val="37"/>
                    <w:bidi w:val="0"/>
                    <w:rPr>
                      <w:rFonts w:hint="default"/>
                      <w:color w:val="auto"/>
                    </w:rPr>
                  </w:pPr>
                  <w:r>
                    <w:rPr>
                      <w:rFonts w:hint="default"/>
                      <w:color w:val="auto"/>
                      <w:lang w:val="en-US" w:eastAsia="zh-CN"/>
                    </w:rPr>
                    <w:t>78</w:t>
                  </w:r>
                </w:p>
              </w:tc>
              <w:tc>
                <w:tcPr>
                  <w:tcW w:w="573" w:type="dxa"/>
                  <w:tcBorders>
                    <w:tl2br w:val="nil"/>
                    <w:tr2bl w:val="nil"/>
                  </w:tcBorders>
                  <w:shd w:val="clear" w:color="auto" w:fill="auto"/>
                  <w:noWrap/>
                  <w:vAlign w:val="center"/>
                </w:tcPr>
                <w:p w14:paraId="567A0F07">
                  <w:pPr>
                    <w:pStyle w:val="37"/>
                    <w:bidi w:val="0"/>
                    <w:rPr>
                      <w:rFonts w:hint="default"/>
                      <w:color w:val="auto"/>
                    </w:rPr>
                  </w:pPr>
                  <w:r>
                    <w:rPr>
                      <w:rFonts w:hint="default"/>
                      <w:color w:val="auto"/>
                      <w:lang w:val="en-US" w:eastAsia="zh-CN"/>
                    </w:rPr>
                    <w:t>72</w:t>
                  </w:r>
                </w:p>
              </w:tc>
              <w:tc>
                <w:tcPr>
                  <w:tcW w:w="573" w:type="dxa"/>
                  <w:tcBorders>
                    <w:tl2br w:val="nil"/>
                    <w:tr2bl w:val="nil"/>
                  </w:tcBorders>
                  <w:shd w:val="clear" w:color="auto" w:fill="auto"/>
                  <w:noWrap/>
                  <w:vAlign w:val="center"/>
                </w:tcPr>
                <w:p w14:paraId="45726C52">
                  <w:pPr>
                    <w:pStyle w:val="37"/>
                    <w:bidi w:val="0"/>
                    <w:rPr>
                      <w:rFonts w:hint="default"/>
                      <w:color w:val="auto"/>
                    </w:rPr>
                  </w:pPr>
                  <w:r>
                    <w:rPr>
                      <w:rFonts w:hint="default"/>
                      <w:color w:val="auto"/>
                      <w:lang w:val="en-US" w:eastAsia="zh-CN"/>
                    </w:rPr>
                    <w:t>68</w:t>
                  </w:r>
                </w:p>
              </w:tc>
              <w:tc>
                <w:tcPr>
                  <w:tcW w:w="573" w:type="dxa"/>
                  <w:tcBorders>
                    <w:tl2br w:val="nil"/>
                    <w:tr2bl w:val="nil"/>
                  </w:tcBorders>
                  <w:shd w:val="clear" w:color="auto" w:fill="auto"/>
                  <w:noWrap/>
                  <w:vAlign w:val="center"/>
                </w:tcPr>
                <w:p w14:paraId="520C0A27">
                  <w:pPr>
                    <w:pStyle w:val="37"/>
                    <w:bidi w:val="0"/>
                    <w:rPr>
                      <w:rFonts w:hint="default"/>
                      <w:color w:val="auto"/>
                    </w:rPr>
                  </w:pPr>
                  <w:r>
                    <w:rPr>
                      <w:rFonts w:hint="default"/>
                      <w:color w:val="auto"/>
                      <w:lang w:val="en-US" w:eastAsia="zh-CN"/>
                    </w:rPr>
                    <w:t>66</w:t>
                  </w:r>
                </w:p>
              </w:tc>
              <w:tc>
                <w:tcPr>
                  <w:tcW w:w="675" w:type="dxa"/>
                  <w:tcBorders>
                    <w:tl2br w:val="nil"/>
                    <w:tr2bl w:val="nil"/>
                  </w:tcBorders>
                  <w:shd w:val="clear" w:color="auto" w:fill="auto"/>
                  <w:noWrap/>
                  <w:vAlign w:val="center"/>
                </w:tcPr>
                <w:p w14:paraId="27C0CDFF">
                  <w:pPr>
                    <w:pStyle w:val="37"/>
                    <w:bidi w:val="0"/>
                    <w:rPr>
                      <w:rFonts w:hint="default"/>
                      <w:color w:val="auto"/>
                    </w:rPr>
                  </w:pPr>
                  <w:r>
                    <w:rPr>
                      <w:rFonts w:hint="default"/>
                      <w:color w:val="auto"/>
                      <w:lang w:val="en-US" w:eastAsia="zh-CN"/>
                    </w:rPr>
                    <w:t>64</w:t>
                  </w:r>
                </w:p>
              </w:tc>
              <w:tc>
                <w:tcPr>
                  <w:tcW w:w="675" w:type="dxa"/>
                  <w:tcBorders>
                    <w:tl2br w:val="nil"/>
                    <w:tr2bl w:val="nil"/>
                  </w:tcBorders>
                  <w:shd w:val="clear" w:color="auto" w:fill="auto"/>
                  <w:noWrap/>
                  <w:vAlign w:val="center"/>
                </w:tcPr>
                <w:p w14:paraId="2B16316F">
                  <w:pPr>
                    <w:pStyle w:val="37"/>
                    <w:bidi w:val="0"/>
                    <w:rPr>
                      <w:rFonts w:hint="default"/>
                      <w:color w:val="auto"/>
                    </w:rPr>
                  </w:pPr>
                  <w:r>
                    <w:rPr>
                      <w:rFonts w:hint="default"/>
                      <w:color w:val="auto"/>
                      <w:lang w:val="en-US" w:eastAsia="zh-CN"/>
                    </w:rPr>
                    <w:t>58</w:t>
                  </w:r>
                </w:p>
              </w:tc>
              <w:tc>
                <w:tcPr>
                  <w:tcW w:w="675" w:type="dxa"/>
                  <w:tcBorders>
                    <w:tl2br w:val="nil"/>
                    <w:tr2bl w:val="nil"/>
                  </w:tcBorders>
                  <w:shd w:val="clear" w:color="auto" w:fill="auto"/>
                  <w:noWrap/>
                  <w:vAlign w:val="center"/>
                </w:tcPr>
                <w:p w14:paraId="577692B6">
                  <w:pPr>
                    <w:pStyle w:val="37"/>
                    <w:bidi w:val="0"/>
                    <w:rPr>
                      <w:rFonts w:hint="default"/>
                      <w:color w:val="auto"/>
                    </w:rPr>
                  </w:pPr>
                  <w:r>
                    <w:rPr>
                      <w:rFonts w:hint="default"/>
                      <w:color w:val="auto"/>
                      <w:lang w:val="en-US" w:eastAsia="zh-CN"/>
                    </w:rPr>
                    <w:t>54</w:t>
                  </w:r>
                </w:p>
              </w:tc>
              <w:tc>
                <w:tcPr>
                  <w:tcW w:w="677" w:type="dxa"/>
                  <w:tcBorders>
                    <w:tl2br w:val="nil"/>
                    <w:tr2bl w:val="nil"/>
                  </w:tcBorders>
                  <w:shd w:val="clear" w:color="auto" w:fill="auto"/>
                  <w:noWrap/>
                  <w:vAlign w:val="center"/>
                </w:tcPr>
                <w:p w14:paraId="7DDA65C2">
                  <w:pPr>
                    <w:pStyle w:val="37"/>
                    <w:bidi w:val="0"/>
                    <w:rPr>
                      <w:rFonts w:hint="default"/>
                      <w:color w:val="auto"/>
                      <w:lang w:val="en-US" w:eastAsia="zh-CN"/>
                    </w:rPr>
                  </w:pPr>
                  <w:r>
                    <w:rPr>
                      <w:rFonts w:hint="default"/>
                      <w:color w:val="auto"/>
                      <w:lang w:val="en-US" w:eastAsia="zh-CN"/>
                    </w:rPr>
                    <w:t>50</w:t>
                  </w:r>
                </w:p>
              </w:tc>
            </w:tr>
            <w:tr w14:paraId="6F1BE0D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750" w:type="dxa"/>
                  <w:vMerge w:val="continue"/>
                  <w:tcBorders>
                    <w:tl2br w:val="nil"/>
                    <w:tr2bl w:val="nil"/>
                  </w:tcBorders>
                  <w:shd w:val="clear" w:color="auto" w:fill="auto"/>
                  <w:vAlign w:val="center"/>
                </w:tcPr>
                <w:p w14:paraId="11BAE7DB">
                  <w:pPr>
                    <w:pStyle w:val="37"/>
                    <w:bidi w:val="0"/>
                    <w:rPr>
                      <w:rFonts w:hint="default"/>
                      <w:color w:val="auto"/>
                    </w:rPr>
                  </w:pPr>
                </w:p>
              </w:tc>
              <w:tc>
                <w:tcPr>
                  <w:tcW w:w="1102" w:type="dxa"/>
                  <w:tcBorders>
                    <w:tl2br w:val="nil"/>
                    <w:tr2bl w:val="nil"/>
                  </w:tcBorders>
                  <w:shd w:val="clear" w:color="auto" w:fill="auto"/>
                  <w:vAlign w:val="center"/>
                </w:tcPr>
                <w:p w14:paraId="148604C4">
                  <w:pPr>
                    <w:pStyle w:val="37"/>
                    <w:bidi w:val="0"/>
                    <w:rPr>
                      <w:rFonts w:hint="default"/>
                      <w:color w:val="auto"/>
                    </w:rPr>
                  </w:pPr>
                  <w:r>
                    <w:rPr>
                      <w:rFonts w:hint="eastAsia"/>
                      <w:color w:val="auto"/>
                      <w:lang w:val="en-US" w:eastAsia="zh-CN"/>
                    </w:rPr>
                    <w:t>振动夯锤</w:t>
                  </w:r>
                </w:p>
              </w:tc>
              <w:tc>
                <w:tcPr>
                  <w:tcW w:w="879" w:type="dxa"/>
                  <w:tcBorders>
                    <w:tl2br w:val="nil"/>
                    <w:tr2bl w:val="nil"/>
                  </w:tcBorders>
                  <w:shd w:val="clear" w:color="auto" w:fill="auto"/>
                  <w:vAlign w:val="center"/>
                </w:tcPr>
                <w:p w14:paraId="0E2B0D00">
                  <w:pPr>
                    <w:pStyle w:val="37"/>
                    <w:bidi w:val="0"/>
                    <w:rPr>
                      <w:rFonts w:hint="default"/>
                      <w:color w:val="auto"/>
                    </w:rPr>
                  </w:pPr>
                  <w:r>
                    <w:rPr>
                      <w:rFonts w:hint="default"/>
                      <w:color w:val="auto"/>
                      <w:lang w:val="en-US" w:eastAsia="zh-CN"/>
                    </w:rPr>
                    <w:t>92</w:t>
                  </w:r>
                </w:p>
              </w:tc>
              <w:tc>
                <w:tcPr>
                  <w:tcW w:w="573" w:type="dxa"/>
                  <w:tcBorders>
                    <w:tl2br w:val="nil"/>
                    <w:tr2bl w:val="nil"/>
                  </w:tcBorders>
                  <w:shd w:val="clear" w:color="auto" w:fill="auto"/>
                  <w:noWrap/>
                  <w:vAlign w:val="center"/>
                </w:tcPr>
                <w:p w14:paraId="1EA59130">
                  <w:pPr>
                    <w:pStyle w:val="37"/>
                    <w:bidi w:val="0"/>
                    <w:rPr>
                      <w:rFonts w:hint="default"/>
                      <w:color w:val="auto"/>
                    </w:rPr>
                  </w:pPr>
                  <w:r>
                    <w:rPr>
                      <w:rFonts w:hint="default"/>
                      <w:color w:val="auto"/>
                      <w:lang w:val="en-US" w:eastAsia="zh-CN"/>
                    </w:rPr>
                    <w:t>86</w:t>
                  </w:r>
                </w:p>
              </w:tc>
              <w:tc>
                <w:tcPr>
                  <w:tcW w:w="573" w:type="dxa"/>
                  <w:tcBorders>
                    <w:tl2br w:val="nil"/>
                    <w:tr2bl w:val="nil"/>
                  </w:tcBorders>
                  <w:shd w:val="clear" w:color="auto" w:fill="auto"/>
                  <w:noWrap/>
                  <w:vAlign w:val="center"/>
                </w:tcPr>
                <w:p w14:paraId="74F081BB">
                  <w:pPr>
                    <w:pStyle w:val="37"/>
                    <w:bidi w:val="0"/>
                    <w:rPr>
                      <w:rFonts w:hint="default"/>
                      <w:color w:val="auto"/>
                    </w:rPr>
                  </w:pPr>
                  <w:r>
                    <w:rPr>
                      <w:rFonts w:hint="default"/>
                      <w:color w:val="auto"/>
                      <w:lang w:val="en-US" w:eastAsia="zh-CN"/>
                    </w:rPr>
                    <w:t>80</w:t>
                  </w:r>
                </w:p>
              </w:tc>
              <w:tc>
                <w:tcPr>
                  <w:tcW w:w="573" w:type="dxa"/>
                  <w:tcBorders>
                    <w:tl2br w:val="nil"/>
                    <w:tr2bl w:val="nil"/>
                  </w:tcBorders>
                  <w:shd w:val="clear" w:color="auto" w:fill="auto"/>
                  <w:noWrap/>
                  <w:vAlign w:val="center"/>
                </w:tcPr>
                <w:p w14:paraId="434FBC0B">
                  <w:pPr>
                    <w:pStyle w:val="37"/>
                    <w:bidi w:val="0"/>
                    <w:rPr>
                      <w:rFonts w:hint="default"/>
                      <w:color w:val="auto"/>
                    </w:rPr>
                  </w:pPr>
                  <w:r>
                    <w:rPr>
                      <w:rFonts w:hint="default"/>
                      <w:color w:val="auto"/>
                      <w:lang w:val="en-US" w:eastAsia="zh-CN"/>
                    </w:rPr>
                    <w:t>74</w:t>
                  </w:r>
                </w:p>
              </w:tc>
              <w:tc>
                <w:tcPr>
                  <w:tcW w:w="573" w:type="dxa"/>
                  <w:tcBorders>
                    <w:tl2br w:val="nil"/>
                    <w:tr2bl w:val="nil"/>
                  </w:tcBorders>
                  <w:shd w:val="clear" w:color="auto" w:fill="auto"/>
                  <w:noWrap/>
                  <w:vAlign w:val="center"/>
                </w:tcPr>
                <w:p w14:paraId="0C8E262F">
                  <w:pPr>
                    <w:pStyle w:val="37"/>
                    <w:bidi w:val="0"/>
                    <w:rPr>
                      <w:rFonts w:hint="default"/>
                      <w:color w:val="auto"/>
                    </w:rPr>
                  </w:pPr>
                  <w:r>
                    <w:rPr>
                      <w:rFonts w:hint="default"/>
                      <w:color w:val="auto"/>
                      <w:lang w:val="en-US" w:eastAsia="zh-CN"/>
                    </w:rPr>
                    <w:t>70</w:t>
                  </w:r>
                </w:p>
              </w:tc>
              <w:tc>
                <w:tcPr>
                  <w:tcW w:w="573" w:type="dxa"/>
                  <w:tcBorders>
                    <w:tl2br w:val="nil"/>
                    <w:tr2bl w:val="nil"/>
                  </w:tcBorders>
                  <w:shd w:val="clear" w:color="auto" w:fill="auto"/>
                  <w:noWrap/>
                  <w:vAlign w:val="center"/>
                </w:tcPr>
                <w:p w14:paraId="0D3EE02F">
                  <w:pPr>
                    <w:pStyle w:val="37"/>
                    <w:bidi w:val="0"/>
                    <w:rPr>
                      <w:rFonts w:hint="default"/>
                      <w:color w:val="auto"/>
                    </w:rPr>
                  </w:pPr>
                  <w:r>
                    <w:rPr>
                      <w:rFonts w:hint="default"/>
                      <w:color w:val="auto"/>
                      <w:lang w:val="en-US" w:eastAsia="zh-CN"/>
                    </w:rPr>
                    <w:t>66</w:t>
                  </w:r>
                </w:p>
              </w:tc>
              <w:tc>
                <w:tcPr>
                  <w:tcW w:w="675" w:type="dxa"/>
                  <w:tcBorders>
                    <w:tl2br w:val="nil"/>
                    <w:tr2bl w:val="nil"/>
                  </w:tcBorders>
                  <w:shd w:val="clear" w:color="auto" w:fill="auto"/>
                  <w:noWrap/>
                  <w:vAlign w:val="center"/>
                </w:tcPr>
                <w:p w14:paraId="199AA8D2">
                  <w:pPr>
                    <w:pStyle w:val="37"/>
                    <w:bidi w:val="0"/>
                    <w:rPr>
                      <w:rFonts w:hint="default"/>
                      <w:color w:val="auto"/>
                    </w:rPr>
                  </w:pPr>
                  <w:r>
                    <w:rPr>
                      <w:rFonts w:hint="default"/>
                      <w:color w:val="auto"/>
                      <w:lang w:val="en-US" w:eastAsia="zh-CN"/>
                    </w:rPr>
                    <w:t>66</w:t>
                  </w:r>
                </w:p>
              </w:tc>
              <w:tc>
                <w:tcPr>
                  <w:tcW w:w="675" w:type="dxa"/>
                  <w:tcBorders>
                    <w:tl2br w:val="nil"/>
                    <w:tr2bl w:val="nil"/>
                  </w:tcBorders>
                  <w:shd w:val="clear" w:color="auto" w:fill="auto"/>
                  <w:noWrap/>
                  <w:vAlign w:val="center"/>
                </w:tcPr>
                <w:p w14:paraId="6DFA6FE0">
                  <w:pPr>
                    <w:pStyle w:val="37"/>
                    <w:bidi w:val="0"/>
                    <w:rPr>
                      <w:rFonts w:hint="default"/>
                      <w:color w:val="auto"/>
                    </w:rPr>
                  </w:pPr>
                  <w:r>
                    <w:rPr>
                      <w:rFonts w:hint="default"/>
                      <w:color w:val="auto"/>
                      <w:lang w:val="en-US" w:eastAsia="zh-CN"/>
                    </w:rPr>
                    <w:t>60</w:t>
                  </w:r>
                </w:p>
              </w:tc>
              <w:tc>
                <w:tcPr>
                  <w:tcW w:w="675" w:type="dxa"/>
                  <w:tcBorders>
                    <w:tl2br w:val="nil"/>
                    <w:tr2bl w:val="nil"/>
                  </w:tcBorders>
                  <w:shd w:val="clear" w:color="auto" w:fill="auto"/>
                  <w:noWrap/>
                  <w:vAlign w:val="center"/>
                </w:tcPr>
                <w:p w14:paraId="276DE6E4">
                  <w:pPr>
                    <w:pStyle w:val="37"/>
                    <w:bidi w:val="0"/>
                    <w:rPr>
                      <w:rFonts w:hint="default"/>
                      <w:color w:val="auto"/>
                    </w:rPr>
                  </w:pPr>
                  <w:r>
                    <w:rPr>
                      <w:rFonts w:hint="default"/>
                      <w:color w:val="auto"/>
                      <w:lang w:val="en-US" w:eastAsia="zh-CN"/>
                    </w:rPr>
                    <w:t>56</w:t>
                  </w:r>
                </w:p>
              </w:tc>
              <w:tc>
                <w:tcPr>
                  <w:tcW w:w="677" w:type="dxa"/>
                  <w:tcBorders>
                    <w:tl2br w:val="nil"/>
                    <w:tr2bl w:val="nil"/>
                  </w:tcBorders>
                  <w:shd w:val="clear" w:color="auto" w:fill="auto"/>
                  <w:noWrap/>
                  <w:vAlign w:val="center"/>
                </w:tcPr>
                <w:p w14:paraId="3EA1A985">
                  <w:pPr>
                    <w:pStyle w:val="37"/>
                    <w:bidi w:val="0"/>
                    <w:rPr>
                      <w:rFonts w:hint="default"/>
                      <w:color w:val="auto"/>
                      <w:lang w:val="en-US" w:eastAsia="zh-CN"/>
                    </w:rPr>
                  </w:pPr>
                  <w:r>
                    <w:rPr>
                      <w:rFonts w:hint="default"/>
                      <w:color w:val="auto"/>
                      <w:lang w:val="en-US" w:eastAsia="zh-CN"/>
                    </w:rPr>
                    <w:t>52</w:t>
                  </w:r>
                </w:p>
              </w:tc>
            </w:tr>
            <w:tr w14:paraId="5A113C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750" w:type="dxa"/>
                  <w:vMerge w:val="continue"/>
                  <w:tcBorders>
                    <w:tl2br w:val="nil"/>
                    <w:tr2bl w:val="nil"/>
                  </w:tcBorders>
                  <w:shd w:val="clear" w:color="auto" w:fill="auto"/>
                  <w:vAlign w:val="center"/>
                </w:tcPr>
                <w:p w14:paraId="64283278">
                  <w:pPr>
                    <w:pStyle w:val="37"/>
                    <w:bidi w:val="0"/>
                    <w:rPr>
                      <w:rFonts w:hint="default"/>
                      <w:color w:val="auto"/>
                    </w:rPr>
                  </w:pPr>
                </w:p>
              </w:tc>
              <w:tc>
                <w:tcPr>
                  <w:tcW w:w="1102" w:type="dxa"/>
                  <w:tcBorders>
                    <w:tl2br w:val="nil"/>
                    <w:tr2bl w:val="nil"/>
                  </w:tcBorders>
                  <w:shd w:val="clear" w:color="auto" w:fill="auto"/>
                  <w:noWrap/>
                  <w:vAlign w:val="center"/>
                </w:tcPr>
                <w:p w14:paraId="45AF2CBA">
                  <w:pPr>
                    <w:pStyle w:val="37"/>
                    <w:bidi w:val="0"/>
                    <w:rPr>
                      <w:rFonts w:hint="eastAsia"/>
                      <w:b/>
                      <w:bCs/>
                      <w:color w:val="auto"/>
                    </w:rPr>
                  </w:pPr>
                  <w:r>
                    <w:rPr>
                      <w:rFonts w:hint="eastAsia"/>
                      <w:b/>
                      <w:bCs/>
                      <w:color w:val="auto"/>
                      <w:lang w:val="en-US" w:eastAsia="zh-CN"/>
                    </w:rPr>
                    <w:t>多声源叠加值</w:t>
                  </w:r>
                </w:p>
              </w:tc>
              <w:tc>
                <w:tcPr>
                  <w:tcW w:w="879" w:type="dxa"/>
                  <w:tcBorders>
                    <w:tl2br w:val="nil"/>
                    <w:tr2bl w:val="nil"/>
                  </w:tcBorders>
                  <w:shd w:val="clear" w:color="auto" w:fill="auto"/>
                  <w:noWrap/>
                  <w:vAlign w:val="center"/>
                </w:tcPr>
                <w:p w14:paraId="48B8BA8D">
                  <w:pPr>
                    <w:pStyle w:val="37"/>
                    <w:bidi w:val="0"/>
                    <w:rPr>
                      <w:rFonts w:hint="default"/>
                      <w:color w:val="auto"/>
                    </w:rPr>
                  </w:pPr>
                  <w:r>
                    <w:rPr>
                      <w:rFonts w:hint="default"/>
                      <w:color w:val="auto"/>
                      <w:lang w:val="en-US" w:eastAsia="zh-CN"/>
                    </w:rPr>
                    <w:t>92</w:t>
                  </w:r>
                </w:p>
              </w:tc>
              <w:tc>
                <w:tcPr>
                  <w:tcW w:w="573" w:type="dxa"/>
                  <w:tcBorders>
                    <w:tl2br w:val="nil"/>
                    <w:tr2bl w:val="nil"/>
                  </w:tcBorders>
                  <w:shd w:val="clear" w:color="auto" w:fill="auto"/>
                  <w:noWrap/>
                  <w:vAlign w:val="center"/>
                </w:tcPr>
                <w:p w14:paraId="7060BFBA">
                  <w:pPr>
                    <w:pStyle w:val="37"/>
                    <w:bidi w:val="0"/>
                    <w:rPr>
                      <w:rFonts w:hint="default"/>
                      <w:color w:val="auto"/>
                    </w:rPr>
                  </w:pPr>
                  <w:r>
                    <w:rPr>
                      <w:rFonts w:hint="default"/>
                      <w:color w:val="auto"/>
                      <w:lang w:val="en-US" w:eastAsia="zh-CN"/>
                    </w:rPr>
                    <w:t>86</w:t>
                  </w:r>
                </w:p>
              </w:tc>
              <w:tc>
                <w:tcPr>
                  <w:tcW w:w="573" w:type="dxa"/>
                  <w:tcBorders>
                    <w:tl2br w:val="nil"/>
                    <w:tr2bl w:val="nil"/>
                  </w:tcBorders>
                  <w:shd w:val="clear" w:color="auto" w:fill="auto"/>
                  <w:noWrap/>
                  <w:vAlign w:val="center"/>
                </w:tcPr>
                <w:p w14:paraId="7388B30B">
                  <w:pPr>
                    <w:pStyle w:val="37"/>
                    <w:bidi w:val="0"/>
                    <w:rPr>
                      <w:rFonts w:hint="default"/>
                      <w:color w:val="auto"/>
                    </w:rPr>
                  </w:pPr>
                  <w:r>
                    <w:rPr>
                      <w:rFonts w:hint="default"/>
                      <w:color w:val="auto"/>
                      <w:lang w:val="en-US" w:eastAsia="zh-CN"/>
                    </w:rPr>
                    <w:t>80</w:t>
                  </w:r>
                </w:p>
              </w:tc>
              <w:tc>
                <w:tcPr>
                  <w:tcW w:w="573" w:type="dxa"/>
                  <w:tcBorders>
                    <w:tl2br w:val="nil"/>
                    <w:tr2bl w:val="nil"/>
                  </w:tcBorders>
                  <w:shd w:val="clear" w:color="auto" w:fill="auto"/>
                  <w:noWrap/>
                  <w:vAlign w:val="center"/>
                </w:tcPr>
                <w:p w14:paraId="274C6C8F">
                  <w:pPr>
                    <w:pStyle w:val="37"/>
                    <w:bidi w:val="0"/>
                    <w:rPr>
                      <w:rFonts w:hint="default"/>
                      <w:color w:val="auto"/>
                    </w:rPr>
                  </w:pPr>
                  <w:r>
                    <w:rPr>
                      <w:rFonts w:hint="default"/>
                      <w:color w:val="auto"/>
                      <w:lang w:val="en-US" w:eastAsia="zh-CN"/>
                    </w:rPr>
                    <w:t>77</w:t>
                  </w:r>
                </w:p>
              </w:tc>
              <w:tc>
                <w:tcPr>
                  <w:tcW w:w="573" w:type="dxa"/>
                  <w:tcBorders>
                    <w:tl2br w:val="nil"/>
                    <w:tr2bl w:val="nil"/>
                  </w:tcBorders>
                  <w:shd w:val="clear" w:color="auto" w:fill="auto"/>
                  <w:noWrap/>
                  <w:vAlign w:val="center"/>
                </w:tcPr>
                <w:p w14:paraId="48680299">
                  <w:pPr>
                    <w:pStyle w:val="37"/>
                    <w:bidi w:val="0"/>
                    <w:rPr>
                      <w:rFonts w:hint="default"/>
                      <w:color w:val="auto"/>
                    </w:rPr>
                  </w:pPr>
                  <w:r>
                    <w:rPr>
                      <w:rFonts w:hint="default"/>
                      <w:color w:val="auto"/>
                      <w:lang w:val="en-US" w:eastAsia="zh-CN"/>
                    </w:rPr>
                    <w:t>71</w:t>
                  </w:r>
                </w:p>
              </w:tc>
              <w:tc>
                <w:tcPr>
                  <w:tcW w:w="573" w:type="dxa"/>
                  <w:tcBorders>
                    <w:tl2br w:val="nil"/>
                    <w:tr2bl w:val="nil"/>
                  </w:tcBorders>
                  <w:shd w:val="clear" w:color="auto" w:fill="auto"/>
                  <w:noWrap/>
                  <w:vAlign w:val="center"/>
                </w:tcPr>
                <w:p w14:paraId="4E88BE04">
                  <w:pPr>
                    <w:pStyle w:val="37"/>
                    <w:bidi w:val="0"/>
                    <w:rPr>
                      <w:rFonts w:hint="default"/>
                      <w:color w:val="auto"/>
                    </w:rPr>
                  </w:pPr>
                  <w:r>
                    <w:rPr>
                      <w:rFonts w:hint="default"/>
                      <w:color w:val="auto"/>
                      <w:lang w:val="en-US" w:eastAsia="zh-CN"/>
                    </w:rPr>
                    <w:t>70</w:t>
                  </w:r>
                </w:p>
              </w:tc>
              <w:tc>
                <w:tcPr>
                  <w:tcW w:w="675" w:type="dxa"/>
                  <w:tcBorders>
                    <w:tl2br w:val="nil"/>
                    <w:tr2bl w:val="nil"/>
                  </w:tcBorders>
                  <w:shd w:val="clear" w:color="auto" w:fill="auto"/>
                  <w:noWrap/>
                  <w:vAlign w:val="center"/>
                </w:tcPr>
                <w:p w14:paraId="1A744544">
                  <w:pPr>
                    <w:pStyle w:val="37"/>
                    <w:bidi w:val="0"/>
                    <w:rPr>
                      <w:rFonts w:hint="default"/>
                      <w:color w:val="auto"/>
                    </w:rPr>
                  </w:pPr>
                  <w:r>
                    <w:rPr>
                      <w:rFonts w:hint="default"/>
                      <w:color w:val="auto"/>
                      <w:lang w:val="en-US" w:eastAsia="zh-CN"/>
                    </w:rPr>
                    <w:t>66</w:t>
                  </w:r>
                </w:p>
              </w:tc>
              <w:tc>
                <w:tcPr>
                  <w:tcW w:w="675" w:type="dxa"/>
                  <w:tcBorders>
                    <w:tl2br w:val="nil"/>
                    <w:tr2bl w:val="nil"/>
                  </w:tcBorders>
                  <w:shd w:val="clear" w:color="auto" w:fill="auto"/>
                  <w:noWrap/>
                  <w:vAlign w:val="center"/>
                </w:tcPr>
                <w:p w14:paraId="3AE74049">
                  <w:pPr>
                    <w:pStyle w:val="37"/>
                    <w:bidi w:val="0"/>
                    <w:rPr>
                      <w:rFonts w:hint="default"/>
                      <w:color w:val="auto"/>
                    </w:rPr>
                  </w:pPr>
                  <w:r>
                    <w:rPr>
                      <w:rFonts w:hint="default"/>
                      <w:color w:val="auto"/>
                      <w:lang w:val="en-US" w:eastAsia="zh-CN"/>
                    </w:rPr>
                    <w:t>60</w:t>
                  </w:r>
                </w:p>
              </w:tc>
              <w:tc>
                <w:tcPr>
                  <w:tcW w:w="675" w:type="dxa"/>
                  <w:tcBorders>
                    <w:tl2br w:val="nil"/>
                    <w:tr2bl w:val="nil"/>
                  </w:tcBorders>
                  <w:shd w:val="clear" w:color="auto" w:fill="auto"/>
                  <w:noWrap/>
                  <w:vAlign w:val="center"/>
                </w:tcPr>
                <w:p w14:paraId="5C80342F">
                  <w:pPr>
                    <w:pStyle w:val="37"/>
                    <w:bidi w:val="0"/>
                    <w:rPr>
                      <w:rFonts w:hint="default"/>
                      <w:color w:val="auto"/>
                    </w:rPr>
                  </w:pPr>
                  <w:r>
                    <w:rPr>
                      <w:rFonts w:hint="default"/>
                      <w:color w:val="auto"/>
                      <w:lang w:val="en-US" w:eastAsia="zh-CN"/>
                    </w:rPr>
                    <w:t>57</w:t>
                  </w:r>
                </w:p>
              </w:tc>
              <w:tc>
                <w:tcPr>
                  <w:tcW w:w="677" w:type="dxa"/>
                  <w:tcBorders>
                    <w:tl2br w:val="nil"/>
                    <w:tr2bl w:val="nil"/>
                  </w:tcBorders>
                  <w:shd w:val="clear" w:color="auto" w:fill="auto"/>
                  <w:noWrap/>
                  <w:vAlign w:val="center"/>
                </w:tcPr>
                <w:p w14:paraId="5F2437DF">
                  <w:pPr>
                    <w:pStyle w:val="37"/>
                    <w:bidi w:val="0"/>
                    <w:rPr>
                      <w:rFonts w:hint="default"/>
                      <w:color w:val="auto"/>
                      <w:lang w:val="en-US" w:eastAsia="zh-CN"/>
                    </w:rPr>
                  </w:pPr>
                  <w:r>
                    <w:rPr>
                      <w:rFonts w:hint="default"/>
                      <w:color w:val="auto"/>
                      <w:lang w:val="en-US" w:eastAsia="zh-CN"/>
                    </w:rPr>
                    <w:t>52</w:t>
                  </w:r>
                </w:p>
              </w:tc>
            </w:tr>
            <w:tr w14:paraId="1000F5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750" w:type="dxa"/>
                  <w:vMerge w:val="restart"/>
                  <w:tcBorders>
                    <w:tl2br w:val="nil"/>
                    <w:tr2bl w:val="nil"/>
                  </w:tcBorders>
                  <w:shd w:val="clear" w:color="auto" w:fill="auto"/>
                  <w:vAlign w:val="center"/>
                </w:tcPr>
                <w:p w14:paraId="1AEC6C6E">
                  <w:pPr>
                    <w:pStyle w:val="37"/>
                    <w:bidi w:val="0"/>
                    <w:jc w:val="both"/>
                    <w:rPr>
                      <w:rFonts w:hint="default"/>
                      <w:color w:val="auto"/>
                    </w:rPr>
                  </w:pPr>
                  <w:r>
                    <w:rPr>
                      <w:rFonts w:hint="eastAsia"/>
                      <w:color w:val="auto"/>
                      <w:lang w:val="en-US" w:eastAsia="zh-CN"/>
                    </w:rPr>
                    <w:t>设备安装阶段</w:t>
                  </w:r>
                </w:p>
              </w:tc>
              <w:tc>
                <w:tcPr>
                  <w:tcW w:w="1102" w:type="dxa"/>
                  <w:tcBorders>
                    <w:tl2br w:val="nil"/>
                    <w:tr2bl w:val="nil"/>
                  </w:tcBorders>
                  <w:shd w:val="clear" w:color="auto" w:fill="auto"/>
                  <w:vAlign w:val="center"/>
                </w:tcPr>
                <w:p w14:paraId="3B676BFF">
                  <w:pPr>
                    <w:pStyle w:val="37"/>
                    <w:bidi w:val="0"/>
                    <w:rPr>
                      <w:rFonts w:hint="default"/>
                      <w:color w:val="auto"/>
                    </w:rPr>
                  </w:pPr>
                  <w:r>
                    <w:rPr>
                      <w:rFonts w:hint="eastAsia"/>
                      <w:color w:val="auto"/>
                      <w:lang w:val="en-US" w:eastAsia="zh-CN"/>
                    </w:rPr>
                    <w:t>角磨机</w:t>
                  </w:r>
                </w:p>
              </w:tc>
              <w:tc>
                <w:tcPr>
                  <w:tcW w:w="879" w:type="dxa"/>
                  <w:tcBorders>
                    <w:tl2br w:val="nil"/>
                    <w:tr2bl w:val="nil"/>
                  </w:tcBorders>
                  <w:shd w:val="clear" w:color="auto" w:fill="auto"/>
                  <w:vAlign w:val="center"/>
                </w:tcPr>
                <w:p w14:paraId="6CE74A1C">
                  <w:pPr>
                    <w:pStyle w:val="37"/>
                    <w:bidi w:val="0"/>
                    <w:rPr>
                      <w:rFonts w:hint="default"/>
                      <w:color w:val="auto"/>
                    </w:rPr>
                  </w:pPr>
                  <w:r>
                    <w:rPr>
                      <w:rFonts w:hint="default"/>
                      <w:color w:val="auto"/>
                      <w:lang w:val="en-US" w:eastAsia="zh-CN"/>
                    </w:rPr>
                    <w:t>90</w:t>
                  </w:r>
                </w:p>
              </w:tc>
              <w:tc>
                <w:tcPr>
                  <w:tcW w:w="573" w:type="dxa"/>
                  <w:tcBorders>
                    <w:tl2br w:val="nil"/>
                    <w:tr2bl w:val="nil"/>
                  </w:tcBorders>
                  <w:shd w:val="clear" w:color="auto" w:fill="auto"/>
                  <w:noWrap/>
                  <w:vAlign w:val="center"/>
                </w:tcPr>
                <w:p w14:paraId="4D2C4C20">
                  <w:pPr>
                    <w:pStyle w:val="37"/>
                    <w:bidi w:val="0"/>
                    <w:rPr>
                      <w:rFonts w:hint="default"/>
                      <w:color w:val="auto"/>
                    </w:rPr>
                  </w:pPr>
                  <w:r>
                    <w:rPr>
                      <w:rFonts w:hint="default"/>
                      <w:color w:val="auto"/>
                      <w:lang w:val="en-US" w:eastAsia="zh-CN"/>
                    </w:rPr>
                    <w:t>84</w:t>
                  </w:r>
                </w:p>
              </w:tc>
              <w:tc>
                <w:tcPr>
                  <w:tcW w:w="573" w:type="dxa"/>
                  <w:tcBorders>
                    <w:tl2br w:val="nil"/>
                    <w:tr2bl w:val="nil"/>
                  </w:tcBorders>
                  <w:shd w:val="clear" w:color="auto" w:fill="auto"/>
                  <w:noWrap/>
                  <w:vAlign w:val="center"/>
                </w:tcPr>
                <w:p w14:paraId="4B22AB01">
                  <w:pPr>
                    <w:pStyle w:val="37"/>
                    <w:bidi w:val="0"/>
                    <w:rPr>
                      <w:rFonts w:hint="default"/>
                      <w:color w:val="auto"/>
                    </w:rPr>
                  </w:pPr>
                  <w:r>
                    <w:rPr>
                      <w:rFonts w:hint="default"/>
                      <w:color w:val="auto"/>
                      <w:lang w:val="en-US" w:eastAsia="zh-CN"/>
                    </w:rPr>
                    <w:t>78</w:t>
                  </w:r>
                </w:p>
              </w:tc>
              <w:tc>
                <w:tcPr>
                  <w:tcW w:w="573" w:type="dxa"/>
                  <w:tcBorders>
                    <w:tl2br w:val="nil"/>
                    <w:tr2bl w:val="nil"/>
                  </w:tcBorders>
                  <w:shd w:val="clear" w:color="auto" w:fill="auto"/>
                  <w:noWrap/>
                  <w:vAlign w:val="center"/>
                </w:tcPr>
                <w:p w14:paraId="13124D00">
                  <w:pPr>
                    <w:pStyle w:val="37"/>
                    <w:bidi w:val="0"/>
                    <w:rPr>
                      <w:rFonts w:hint="default"/>
                      <w:color w:val="auto"/>
                    </w:rPr>
                  </w:pPr>
                  <w:r>
                    <w:rPr>
                      <w:rFonts w:hint="default"/>
                      <w:color w:val="auto"/>
                      <w:lang w:val="en-US" w:eastAsia="zh-CN"/>
                    </w:rPr>
                    <w:t>72</w:t>
                  </w:r>
                </w:p>
              </w:tc>
              <w:tc>
                <w:tcPr>
                  <w:tcW w:w="573" w:type="dxa"/>
                  <w:tcBorders>
                    <w:tl2br w:val="nil"/>
                    <w:tr2bl w:val="nil"/>
                  </w:tcBorders>
                  <w:shd w:val="clear" w:color="auto" w:fill="auto"/>
                  <w:noWrap/>
                  <w:vAlign w:val="center"/>
                </w:tcPr>
                <w:p w14:paraId="0FBC3D45">
                  <w:pPr>
                    <w:pStyle w:val="37"/>
                    <w:bidi w:val="0"/>
                    <w:rPr>
                      <w:rFonts w:hint="default"/>
                      <w:color w:val="auto"/>
                    </w:rPr>
                  </w:pPr>
                  <w:r>
                    <w:rPr>
                      <w:rFonts w:hint="default"/>
                      <w:color w:val="auto"/>
                      <w:lang w:val="en-US" w:eastAsia="zh-CN"/>
                    </w:rPr>
                    <w:t>68</w:t>
                  </w:r>
                </w:p>
              </w:tc>
              <w:tc>
                <w:tcPr>
                  <w:tcW w:w="573" w:type="dxa"/>
                  <w:tcBorders>
                    <w:tl2br w:val="nil"/>
                    <w:tr2bl w:val="nil"/>
                  </w:tcBorders>
                  <w:shd w:val="clear" w:color="auto" w:fill="auto"/>
                  <w:noWrap/>
                  <w:vAlign w:val="center"/>
                </w:tcPr>
                <w:p w14:paraId="749EB544">
                  <w:pPr>
                    <w:pStyle w:val="37"/>
                    <w:bidi w:val="0"/>
                    <w:rPr>
                      <w:rFonts w:hint="default"/>
                      <w:color w:val="auto"/>
                    </w:rPr>
                  </w:pPr>
                  <w:r>
                    <w:rPr>
                      <w:rFonts w:hint="default"/>
                      <w:color w:val="auto"/>
                      <w:lang w:val="en-US" w:eastAsia="zh-CN"/>
                    </w:rPr>
                    <w:t>66</w:t>
                  </w:r>
                </w:p>
              </w:tc>
              <w:tc>
                <w:tcPr>
                  <w:tcW w:w="675" w:type="dxa"/>
                  <w:tcBorders>
                    <w:tl2br w:val="nil"/>
                    <w:tr2bl w:val="nil"/>
                  </w:tcBorders>
                  <w:shd w:val="clear" w:color="auto" w:fill="auto"/>
                  <w:noWrap/>
                  <w:vAlign w:val="center"/>
                </w:tcPr>
                <w:p w14:paraId="0542D7C8">
                  <w:pPr>
                    <w:pStyle w:val="37"/>
                    <w:bidi w:val="0"/>
                    <w:rPr>
                      <w:rFonts w:hint="default"/>
                      <w:color w:val="auto"/>
                    </w:rPr>
                  </w:pPr>
                  <w:r>
                    <w:rPr>
                      <w:rFonts w:hint="default"/>
                      <w:color w:val="auto"/>
                      <w:lang w:val="en-US" w:eastAsia="zh-CN"/>
                    </w:rPr>
                    <w:t>64</w:t>
                  </w:r>
                </w:p>
              </w:tc>
              <w:tc>
                <w:tcPr>
                  <w:tcW w:w="675" w:type="dxa"/>
                  <w:tcBorders>
                    <w:tl2br w:val="nil"/>
                    <w:tr2bl w:val="nil"/>
                  </w:tcBorders>
                  <w:shd w:val="clear" w:color="auto" w:fill="auto"/>
                  <w:noWrap/>
                  <w:vAlign w:val="center"/>
                </w:tcPr>
                <w:p w14:paraId="1E0102AE">
                  <w:pPr>
                    <w:pStyle w:val="37"/>
                    <w:bidi w:val="0"/>
                    <w:rPr>
                      <w:rFonts w:hint="default"/>
                      <w:color w:val="auto"/>
                    </w:rPr>
                  </w:pPr>
                  <w:r>
                    <w:rPr>
                      <w:rFonts w:hint="default"/>
                      <w:color w:val="auto"/>
                      <w:lang w:val="en-US" w:eastAsia="zh-CN"/>
                    </w:rPr>
                    <w:t>58</w:t>
                  </w:r>
                </w:p>
              </w:tc>
              <w:tc>
                <w:tcPr>
                  <w:tcW w:w="675" w:type="dxa"/>
                  <w:tcBorders>
                    <w:tl2br w:val="nil"/>
                    <w:tr2bl w:val="nil"/>
                  </w:tcBorders>
                  <w:shd w:val="clear" w:color="auto" w:fill="auto"/>
                  <w:noWrap/>
                  <w:vAlign w:val="center"/>
                </w:tcPr>
                <w:p w14:paraId="20D58509">
                  <w:pPr>
                    <w:pStyle w:val="37"/>
                    <w:bidi w:val="0"/>
                    <w:rPr>
                      <w:rFonts w:hint="default"/>
                      <w:color w:val="auto"/>
                    </w:rPr>
                  </w:pPr>
                  <w:r>
                    <w:rPr>
                      <w:rFonts w:hint="default"/>
                      <w:color w:val="auto"/>
                      <w:lang w:val="en-US" w:eastAsia="zh-CN"/>
                    </w:rPr>
                    <w:t>54</w:t>
                  </w:r>
                </w:p>
              </w:tc>
              <w:tc>
                <w:tcPr>
                  <w:tcW w:w="677" w:type="dxa"/>
                  <w:tcBorders>
                    <w:tl2br w:val="nil"/>
                    <w:tr2bl w:val="nil"/>
                  </w:tcBorders>
                  <w:shd w:val="clear" w:color="auto" w:fill="auto"/>
                  <w:noWrap/>
                  <w:vAlign w:val="center"/>
                </w:tcPr>
                <w:p w14:paraId="4D0298DF">
                  <w:pPr>
                    <w:pStyle w:val="37"/>
                    <w:bidi w:val="0"/>
                    <w:rPr>
                      <w:rFonts w:hint="default"/>
                      <w:color w:val="auto"/>
                      <w:lang w:val="en-US" w:eastAsia="zh-CN"/>
                    </w:rPr>
                  </w:pPr>
                  <w:r>
                    <w:rPr>
                      <w:rFonts w:hint="default"/>
                      <w:color w:val="auto"/>
                      <w:lang w:val="en-US" w:eastAsia="zh-CN"/>
                    </w:rPr>
                    <w:t>50</w:t>
                  </w:r>
                </w:p>
              </w:tc>
            </w:tr>
            <w:tr w14:paraId="6FFC7B7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750" w:type="dxa"/>
                  <w:vMerge w:val="continue"/>
                  <w:tcBorders>
                    <w:tl2br w:val="nil"/>
                    <w:tr2bl w:val="nil"/>
                  </w:tcBorders>
                  <w:shd w:val="clear" w:color="auto" w:fill="auto"/>
                  <w:vAlign w:val="center"/>
                </w:tcPr>
                <w:p w14:paraId="204824D5">
                  <w:pPr>
                    <w:pStyle w:val="37"/>
                    <w:bidi w:val="0"/>
                    <w:rPr>
                      <w:rFonts w:hint="default"/>
                      <w:color w:val="auto"/>
                    </w:rPr>
                  </w:pPr>
                </w:p>
              </w:tc>
              <w:tc>
                <w:tcPr>
                  <w:tcW w:w="1102" w:type="dxa"/>
                  <w:tcBorders>
                    <w:tl2br w:val="nil"/>
                    <w:tr2bl w:val="nil"/>
                  </w:tcBorders>
                  <w:shd w:val="clear" w:color="auto" w:fill="auto"/>
                  <w:vAlign w:val="center"/>
                </w:tcPr>
                <w:p w14:paraId="306157C4">
                  <w:pPr>
                    <w:pStyle w:val="37"/>
                    <w:bidi w:val="0"/>
                    <w:rPr>
                      <w:rFonts w:hint="default"/>
                      <w:color w:val="auto"/>
                    </w:rPr>
                  </w:pPr>
                  <w:r>
                    <w:rPr>
                      <w:rFonts w:hint="eastAsia"/>
                      <w:color w:val="auto"/>
                      <w:lang w:val="en-US" w:eastAsia="zh-CN"/>
                    </w:rPr>
                    <w:t>切割机</w:t>
                  </w:r>
                </w:p>
              </w:tc>
              <w:tc>
                <w:tcPr>
                  <w:tcW w:w="879" w:type="dxa"/>
                  <w:tcBorders>
                    <w:tl2br w:val="nil"/>
                    <w:tr2bl w:val="nil"/>
                  </w:tcBorders>
                  <w:shd w:val="clear" w:color="auto" w:fill="auto"/>
                  <w:vAlign w:val="center"/>
                </w:tcPr>
                <w:p w14:paraId="1EA353F6">
                  <w:pPr>
                    <w:pStyle w:val="37"/>
                    <w:bidi w:val="0"/>
                    <w:rPr>
                      <w:rFonts w:hint="default"/>
                      <w:color w:val="auto"/>
                    </w:rPr>
                  </w:pPr>
                  <w:r>
                    <w:rPr>
                      <w:rFonts w:hint="default"/>
                      <w:color w:val="auto"/>
                      <w:lang w:val="en-US" w:eastAsia="zh-CN"/>
                    </w:rPr>
                    <w:t>85</w:t>
                  </w:r>
                </w:p>
              </w:tc>
              <w:tc>
                <w:tcPr>
                  <w:tcW w:w="573" w:type="dxa"/>
                  <w:tcBorders>
                    <w:tl2br w:val="nil"/>
                    <w:tr2bl w:val="nil"/>
                  </w:tcBorders>
                  <w:shd w:val="clear" w:color="auto" w:fill="auto"/>
                  <w:noWrap/>
                  <w:vAlign w:val="center"/>
                </w:tcPr>
                <w:p w14:paraId="0A11F390">
                  <w:pPr>
                    <w:pStyle w:val="37"/>
                    <w:bidi w:val="0"/>
                    <w:rPr>
                      <w:rFonts w:hint="default"/>
                      <w:color w:val="auto"/>
                    </w:rPr>
                  </w:pPr>
                  <w:r>
                    <w:rPr>
                      <w:rFonts w:hint="default"/>
                      <w:color w:val="auto"/>
                      <w:lang w:val="en-US" w:eastAsia="zh-CN"/>
                    </w:rPr>
                    <w:t>79</w:t>
                  </w:r>
                </w:p>
              </w:tc>
              <w:tc>
                <w:tcPr>
                  <w:tcW w:w="573" w:type="dxa"/>
                  <w:tcBorders>
                    <w:tl2br w:val="nil"/>
                    <w:tr2bl w:val="nil"/>
                  </w:tcBorders>
                  <w:shd w:val="clear" w:color="auto" w:fill="auto"/>
                  <w:noWrap/>
                  <w:vAlign w:val="center"/>
                </w:tcPr>
                <w:p w14:paraId="7087291A">
                  <w:pPr>
                    <w:pStyle w:val="37"/>
                    <w:bidi w:val="0"/>
                    <w:rPr>
                      <w:rFonts w:hint="default"/>
                      <w:color w:val="auto"/>
                    </w:rPr>
                  </w:pPr>
                  <w:r>
                    <w:rPr>
                      <w:rFonts w:hint="default"/>
                      <w:color w:val="auto"/>
                      <w:lang w:val="en-US" w:eastAsia="zh-CN"/>
                    </w:rPr>
                    <w:t>73</w:t>
                  </w:r>
                </w:p>
              </w:tc>
              <w:tc>
                <w:tcPr>
                  <w:tcW w:w="573" w:type="dxa"/>
                  <w:tcBorders>
                    <w:tl2br w:val="nil"/>
                    <w:tr2bl w:val="nil"/>
                  </w:tcBorders>
                  <w:shd w:val="clear" w:color="auto" w:fill="auto"/>
                  <w:noWrap/>
                  <w:vAlign w:val="center"/>
                </w:tcPr>
                <w:p w14:paraId="5177CB83">
                  <w:pPr>
                    <w:pStyle w:val="37"/>
                    <w:bidi w:val="0"/>
                    <w:rPr>
                      <w:rFonts w:hint="default"/>
                      <w:color w:val="auto"/>
                    </w:rPr>
                  </w:pPr>
                  <w:r>
                    <w:rPr>
                      <w:rFonts w:hint="default"/>
                      <w:color w:val="auto"/>
                      <w:lang w:val="en-US" w:eastAsia="zh-CN"/>
                    </w:rPr>
                    <w:t>69</w:t>
                  </w:r>
                </w:p>
              </w:tc>
              <w:tc>
                <w:tcPr>
                  <w:tcW w:w="573" w:type="dxa"/>
                  <w:tcBorders>
                    <w:tl2br w:val="nil"/>
                    <w:tr2bl w:val="nil"/>
                  </w:tcBorders>
                  <w:shd w:val="clear" w:color="auto" w:fill="auto"/>
                  <w:noWrap/>
                  <w:vAlign w:val="center"/>
                </w:tcPr>
                <w:p w14:paraId="1B917D9E">
                  <w:pPr>
                    <w:pStyle w:val="37"/>
                    <w:bidi w:val="0"/>
                    <w:rPr>
                      <w:rFonts w:hint="default"/>
                      <w:color w:val="auto"/>
                    </w:rPr>
                  </w:pPr>
                  <w:r>
                    <w:rPr>
                      <w:rFonts w:hint="default"/>
                      <w:color w:val="auto"/>
                      <w:lang w:val="en-US" w:eastAsia="zh-CN"/>
                    </w:rPr>
                    <w:t>63</w:t>
                  </w:r>
                </w:p>
              </w:tc>
              <w:tc>
                <w:tcPr>
                  <w:tcW w:w="573" w:type="dxa"/>
                  <w:tcBorders>
                    <w:tl2br w:val="nil"/>
                    <w:tr2bl w:val="nil"/>
                  </w:tcBorders>
                  <w:shd w:val="clear" w:color="auto" w:fill="auto"/>
                  <w:noWrap/>
                  <w:vAlign w:val="center"/>
                </w:tcPr>
                <w:p w14:paraId="085D4551">
                  <w:pPr>
                    <w:pStyle w:val="37"/>
                    <w:bidi w:val="0"/>
                    <w:rPr>
                      <w:rFonts w:hint="default"/>
                      <w:color w:val="auto"/>
                    </w:rPr>
                  </w:pPr>
                  <w:r>
                    <w:rPr>
                      <w:rFonts w:hint="default"/>
                      <w:color w:val="auto"/>
                      <w:lang w:val="en-US" w:eastAsia="zh-CN"/>
                    </w:rPr>
                    <w:t>61</w:t>
                  </w:r>
                </w:p>
              </w:tc>
              <w:tc>
                <w:tcPr>
                  <w:tcW w:w="675" w:type="dxa"/>
                  <w:tcBorders>
                    <w:tl2br w:val="nil"/>
                    <w:tr2bl w:val="nil"/>
                  </w:tcBorders>
                  <w:shd w:val="clear" w:color="auto" w:fill="auto"/>
                  <w:noWrap/>
                  <w:vAlign w:val="center"/>
                </w:tcPr>
                <w:p w14:paraId="21AF960F">
                  <w:pPr>
                    <w:pStyle w:val="37"/>
                    <w:bidi w:val="0"/>
                    <w:rPr>
                      <w:rFonts w:hint="default"/>
                      <w:color w:val="auto"/>
                    </w:rPr>
                  </w:pPr>
                  <w:r>
                    <w:rPr>
                      <w:rFonts w:hint="default"/>
                      <w:color w:val="auto"/>
                      <w:lang w:val="en-US" w:eastAsia="zh-CN"/>
                    </w:rPr>
                    <w:t>59</w:t>
                  </w:r>
                </w:p>
              </w:tc>
              <w:tc>
                <w:tcPr>
                  <w:tcW w:w="675" w:type="dxa"/>
                  <w:tcBorders>
                    <w:tl2br w:val="nil"/>
                    <w:tr2bl w:val="nil"/>
                  </w:tcBorders>
                  <w:shd w:val="clear" w:color="auto" w:fill="auto"/>
                  <w:noWrap/>
                  <w:vAlign w:val="center"/>
                </w:tcPr>
                <w:p w14:paraId="729BF2FB">
                  <w:pPr>
                    <w:pStyle w:val="37"/>
                    <w:bidi w:val="0"/>
                    <w:rPr>
                      <w:rFonts w:hint="default"/>
                      <w:color w:val="auto"/>
                    </w:rPr>
                  </w:pPr>
                  <w:r>
                    <w:rPr>
                      <w:rFonts w:hint="default"/>
                      <w:color w:val="auto"/>
                      <w:lang w:val="en-US" w:eastAsia="zh-CN"/>
                    </w:rPr>
                    <w:t>53</w:t>
                  </w:r>
                </w:p>
              </w:tc>
              <w:tc>
                <w:tcPr>
                  <w:tcW w:w="675" w:type="dxa"/>
                  <w:tcBorders>
                    <w:tl2br w:val="nil"/>
                    <w:tr2bl w:val="nil"/>
                  </w:tcBorders>
                  <w:shd w:val="clear" w:color="auto" w:fill="auto"/>
                  <w:noWrap/>
                  <w:vAlign w:val="center"/>
                </w:tcPr>
                <w:p w14:paraId="06144DD8">
                  <w:pPr>
                    <w:pStyle w:val="37"/>
                    <w:bidi w:val="0"/>
                    <w:rPr>
                      <w:rFonts w:hint="default"/>
                      <w:color w:val="auto"/>
                    </w:rPr>
                  </w:pPr>
                  <w:r>
                    <w:rPr>
                      <w:rFonts w:hint="default"/>
                      <w:color w:val="auto"/>
                      <w:lang w:val="en-US" w:eastAsia="zh-CN"/>
                    </w:rPr>
                    <w:t>49</w:t>
                  </w:r>
                </w:p>
              </w:tc>
              <w:tc>
                <w:tcPr>
                  <w:tcW w:w="677" w:type="dxa"/>
                  <w:tcBorders>
                    <w:tl2br w:val="nil"/>
                    <w:tr2bl w:val="nil"/>
                  </w:tcBorders>
                  <w:shd w:val="clear" w:color="auto" w:fill="auto"/>
                  <w:noWrap/>
                  <w:vAlign w:val="center"/>
                </w:tcPr>
                <w:p w14:paraId="6082D78E">
                  <w:pPr>
                    <w:pStyle w:val="37"/>
                    <w:bidi w:val="0"/>
                    <w:rPr>
                      <w:rFonts w:hint="default"/>
                      <w:color w:val="auto"/>
                      <w:lang w:val="en-US" w:eastAsia="zh-CN"/>
                    </w:rPr>
                  </w:pPr>
                  <w:r>
                    <w:rPr>
                      <w:rFonts w:hint="default"/>
                      <w:color w:val="auto"/>
                      <w:lang w:val="en-US" w:eastAsia="zh-CN"/>
                    </w:rPr>
                    <w:t>45</w:t>
                  </w:r>
                </w:p>
              </w:tc>
            </w:tr>
            <w:tr w14:paraId="44E343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750" w:type="dxa"/>
                  <w:vMerge w:val="continue"/>
                  <w:tcBorders>
                    <w:tl2br w:val="nil"/>
                    <w:tr2bl w:val="nil"/>
                  </w:tcBorders>
                  <w:shd w:val="clear" w:color="auto" w:fill="auto"/>
                  <w:vAlign w:val="center"/>
                </w:tcPr>
                <w:p w14:paraId="1CD89101">
                  <w:pPr>
                    <w:pStyle w:val="37"/>
                    <w:bidi w:val="0"/>
                    <w:rPr>
                      <w:rFonts w:hint="default"/>
                      <w:color w:val="auto"/>
                    </w:rPr>
                  </w:pPr>
                </w:p>
              </w:tc>
              <w:tc>
                <w:tcPr>
                  <w:tcW w:w="1102" w:type="dxa"/>
                  <w:tcBorders>
                    <w:tl2br w:val="nil"/>
                    <w:tr2bl w:val="nil"/>
                  </w:tcBorders>
                  <w:shd w:val="clear" w:color="auto" w:fill="auto"/>
                  <w:noWrap/>
                  <w:vAlign w:val="center"/>
                </w:tcPr>
                <w:p w14:paraId="0BAD5AFA">
                  <w:pPr>
                    <w:pStyle w:val="37"/>
                    <w:bidi w:val="0"/>
                    <w:rPr>
                      <w:rFonts w:hint="eastAsia"/>
                      <w:b/>
                      <w:bCs/>
                      <w:color w:val="auto"/>
                    </w:rPr>
                  </w:pPr>
                  <w:r>
                    <w:rPr>
                      <w:rFonts w:hint="eastAsia"/>
                      <w:b/>
                      <w:bCs/>
                      <w:color w:val="auto"/>
                      <w:lang w:val="en-US" w:eastAsia="zh-CN"/>
                    </w:rPr>
                    <w:t>多声源叠加值</w:t>
                  </w:r>
                </w:p>
              </w:tc>
              <w:tc>
                <w:tcPr>
                  <w:tcW w:w="879" w:type="dxa"/>
                  <w:tcBorders>
                    <w:tl2br w:val="nil"/>
                    <w:tr2bl w:val="nil"/>
                  </w:tcBorders>
                  <w:shd w:val="clear" w:color="auto" w:fill="auto"/>
                  <w:noWrap/>
                  <w:vAlign w:val="center"/>
                </w:tcPr>
                <w:p w14:paraId="00D42C4D">
                  <w:pPr>
                    <w:pStyle w:val="37"/>
                    <w:bidi w:val="0"/>
                    <w:rPr>
                      <w:rFonts w:hint="default"/>
                      <w:color w:val="auto"/>
                    </w:rPr>
                  </w:pPr>
                  <w:r>
                    <w:rPr>
                      <w:rFonts w:hint="default"/>
                      <w:color w:val="auto"/>
                      <w:lang w:val="en-US" w:eastAsia="zh-CN"/>
                    </w:rPr>
                    <w:t>91</w:t>
                  </w:r>
                </w:p>
              </w:tc>
              <w:tc>
                <w:tcPr>
                  <w:tcW w:w="573" w:type="dxa"/>
                  <w:tcBorders>
                    <w:tl2br w:val="nil"/>
                    <w:tr2bl w:val="nil"/>
                  </w:tcBorders>
                  <w:shd w:val="clear" w:color="auto" w:fill="auto"/>
                  <w:noWrap/>
                  <w:vAlign w:val="center"/>
                </w:tcPr>
                <w:p w14:paraId="1D6FEA4C">
                  <w:pPr>
                    <w:pStyle w:val="37"/>
                    <w:bidi w:val="0"/>
                    <w:rPr>
                      <w:rFonts w:hint="default"/>
                      <w:color w:val="auto"/>
                    </w:rPr>
                  </w:pPr>
                  <w:r>
                    <w:rPr>
                      <w:rFonts w:hint="default"/>
                      <w:color w:val="auto"/>
                      <w:lang w:val="en-US" w:eastAsia="zh-CN"/>
                    </w:rPr>
                    <w:t>85</w:t>
                  </w:r>
                </w:p>
              </w:tc>
              <w:tc>
                <w:tcPr>
                  <w:tcW w:w="573" w:type="dxa"/>
                  <w:tcBorders>
                    <w:tl2br w:val="nil"/>
                    <w:tr2bl w:val="nil"/>
                  </w:tcBorders>
                  <w:shd w:val="clear" w:color="auto" w:fill="auto"/>
                  <w:noWrap/>
                  <w:vAlign w:val="center"/>
                </w:tcPr>
                <w:p w14:paraId="18F1CC93">
                  <w:pPr>
                    <w:pStyle w:val="37"/>
                    <w:bidi w:val="0"/>
                    <w:rPr>
                      <w:rFonts w:hint="default"/>
                      <w:color w:val="auto"/>
                    </w:rPr>
                  </w:pPr>
                  <w:r>
                    <w:rPr>
                      <w:rFonts w:hint="default"/>
                      <w:color w:val="auto"/>
                      <w:lang w:val="en-US" w:eastAsia="zh-CN"/>
                    </w:rPr>
                    <w:t>79</w:t>
                  </w:r>
                </w:p>
              </w:tc>
              <w:tc>
                <w:tcPr>
                  <w:tcW w:w="573" w:type="dxa"/>
                  <w:tcBorders>
                    <w:tl2br w:val="nil"/>
                    <w:tr2bl w:val="nil"/>
                  </w:tcBorders>
                  <w:shd w:val="clear" w:color="auto" w:fill="auto"/>
                  <w:noWrap/>
                  <w:vAlign w:val="center"/>
                </w:tcPr>
                <w:p w14:paraId="6F70566E">
                  <w:pPr>
                    <w:pStyle w:val="37"/>
                    <w:bidi w:val="0"/>
                    <w:rPr>
                      <w:rFonts w:hint="default"/>
                      <w:color w:val="auto"/>
                    </w:rPr>
                  </w:pPr>
                  <w:r>
                    <w:rPr>
                      <w:rFonts w:hint="default"/>
                      <w:color w:val="auto"/>
                      <w:lang w:val="en-US" w:eastAsia="zh-CN"/>
                    </w:rPr>
                    <w:t>76</w:t>
                  </w:r>
                </w:p>
              </w:tc>
              <w:tc>
                <w:tcPr>
                  <w:tcW w:w="573" w:type="dxa"/>
                  <w:tcBorders>
                    <w:tl2br w:val="nil"/>
                    <w:tr2bl w:val="nil"/>
                  </w:tcBorders>
                  <w:shd w:val="clear" w:color="auto" w:fill="auto"/>
                  <w:noWrap/>
                  <w:vAlign w:val="center"/>
                </w:tcPr>
                <w:p w14:paraId="0892C83F">
                  <w:pPr>
                    <w:pStyle w:val="37"/>
                    <w:bidi w:val="0"/>
                    <w:rPr>
                      <w:rFonts w:hint="default"/>
                      <w:color w:val="auto"/>
                    </w:rPr>
                  </w:pPr>
                  <w:r>
                    <w:rPr>
                      <w:rFonts w:hint="default"/>
                      <w:color w:val="auto"/>
                      <w:lang w:val="en-US" w:eastAsia="zh-CN"/>
                    </w:rPr>
                    <w:t>70</w:t>
                  </w:r>
                </w:p>
              </w:tc>
              <w:tc>
                <w:tcPr>
                  <w:tcW w:w="573" w:type="dxa"/>
                  <w:tcBorders>
                    <w:tl2br w:val="nil"/>
                    <w:tr2bl w:val="nil"/>
                  </w:tcBorders>
                  <w:shd w:val="clear" w:color="auto" w:fill="auto"/>
                  <w:noWrap/>
                  <w:vAlign w:val="center"/>
                </w:tcPr>
                <w:p w14:paraId="6FDA7261">
                  <w:pPr>
                    <w:pStyle w:val="37"/>
                    <w:bidi w:val="0"/>
                    <w:rPr>
                      <w:rFonts w:hint="default"/>
                      <w:color w:val="auto"/>
                    </w:rPr>
                  </w:pPr>
                  <w:r>
                    <w:rPr>
                      <w:rFonts w:hint="default"/>
                      <w:color w:val="auto"/>
                      <w:lang w:val="en-US" w:eastAsia="zh-CN"/>
                    </w:rPr>
                    <w:t>67</w:t>
                  </w:r>
                </w:p>
              </w:tc>
              <w:tc>
                <w:tcPr>
                  <w:tcW w:w="675" w:type="dxa"/>
                  <w:tcBorders>
                    <w:tl2br w:val="nil"/>
                    <w:tr2bl w:val="nil"/>
                  </w:tcBorders>
                  <w:shd w:val="clear" w:color="auto" w:fill="auto"/>
                  <w:noWrap/>
                  <w:vAlign w:val="center"/>
                </w:tcPr>
                <w:p w14:paraId="01E0D6EE">
                  <w:pPr>
                    <w:pStyle w:val="37"/>
                    <w:bidi w:val="0"/>
                    <w:rPr>
                      <w:rFonts w:hint="default"/>
                      <w:color w:val="auto"/>
                    </w:rPr>
                  </w:pPr>
                  <w:r>
                    <w:rPr>
                      <w:rFonts w:hint="default"/>
                      <w:color w:val="auto"/>
                      <w:lang w:val="en-US" w:eastAsia="zh-CN"/>
                    </w:rPr>
                    <w:t>65</w:t>
                  </w:r>
                </w:p>
              </w:tc>
              <w:tc>
                <w:tcPr>
                  <w:tcW w:w="675" w:type="dxa"/>
                  <w:tcBorders>
                    <w:tl2br w:val="nil"/>
                    <w:tr2bl w:val="nil"/>
                  </w:tcBorders>
                  <w:shd w:val="clear" w:color="auto" w:fill="auto"/>
                  <w:noWrap/>
                  <w:vAlign w:val="center"/>
                </w:tcPr>
                <w:p w14:paraId="70240663">
                  <w:pPr>
                    <w:pStyle w:val="37"/>
                    <w:bidi w:val="0"/>
                    <w:rPr>
                      <w:rFonts w:hint="default"/>
                      <w:color w:val="auto"/>
                    </w:rPr>
                  </w:pPr>
                  <w:r>
                    <w:rPr>
                      <w:rFonts w:hint="default"/>
                      <w:color w:val="auto"/>
                      <w:lang w:val="en-US" w:eastAsia="zh-CN"/>
                    </w:rPr>
                    <w:t>59</w:t>
                  </w:r>
                </w:p>
              </w:tc>
              <w:tc>
                <w:tcPr>
                  <w:tcW w:w="675" w:type="dxa"/>
                  <w:tcBorders>
                    <w:tl2br w:val="nil"/>
                    <w:tr2bl w:val="nil"/>
                  </w:tcBorders>
                  <w:shd w:val="clear" w:color="auto" w:fill="auto"/>
                  <w:noWrap/>
                  <w:vAlign w:val="center"/>
                </w:tcPr>
                <w:p w14:paraId="61CA3D4E">
                  <w:pPr>
                    <w:pStyle w:val="37"/>
                    <w:bidi w:val="0"/>
                    <w:rPr>
                      <w:rFonts w:hint="default"/>
                      <w:color w:val="auto"/>
                    </w:rPr>
                  </w:pPr>
                  <w:r>
                    <w:rPr>
                      <w:rFonts w:hint="default"/>
                      <w:color w:val="auto"/>
                      <w:lang w:val="en-US" w:eastAsia="zh-CN"/>
                    </w:rPr>
                    <w:t>56</w:t>
                  </w:r>
                </w:p>
              </w:tc>
              <w:tc>
                <w:tcPr>
                  <w:tcW w:w="677" w:type="dxa"/>
                  <w:tcBorders>
                    <w:tl2br w:val="nil"/>
                    <w:tr2bl w:val="nil"/>
                  </w:tcBorders>
                  <w:shd w:val="clear" w:color="auto" w:fill="auto"/>
                  <w:noWrap/>
                  <w:vAlign w:val="center"/>
                </w:tcPr>
                <w:p w14:paraId="10D3EBB9">
                  <w:pPr>
                    <w:pStyle w:val="37"/>
                    <w:bidi w:val="0"/>
                    <w:rPr>
                      <w:rFonts w:hint="default"/>
                      <w:color w:val="auto"/>
                      <w:lang w:val="en-US" w:eastAsia="zh-CN"/>
                    </w:rPr>
                  </w:pPr>
                  <w:r>
                    <w:rPr>
                      <w:rFonts w:hint="default"/>
                      <w:color w:val="auto"/>
                      <w:lang w:val="en-US" w:eastAsia="zh-CN"/>
                    </w:rPr>
                    <w:t>51</w:t>
                  </w:r>
                </w:p>
              </w:tc>
            </w:tr>
            <w:tr w14:paraId="34F248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750" w:type="dxa"/>
                  <w:vMerge w:val="restart"/>
                  <w:tcBorders>
                    <w:tl2br w:val="nil"/>
                    <w:tr2bl w:val="nil"/>
                  </w:tcBorders>
                  <w:shd w:val="clear" w:color="auto" w:fill="auto"/>
                  <w:vAlign w:val="center"/>
                </w:tcPr>
                <w:p w14:paraId="267891A0">
                  <w:pPr>
                    <w:pStyle w:val="37"/>
                    <w:bidi w:val="0"/>
                    <w:rPr>
                      <w:rFonts w:hint="default"/>
                      <w:color w:val="auto"/>
                    </w:rPr>
                  </w:pPr>
                  <w:r>
                    <w:rPr>
                      <w:rFonts w:hint="eastAsia"/>
                      <w:color w:val="auto"/>
                      <w:lang w:val="en-US" w:eastAsia="zh-CN"/>
                    </w:rPr>
                    <w:t>交通运输车辆噪声</w:t>
                  </w:r>
                </w:p>
              </w:tc>
              <w:tc>
                <w:tcPr>
                  <w:tcW w:w="1102" w:type="dxa"/>
                  <w:tcBorders>
                    <w:tl2br w:val="nil"/>
                    <w:tr2bl w:val="nil"/>
                  </w:tcBorders>
                  <w:shd w:val="clear" w:color="auto" w:fill="auto"/>
                  <w:vAlign w:val="center"/>
                </w:tcPr>
                <w:p w14:paraId="160419FE">
                  <w:pPr>
                    <w:pStyle w:val="37"/>
                    <w:bidi w:val="0"/>
                    <w:rPr>
                      <w:rFonts w:hint="default"/>
                      <w:color w:val="auto"/>
                    </w:rPr>
                  </w:pPr>
                  <w:r>
                    <w:rPr>
                      <w:rFonts w:hint="eastAsia"/>
                      <w:color w:val="auto"/>
                      <w:lang w:val="en-US" w:eastAsia="zh-CN"/>
                    </w:rPr>
                    <w:t>自卸式运输车</w:t>
                  </w:r>
                </w:p>
              </w:tc>
              <w:tc>
                <w:tcPr>
                  <w:tcW w:w="879" w:type="dxa"/>
                  <w:tcBorders>
                    <w:tl2br w:val="nil"/>
                    <w:tr2bl w:val="nil"/>
                  </w:tcBorders>
                  <w:shd w:val="clear" w:color="auto" w:fill="auto"/>
                  <w:vAlign w:val="center"/>
                </w:tcPr>
                <w:p w14:paraId="4B7F66F5">
                  <w:pPr>
                    <w:pStyle w:val="37"/>
                    <w:bidi w:val="0"/>
                    <w:rPr>
                      <w:rFonts w:hint="default"/>
                      <w:color w:val="auto"/>
                    </w:rPr>
                  </w:pPr>
                  <w:r>
                    <w:rPr>
                      <w:rFonts w:hint="default"/>
                      <w:color w:val="auto"/>
                      <w:lang w:val="en-US" w:eastAsia="zh-CN"/>
                    </w:rPr>
                    <w:t>80</w:t>
                  </w:r>
                </w:p>
              </w:tc>
              <w:tc>
                <w:tcPr>
                  <w:tcW w:w="573" w:type="dxa"/>
                  <w:tcBorders>
                    <w:tl2br w:val="nil"/>
                    <w:tr2bl w:val="nil"/>
                  </w:tcBorders>
                  <w:shd w:val="clear" w:color="auto" w:fill="auto"/>
                  <w:noWrap/>
                  <w:vAlign w:val="center"/>
                </w:tcPr>
                <w:p w14:paraId="7B08FADB">
                  <w:pPr>
                    <w:pStyle w:val="37"/>
                    <w:bidi w:val="0"/>
                    <w:rPr>
                      <w:rFonts w:hint="default"/>
                      <w:color w:val="auto"/>
                    </w:rPr>
                  </w:pPr>
                  <w:r>
                    <w:rPr>
                      <w:rFonts w:hint="default"/>
                      <w:color w:val="auto"/>
                      <w:lang w:val="en-US" w:eastAsia="zh-CN"/>
                    </w:rPr>
                    <w:t>74</w:t>
                  </w:r>
                </w:p>
              </w:tc>
              <w:tc>
                <w:tcPr>
                  <w:tcW w:w="573" w:type="dxa"/>
                  <w:tcBorders>
                    <w:tl2br w:val="nil"/>
                    <w:tr2bl w:val="nil"/>
                  </w:tcBorders>
                  <w:shd w:val="clear" w:color="auto" w:fill="auto"/>
                  <w:noWrap/>
                  <w:vAlign w:val="center"/>
                </w:tcPr>
                <w:p w14:paraId="39AF4F08">
                  <w:pPr>
                    <w:pStyle w:val="37"/>
                    <w:bidi w:val="0"/>
                    <w:rPr>
                      <w:rFonts w:hint="default"/>
                      <w:color w:val="auto"/>
                    </w:rPr>
                  </w:pPr>
                  <w:r>
                    <w:rPr>
                      <w:rFonts w:hint="default"/>
                      <w:color w:val="auto"/>
                      <w:lang w:val="en-US" w:eastAsia="zh-CN"/>
                    </w:rPr>
                    <w:t>68</w:t>
                  </w:r>
                </w:p>
              </w:tc>
              <w:tc>
                <w:tcPr>
                  <w:tcW w:w="573" w:type="dxa"/>
                  <w:tcBorders>
                    <w:tl2br w:val="nil"/>
                    <w:tr2bl w:val="nil"/>
                  </w:tcBorders>
                  <w:shd w:val="clear" w:color="auto" w:fill="auto"/>
                  <w:noWrap/>
                  <w:vAlign w:val="center"/>
                </w:tcPr>
                <w:p w14:paraId="44DBF4F5">
                  <w:pPr>
                    <w:pStyle w:val="37"/>
                    <w:bidi w:val="0"/>
                    <w:rPr>
                      <w:rFonts w:hint="default"/>
                      <w:color w:val="auto"/>
                    </w:rPr>
                  </w:pPr>
                  <w:r>
                    <w:rPr>
                      <w:rFonts w:hint="default"/>
                      <w:color w:val="auto"/>
                      <w:lang w:val="en-US" w:eastAsia="zh-CN"/>
                    </w:rPr>
                    <w:t>62</w:t>
                  </w:r>
                </w:p>
              </w:tc>
              <w:tc>
                <w:tcPr>
                  <w:tcW w:w="573" w:type="dxa"/>
                  <w:tcBorders>
                    <w:tl2br w:val="nil"/>
                    <w:tr2bl w:val="nil"/>
                  </w:tcBorders>
                  <w:shd w:val="clear" w:color="auto" w:fill="auto"/>
                  <w:noWrap/>
                  <w:vAlign w:val="center"/>
                </w:tcPr>
                <w:p w14:paraId="504FDD49">
                  <w:pPr>
                    <w:pStyle w:val="37"/>
                    <w:bidi w:val="0"/>
                    <w:rPr>
                      <w:rFonts w:hint="default"/>
                      <w:color w:val="auto"/>
                    </w:rPr>
                  </w:pPr>
                  <w:r>
                    <w:rPr>
                      <w:rFonts w:hint="default"/>
                      <w:color w:val="auto"/>
                      <w:lang w:val="en-US" w:eastAsia="zh-CN"/>
                    </w:rPr>
                    <w:t>58</w:t>
                  </w:r>
                </w:p>
              </w:tc>
              <w:tc>
                <w:tcPr>
                  <w:tcW w:w="573" w:type="dxa"/>
                  <w:tcBorders>
                    <w:tl2br w:val="nil"/>
                    <w:tr2bl w:val="nil"/>
                  </w:tcBorders>
                  <w:shd w:val="clear" w:color="auto" w:fill="auto"/>
                  <w:noWrap/>
                  <w:vAlign w:val="center"/>
                </w:tcPr>
                <w:p w14:paraId="1658AA22">
                  <w:pPr>
                    <w:pStyle w:val="37"/>
                    <w:bidi w:val="0"/>
                    <w:rPr>
                      <w:rFonts w:hint="default"/>
                      <w:color w:val="auto"/>
                    </w:rPr>
                  </w:pPr>
                  <w:r>
                    <w:rPr>
                      <w:rFonts w:hint="default"/>
                      <w:color w:val="auto"/>
                      <w:lang w:val="en-US" w:eastAsia="zh-CN"/>
                    </w:rPr>
                    <w:t>56</w:t>
                  </w:r>
                </w:p>
              </w:tc>
              <w:tc>
                <w:tcPr>
                  <w:tcW w:w="675" w:type="dxa"/>
                  <w:tcBorders>
                    <w:tl2br w:val="nil"/>
                    <w:tr2bl w:val="nil"/>
                  </w:tcBorders>
                  <w:shd w:val="clear" w:color="auto" w:fill="auto"/>
                  <w:noWrap/>
                  <w:vAlign w:val="center"/>
                </w:tcPr>
                <w:p w14:paraId="0E6E7AA4">
                  <w:pPr>
                    <w:pStyle w:val="37"/>
                    <w:bidi w:val="0"/>
                    <w:rPr>
                      <w:rFonts w:hint="default"/>
                      <w:color w:val="auto"/>
                    </w:rPr>
                  </w:pPr>
                  <w:r>
                    <w:rPr>
                      <w:rFonts w:hint="default"/>
                      <w:color w:val="auto"/>
                      <w:lang w:val="en-US" w:eastAsia="zh-CN"/>
                    </w:rPr>
                    <w:t>54</w:t>
                  </w:r>
                </w:p>
              </w:tc>
              <w:tc>
                <w:tcPr>
                  <w:tcW w:w="675" w:type="dxa"/>
                  <w:tcBorders>
                    <w:tl2br w:val="nil"/>
                    <w:tr2bl w:val="nil"/>
                  </w:tcBorders>
                  <w:shd w:val="clear" w:color="auto" w:fill="auto"/>
                  <w:noWrap/>
                  <w:vAlign w:val="center"/>
                </w:tcPr>
                <w:p w14:paraId="51817557">
                  <w:pPr>
                    <w:pStyle w:val="37"/>
                    <w:bidi w:val="0"/>
                    <w:rPr>
                      <w:rFonts w:hint="default"/>
                      <w:color w:val="auto"/>
                    </w:rPr>
                  </w:pPr>
                  <w:r>
                    <w:rPr>
                      <w:rFonts w:hint="default"/>
                      <w:color w:val="auto"/>
                      <w:lang w:val="en-US" w:eastAsia="zh-CN"/>
                    </w:rPr>
                    <w:t>48</w:t>
                  </w:r>
                </w:p>
              </w:tc>
              <w:tc>
                <w:tcPr>
                  <w:tcW w:w="675" w:type="dxa"/>
                  <w:tcBorders>
                    <w:tl2br w:val="nil"/>
                    <w:tr2bl w:val="nil"/>
                  </w:tcBorders>
                  <w:shd w:val="clear" w:color="auto" w:fill="auto"/>
                  <w:noWrap/>
                  <w:vAlign w:val="center"/>
                </w:tcPr>
                <w:p w14:paraId="5C54F6FB">
                  <w:pPr>
                    <w:pStyle w:val="37"/>
                    <w:bidi w:val="0"/>
                    <w:rPr>
                      <w:rFonts w:hint="default"/>
                      <w:color w:val="auto"/>
                    </w:rPr>
                  </w:pPr>
                  <w:r>
                    <w:rPr>
                      <w:rFonts w:hint="default"/>
                      <w:color w:val="auto"/>
                      <w:lang w:val="en-US" w:eastAsia="zh-CN"/>
                    </w:rPr>
                    <w:t>44</w:t>
                  </w:r>
                </w:p>
              </w:tc>
              <w:tc>
                <w:tcPr>
                  <w:tcW w:w="677" w:type="dxa"/>
                  <w:tcBorders>
                    <w:tl2br w:val="nil"/>
                    <w:tr2bl w:val="nil"/>
                  </w:tcBorders>
                  <w:shd w:val="clear" w:color="auto" w:fill="auto"/>
                  <w:noWrap/>
                  <w:vAlign w:val="center"/>
                </w:tcPr>
                <w:p w14:paraId="2D309FF7">
                  <w:pPr>
                    <w:pStyle w:val="37"/>
                    <w:bidi w:val="0"/>
                    <w:rPr>
                      <w:rFonts w:hint="default"/>
                      <w:color w:val="auto"/>
                      <w:lang w:val="en-US" w:eastAsia="zh-CN"/>
                    </w:rPr>
                  </w:pPr>
                  <w:r>
                    <w:rPr>
                      <w:rFonts w:hint="default"/>
                      <w:color w:val="auto"/>
                      <w:lang w:val="en-US" w:eastAsia="zh-CN"/>
                    </w:rPr>
                    <w:t>40</w:t>
                  </w:r>
                </w:p>
              </w:tc>
            </w:tr>
            <w:tr w14:paraId="566ECA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750" w:type="dxa"/>
                  <w:vMerge w:val="continue"/>
                  <w:tcBorders>
                    <w:tl2br w:val="nil"/>
                    <w:tr2bl w:val="nil"/>
                  </w:tcBorders>
                  <w:shd w:val="clear" w:color="auto" w:fill="auto"/>
                  <w:vAlign w:val="center"/>
                </w:tcPr>
                <w:p w14:paraId="175E4CDD">
                  <w:pPr>
                    <w:pStyle w:val="37"/>
                    <w:bidi w:val="0"/>
                    <w:rPr>
                      <w:rFonts w:hint="default"/>
                      <w:color w:val="auto"/>
                    </w:rPr>
                  </w:pPr>
                </w:p>
              </w:tc>
              <w:tc>
                <w:tcPr>
                  <w:tcW w:w="1102" w:type="dxa"/>
                  <w:tcBorders>
                    <w:tl2br w:val="nil"/>
                    <w:tr2bl w:val="nil"/>
                  </w:tcBorders>
                  <w:shd w:val="clear" w:color="auto" w:fill="auto"/>
                  <w:vAlign w:val="center"/>
                </w:tcPr>
                <w:p w14:paraId="1CEF9CF2">
                  <w:pPr>
                    <w:pStyle w:val="37"/>
                    <w:bidi w:val="0"/>
                    <w:rPr>
                      <w:rFonts w:hint="default"/>
                      <w:color w:val="auto"/>
                    </w:rPr>
                  </w:pPr>
                  <w:r>
                    <w:rPr>
                      <w:rFonts w:hint="eastAsia"/>
                      <w:color w:val="auto"/>
                      <w:lang w:val="en-US" w:eastAsia="zh-CN"/>
                    </w:rPr>
                    <w:t>压路机</w:t>
                  </w:r>
                </w:p>
              </w:tc>
              <w:tc>
                <w:tcPr>
                  <w:tcW w:w="879" w:type="dxa"/>
                  <w:tcBorders>
                    <w:tl2br w:val="nil"/>
                    <w:tr2bl w:val="nil"/>
                  </w:tcBorders>
                  <w:shd w:val="clear" w:color="auto" w:fill="auto"/>
                  <w:vAlign w:val="center"/>
                </w:tcPr>
                <w:p w14:paraId="6F475E2A">
                  <w:pPr>
                    <w:pStyle w:val="37"/>
                    <w:bidi w:val="0"/>
                    <w:rPr>
                      <w:rFonts w:hint="default"/>
                      <w:color w:val="auto"/>
                    </w:rPr>
                  </w:pPr>
                  <w:r>
                    <w:rPr>
                      <w:rFonts w:hint="default"/>
                      <w:color w:val="auto"/>
                      <w:lang w:val="en-US" w:eastAsia="zh-CN"/>
                    </w:rPr>
                    <w:t>80</w:t>
                  </w:r>
                </w:p>
              </w:tc>
              <w:tc>
                <w:tcPr>
                  <w:tcW w:w="573" w:type="dxa"/>
                  <w:tcBorders>
                    <w:tl2br w:val="nil"/>
                    <w:tr2bl w:val="nil"/>
                  </w:tcBorders>
                  <w:shd w:val="clear" w:color="auto" w:fill="auto"/>
                  <w:noWrap/>
                  <w:vAlign w:val="center"/>
                </w:tcPr>
                <w:p w14:paraId="365CD6CC">
                  <w:pPr>
                    <w:pStyle w:val="37"/>
                    <w:bidi w:val="0"/>
                    <w:rPr>
                      <w:rFonts w:hint="default"/>
                      <w:color w:val="auto"/>
                    </w:rPr>
                  </w:pPr>
                  <w:r>
                    <w:rPr>
                      <w:rFonts w:hint="default"/>
                      <w:color w:val="auto"/>
                      <w:lang w:val="en-US" w:eastAsia="zh-CN"/>
                    </w:rPr>
                    <w:t>74</w:t>
                  </w:r>
                </w:p>
              </w:tc>
              <w:tc>
                <w:tcPr>
                  <w:tcW w:w="573" w:type="dxa"/>
                  <w:tcBorders>
                    <w:tl2br w:val="nil"/>
                    <w:tr2bl w:val="nil"/>
                  </w:tcBorders>
                  <w:shd w:val="clear" w:color="auto" w:fill="auto"/>
                  <w:noWrap/>
                  <w:vAlign w:val="center"/>
                </w:tcPr>
                <w:p w14:paraId="29850BB1">
                  <w:pPr>
                    <w:pStyle w:val="37"/>
                    <w:bidi w:val="0"/>
                    <w:rPr>
                      <w:rFonts w:hint="default"/>
                      <w:color w:val="auto"/>
                    </w:rPr>
                  </w:pPr>
                  <w:r>
                    <w:rPr>
                      <w:rFonts w:hint="default"/>
                      <w:color w:val="auto"/>
                      <w:lang w:val="en-US" w:eastAsia="zh-CN"/>
                    </w:rPr>
                    <w:t>68</w:t>
                  </w:r>
                </w:p>
              </w:tc>
              <w:tc>
                <w:tcPr>
                  <w:tcW w:w="573" w:type="dxa"/>
                  <w:tcBorders>
                    <w:tl2br w:val="nil"/>
                    <w:tr2bl w:val="nil"/>
                  </w:tcBorders>
                  <w:shd w:val="clear" w:color="auto" w:fill="auto"/>
                  <w:noWrap/>
                  <w:vAlign w:val="center"/>
                </w:tcPr>
                <w:p w14:paraId="5B6C8337">
                  <w:pPr>
                    <w:pStyle w:val="37"/>
                    <w:bidi w:val="0"/>
                    <w:rPr>
                      <w:rFonts w:hint="default"/>
                      <w:color w:val="auto"/>
                    </w:rPr>
                  </w:pPr>
                  <w:r>
                    <w:rPr>
                      <w:rFonts w:hint="default"/>
                      <w:color w:val="auto"/>
                      <w:lang w:val="en-US" w:eastAsia="zh-CN"/>
                    </w:rPr>
                    <w:t>62</w:t>
                  </w:r>
                </w:p>
              </w:tc>
              <w:tc>
                <w:tcPr>
                  <w:tcW w:w="573" w:type="dxa"/>
                  <w:tcBorders>
                    <w:tl2br w:val="nil"/>
                    <w:tr2bl w:val="nil"/>
                  </w:tcBorders>
                  <w:shd w:val="clear" w:color="auto" w:fill="auto"/>
                  <w:noWrap/>
                  <w:vAlign w:val="center"/>
                </w:tcPr>
                <w:p w14:paraId="36D40A4E">
                  <w:pPr>
                    <w:pStyle w:val="37"/>
                    <w:bidi w:val="0"/>
                    <w:rPr>
                      <w:rFonts w:hint="default"/>
                      <w:color w:val="auto"/>
                    </w:rPr>
                  </w:pPr>
                  <w:r>
                    <w:rPr>
                      <w:rFonts w:hint="default"/>
                      <w:color w:val="auto"/>
                      <w:lang w:val="en-US" w:eastAsia="zh-CN"/>
                    </w:rPr>
                    <w:t>58</w:t>
                  </w:r>
                </w:p>
              </w:tc>
              <w:tc>
                <w:tcPr>
                  <w:tcW w:w="573" w:type="dxa"/>
                  <w:tcBorders>
                    <w:tl2br w:val="nil"/>
                    <w:tr2bl w:val="nil"/>
                  </w:tcBorders>
                  <w:shd w:val="clear" w:color="auto" w:fill="auto"/>
                  <w:noWrap/>
                  <w:vAlign w:val="center"/>
                </w:tcPr>
                <w:p w14:paraId="3E1C275B">
                  <w:pPr>
                    <w:pStyle w:val="37"/>
                    <w:bidi w:val="0"/>
                    <w:rPr>
                      <w:rFonts w:hint="default"/>
                      <w:color w:val="auto"/>
                    </w:rPr>
                  </w:pPr>
                  <w:r>
                    <w:rPr>
                      <w:rFonts w:hint="default"/>
                      <w:color w:val="auto"/>
                      <w:lang w:val="en-US" w:eastAsia="zh-CN"/>
                    </w:rPr>
                    <w:t>56</w:t>
                  </w:r>
                </w:p>
              </w:tc>
              <w:tc>
                <w:tcPr>
                  <w:tcW w:w="675" w:type="dxa"/>
                  <w:tcBorders>
                    <w:tl2br w:val="nil"/>
                    <w:tr2bl w:val="nil"/>
                  </w:tcBorders>
                  <w:shd w:val="clear" w:color="auto" w:fill="auto"/>
                  <w:noWrap/>
                  <w:vAlign w:val="center"/>
                </w:tcPr>
                <w:p w14:paraId="07BA2A7E">
                  <w:pPr>
                    <w:pStyle w:val="37"/>
                    <w:bidi w:val="0"/>
                    <w:rPr>
                      <w:rFonts w:hint="default"/>
                      <w:color w:val="auto"/>
                    </w:rPr>
                  </w:pPr>
                  <w:r>
                    <w:rPr>
                      <w:rFonts w:hint="default"/>
                      <w:color w:val="auto"/>
                      <w:lang w:val="en-US" w:eastAsia="zh-CN"/>
                    </w:rPr>
                    <w:t>54</w:t>
                  </w:r>
                </w:p>
              </w:tc>
              <w:tc>
                <w:tcPr>
                  <w:tcW w:w="675" w:type="dxa"/>
                  <w:tcBorders>
                    <w:tl2br w:val="nil"/>
                    <w:tr2bl w:val="nil"/>
                  </w:tcBorders>
                  <w:shd w:val="clear" w:color="auto" w:fill="auto"/>
                  <w:noWrap/>
                  <w:vAlign w:val="center"/>
                </w:tcPr>
                <w:p w14:paraId="77B6DE98">
                  <w:pPr>
                    <w:pStyle w:val="37"/>
                    <w:bidi w:val="0"/>
                    <w:rPr>
                      <w:rFonts w:hint="default"/>
                      <w:color w:val="auto"/>
                    </w:rPr>
                  </w:pPr>
                  <w:r>
                    <w:rPr>
                      <w:rFonts w:hint="default"/>
                      <w:color w:val="auto"/>
                      <w:lang w:val="en-US" w:eastAsia="zh-CN"/>
                    </w:rPr>
                    <w:t>48</w:t>
                  </w:r>
                </w:p>
              </w:tc>
              <w:tc>
                <w:tcPr>
                  <w:tcW w:w="675" w:type="dxa"/>
                  <w:tcBorders>
                    <w:tl2br w:val="nil"/>
                    <w:tr2bl w:val="nil"/>
                  </w:tcBorders>
                  <w:shd w:val="clear" w:color="auto" w:fill="auto"/>
                  <w:noWrap/>
                  <w:vAlign w:val="center"/>
                </w:tcPr>
                <w:p w14:paraId="2286A0B8">
                  <w:pPr>
                    <w:pStyle w:val="37"/>
                    <w:bidi w:val="0"/>
                    <w:rPr>
                      <w:rFonts w:hint="default"/>
                      <w:color w:val="auto"/>
                    </w:rPr>
                  </w:pPr>
                  <w:r>
                    <w:rPr>
                      <w:rFonts w:hint="default"/>
                      <w:color w:val="auto"/>
                      <w:lang w:val="en-US" w:eastAsia="zh-CN"/>
                    </w:rPr>
                    <w:t>44</w:t>
                  </w:r>
                </w:p>
              </w:tc>
              <w:tc>
                <w:tcPr>
                  <w:tcW w:w="677" w:type="dxa"/>
                  <w:tcBorders>
                    <w:tl2br w:val="nil"/>
                    <w:tr2bl w:val="nil"/>
                  </w:tcBorders>
                  <w:shd w:val="clear" w:color="auto" w:fill="auto"/>
                  <w:noWrap/>
                  <w:vAlign w:val="center"/>
                </w:tcPr>
                <w:p w14:paraId="736295C3">
                  <w:pPr>
                    <w:pStyle w:val="37"/>
                    <w:bidi w:val="0"/>
                    <w:rPr>
                      <w:rFonts w:hint="default"/>
                      <w:color w:val="auto"/>
                      <w:lang w:val="en-US" w:eastAsia="zh-CN"/>
                    </w:rPr>
                  </w:pPr>
                  <w:r>
                    <w:rPr>
                      <w:rFonts w:hint="default"/>
                      <w:color w:val="auto"/>
                      <w:lang w:val="en-US" w:eastAsia="zh-CN"/>
                    </w:rPr>
                    <w:t>40</w:t>
                  </w:r>
                </w:p>
              </w:tc>
            </w:tr>
            <w:tr w14:paraId="36720C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2" w:hRule="atLeast"/>
              </w:trPr>
              <w:tc>
                <w:tcPr>
                  <w:tcW w:w="750" w:type="dxa"/>
                  <w:vMerge w:val="continue"/>
                  <w:tcBorders>
                    <w:tl2br w:val="nil"/>
                    <w:tr2bl w:val="nil"/>
                  </w:tcBorders>
                  <w:shd w:val="clear" w:color="auto" w:fill="auto"/>
                  <w:vAlign w:val="center"/>
                </w:tcPr>
                <w:p w14:paraId="44E62BC0">
                  <w:pPr>
                    <w:pStyle w:val="37"/>
                    <w:bidi w:val="0"/>
                    <w:rPr>
                      <w:rFonts w:hint="default"/>
                      <w:color w:val="auto"/>
                    </w:rPr>
                  </w:pPr>
                </w:p>
              </w:tc>
              <w:tc>
                <w:tcPr>
                  <w:tcW w:w="1102" w:type="dxa"/>
                  <w:tcBorders>
                    <w:tl2br w:val="nil"/>
                    <w:tr2bl w:val="nil"/>
                  </w:tcBorders>
                  <w:shd w:val="clear" w:color="auto" w:fill="auto"/>
                  <w:vAlign w:val="center"/>
                </w:tcPr>
                <w:p w14:paraId="2EBC6168">
                  <w:pPr>
                    <w:pStyle w:val="37"/>
                    <w:bidi w:val="0"/>
                    <w:rPr>
                      <w:rFonts w:hint="default"/>
                      <w:color w:val="auto"/>
                    </w:rPr>
                  </w:pPr>
                  <w:r>
                    <w:rPr>
                      <w:rFonts w:hint="eastAsia"/>
                      <w:color w:val="auto"/>
                      <w:lang w:val="en-US" w:eastAsia="zh-CN"/>
                    </w:rPr>
                    <w:t>运水车</w:t>
                  </w:r>
                </w:p>
              </w:tc>
              <w:tc>
                <w:tcPr>
                  <w:tcW w:w="879" w:type="dxa"/>
                  <w:tcBorders>
                    <w:tl2br w:val="nil"/>
                    <w:tr2bl w:val="nil"/>
                  </w:tcBorders>
                  <w:shd w:val="clear" w:color="auto" w:fill="auto"/>
                  <w:vAlign w:val="center"/>
                </w:tcPr>
                <w:p w14:paraId="62C2EBFD">
                  <w:pPr>
                    <w:pStyle w:val="37"/>
                    <w:bidi w:val="0"/>
                    <w:rPr>
                      <w:rFonts w:hint="default"/>
                      <w:color w:val="auto"/>
                    </w:rPr>
                  </w:pPr>
                  <w:r>
                    <w:rPr>
                      <w:rFonts w:hint="default"/>
                      <w:color w:val="auto"/>
                      <w:lang w:val="en-US" w:eastAsia="zh-CN"/>
                    </w:rPr>
                    <w:t>75</w:t>
                  </w:r>
                </w:p>
              </w:tc>
              <w:tc>
                <w:tcPr>
                  <w:tcW w:w="573" w:type="dxa"/>
                  <w:tcBorders>
                    <w:tl2br w:val="nil"/>
                    <w:tr2bl w:val="nil"/>
                  </w:tcBorders>
                  <w:shd w:val="clear" w:color="auto" w:fill="auto"/>
                  <w:noWrap/>
                  <w:vAlign w:val="center"/>
                </w:tcPr>
                <w:p w14:paraId="2AE1B5CC">
                  <w:pPr>
                    <w:pStyle w:val="37"/>
                    <w:bidi w:val="0"/>
                    <w:rPr>
                      <w:rFonts w:hint="default"/>
                      <w:color w:val="auto"/>
                    </w:rPr>
                  </w:pPr>
                  <w:r>
                    <w:rPr>
                      <w:rFonts w:hint="default"/>
                      <w:color w:val="auto"/>
                      <w:lang w:val="en-US" w:eastAsia="zh-CN"/>
                    </w:rPr>
                    <w:t>69</w:t>
                  </w:r>
                </w:p>
              </w:tc>
              <w:tc>
                <w:tcPr>
                  <w:tcW w:w="573" w:type="dxa"/>
                  <w:tcBorders>
                    <w:tl2br w:val="nil"/>
                    <w:tr2bl w:val="nil"/>
                  </w:tcBorders>
                  <w:shd w:val="clear" w:color="auto" w:fill="auto"/>
                  <w:noWrap/>
                  <w:vAlign w:val="center"/>
                </w:tcPr>
                <w:p w14:paraId="425941BE">
                  <w:pPr>
                    <w:pStyle w:val="37"/>
                    <w:bidi w:val="0"/>
                    <w:rPr>
                      <w:rFonts w:hint="default"/>
                      <w:color w:val="auto"/>
                    </w:rPr>
                  </w:pPr>
                  <w:r>
                    <w:rPr>
                      <w:rFonts w:hint="default"/>
                      <w:color w:val="auto"/>
                      <w:lang w:val="en-US" w:eastAsia="zh-CN"/>
                    </w:rPr>
                    <w:t>63</w:t>
                  </w:r>
                </w:p>
              </w:tc>
              <w:tc>
                <w:tcPr>
                  <w:tcW w:w="573" w:type="dxa"/>
                  <w:tcBorders>
                    <w:tl2br w:val="nil"/>
                    <w:tr2bl w:val="nil"/>
                  </w:tcBorders>
                  <w:shd w:val="clear" w:color="auto" w:fill="auto"/>
                  <w:noWrap/>
                  <w:vAlign w:val="center"/>
                </w:tcPr>
                <w:p w14:paraId="22C3FA53">
                  <w:pPr>
                    <w:pStyle w:val="37"/>
                    <w:bidi w:val="0"/>
                    <w:rPr>
                      <w:rFonts w:hint="default"/>
                      <w:color w:val="auto"/>
                    </w:rPr>
                  </w:pPr>
                  <w:r>
                    <w:rPr>
                      <w:rFonts w:hint="default"/>
                      <w:color w:val="auto"/>
                      <w:lang w:val="en-US" w:eastAsia="zh-CN"/>
                    </w:rPr>
                    <w:t>57</w:t>
                  </w:r>
                </w:p>
              </w:tc>
              <w:tc>
                <w:tcPr>
                  <w:tcW w:w="573" w:type="dxa"/>
                  <w:tcBorders>
                    <w:tl2br w:val="nil"/>
                    <w:tr2bl w:val="nil"/>
                  </w:tcBorders>
                  <w:shd w:val="clear" w:color="auto" w:fill="auto"/>
                  <w:noWrap/>
                  <w:vAlign w:val="center"/>
                </w:tcPr>
                <w:p w14:paraId="7CC91AE8">
                  <w:pPr>
                    <w:pStyle w:val="37"/>
                    <w:bidi w:val="0"/>
                    <w:rPr>
                      <w:rFonts w:hint="default"/>
                      <w:color w:val="auto"/>
                    </w:rPr>
                  </w:pPr>
                  <w:r>
                    <w:rPr>
                      <w:rFonts w:hint="default"/>
                      <w:color w:val="auto"/>
                      <w:lang w:val="en-US" w:eastAsia="zh-CN"/>
                    </w:rPr>
                    <w:t>53</w:t>
                  </w:r>
                </w:p>
              </w:tc>
              <w:tc>
                <w:tcPr>
                  <w:tcW w:w="573" w:type="dxa"/>
                  <w:tcBorders>
                    <w:tl2br w:val="nil"/>
                    <w:tr2bl w:val="nil"/>
                  </w:tcBorders>
                  <w:shd w:val="clear" w:color="auto" w:fill="auto"/>
                  <w:noWrap/>
                  <w:vAlign w:val="center"/>
                </w:tcPr>
                <w:p w14:paraId="6EA75E09">
                  <w:pPr>
                    <w:pStyle w:val="37"/>
                    <w:bidi w:val="0"/>
                    <w:rPr>
                      <w:rFonts w:hint="default"/>
                      <w:color w:val="auto"/>
                    </w:rPr>
                  </w:pPr>
                  <w:r>
                    <w:rPr>
                      <w:rFonts w:hint="default"/>
                      <w:color w:val="auto"/>
                      <w:lang w:val="en-US" w:eastAsia="zh-CN"/>
                    </w:rPr>
                    <w:t>51</w:t>
                  </w:r>
                </w:p>
              </w:tc>
              <w:tc>
                <w:tcPr>
                  <w:tcW w:w="675" w:type="dxa"/>
                  <w:tcBorders>
                    <w:tl2br w:val="nil"/>
                    <w:tr2bl w:val="nil"/>
                  </w:tcBorders>
                  <w:shd w:val="clear" w:color="auto" w:fill="auto"/>
                  <w:noWrap/>
                  <w:vAlign w:val="center"/>
                </w:tcPr>
                <w:p w14:paraId="70BC0C44">
                  <w:pPr>
                    <w:pStyle w:val="37"/>
                    <w:bidi w:val="0"/>
                    <w:rPr>
                      <w:rFonts w:hint="default"/>
                      <w:color w:val="auto"/>
                    </w:rPr>
                  </w:pPr>
                  <w:r>
                    <w:rPr>
                      <w:rFonts w:hint="default"/>
                      <w:color w:val="auto"/>
                      <w:lang w:val="en-US" w:eastAsia="zh-CN"/>
                    </w:rPr>
                    <w:t>49</w:t>
                  </w:r>
                </w:p>
              </w:tc>
              <w:tc>
                <w:tcPr>
                  <w:tcW w:w="675" w:type="dxa"/>
                  <w:tcBorders>
                    <w:tl2br w:val="nil"/>
                    <w:tr2bl w:val="nil"/>
                  </w:tcBorders>
                  <w:shd w:val="clear" w:color="auto" w:fill="auto"/>
                  <w:noWrap/>
                  <w:vAlign w:val="center"/>
                </w:tcPr>
                <w:p w14:paraId="1ADAEC0F">
                  <w:pPr>
                    <w:pStyle w:val="37"/>
                    <w:bidi w:val="0"/>
                    <w:rPr>
                      <w:rFonts w:hint="default"/>
                      <w:color w:val="auto"/>
                    </w:rPr>
                  </w:pPr>
                  <w:r>
                    <w:rPr>
                      <w:rFonts w:hint="default"/>
                      <w:color w:val="auto"/>
                      <w:lang w:val="en-US" w:eastAsia="zh-CN"/>
                    </w:rPr>
                    <w:t>43</w:t>
                  </w:r>
                </w:p>
              </w:tc>
              <w:tc>
                <w:tcPr>
                  <w:tcW w:w="675" w:type="dxa"/>
                  <w:tcBorders>
                    <w:tl2br w:val="nil"/>
                    <w:tr2bl w:val="nil"/>
                  </w:tcBorders>
                  <w:shd w:val="clear" w:color="auto" w:fill="auto"/>
                  <w:noWrap/>
                  <w:vAlign w:val="center"/>
                </w:tcPr>
                <w:p w14:paraId="715201EE">
                  <w:pPr>
                    <w:pStyle w:val="37"/>
                    <w:bidi w:val="0"/>
                    <w:rPr>
                      <w:rFonts w:hint="default"/>
                      <w:color w:val="auto"/>
                    </w:rPr>
                  </w:pPr>
                  <w:r>
                    <w:rPr>
                      <w:rFonts w:hint="default"/>
                      <w:color w:val="auto"/>
                      <w:lang w:val="en-US" w:eastAsia="zh-CN"/>
                    </w:rPr>
                    <w:t>39</w:t>
                  </w:r>
                </w:p>
              </w:tc>
              <w:tc>
                <w:tcPr>
                  <w:tcW w:w="677" w:type="dxa"/>
                  <w:tcBorders>
                    <w:tl2br w:val="nil"/>
                    <w:tr2bl w:val="nil"/>
                  </w:tcBorders>
                  <w:shd w:val="clear" w:color="auto" w:fill="auto"/>
                  <w:noWrap/>
                  <w:vAlign w:val="center"/>
                </w:tcPr>
                <w:p w14:paraId="04B699F6">
                  <w:pPr>
                    <w:pStyle w:val="37"/>
                    <w:bidi w:val="0"/>
                    <w:rPr>
                      <w:rFonts w:hint="default"/>
                      <w:color w:val="auto"/>
                      <w:lang w:val="en-US" w:eastAsia="zh-CN"/>
                    </w:rPr>
                  </w:pPr>
                  <w:r>
                    <w:rPr>
                      <w:rFonts w:hint="default"/>
                      <w:color w:val="auto"/>
                      <w:lang w:val="en-US" w:eastAsia="zh-CN"/>
                    </w:rPr>
                    <w:t>35</w:t>
                  </w:r>
                </w:p>
              </w:tc>
            </w:tr>
            <w:tr w14:paraId="7436C6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750" w:type="dxa"/>
                  <w:vMerge w:val="continue"/>
                  <w:tcBorders>
                    <w:tl2br w:val="nil"/>
                    <w:tr2bl w:val="nil"/>
                  </w:tcBorders>
                  <w:shd w:val="clear" w:color="auto" w:fill="auto"/>
                  <w:vAlign w:val="center"/>
                </w:tcPr>
                <w:p w14:paraId="057CA806">
                  <w:pPr>
                    <w:pStyle w:val="37"/>
                    <w:bidi w:val="0"/>
                    <w:rPr>
                      <w:rFonts w:hint="default"/>
                      <w:color w:val="auto"/>
                    </w:rPr>
                  </w:pPr>
                </w:p>
              </w:tc>
              <w:tc>
                <w:tcPr>
                  <w:tcW w:w="1102" w:type="dxa"/>
                  <w:tcBorders>
                    <w:tl2br w:val="nil"/>
                    <w:tr2bl w:val="nil"/>
                  </w:tcBorders>
                  <w:shd w:val="clear" w:color="auto" w:fill="auto"/>
                  <w:vAlign w:val="center"/>
                </w:tcPr>
                <w:p w14:paraId="25E7A9DB">
                  <w:pPr>
                    <w:pStyle w:val="37"/>
                    <w:bidi w:val="0"/>
                    <w:rPr>
                      <w:rFonts w:hint="default"/>
                      <w:color w:val="auto"/>
                    </w:rPr>
                  </w:pPr>
                  <w:r>
                    <w:rPr>
                      <w:rFonts w:hint="default"/>
                      <w:color w:val="auto"/>
                      <w:lang w:val="en-US" w:eastAsia="zh-CN"/>
                    </w:rPr>
                    <w:t>50T</w:t>
                  </w:r>
                  <w:r>
                    <w:rPr>
                      <w:rFonts w:hint="eastAsia"/>
                      <w:color w:val="auto"/>
                      <w:lang w:val="en-US" w:eastAsia="zh-CN"/>
                    </w:rPr>
                    <w:t>汽车吊</w:t>
                  </w:r>
                </w:p>
              </w:tc>
              <w:tc>
                <w:tcPr>
                  <w:tcW w:w="879" w:type="dxa"/>
                  <w:tcBorders>
                    <w:tl2br w:val="nil"/>
                    <w:tr2bl w:val="nil"/>
                  </w:tcBorders>
                  <w:shd w:val="clear" w:color="auto" w:fill="auto"/>
                  <w:vAlign w:val="center"/>
                </w:tcPr>
                <w:p w14:paraId="48A3BBCF">
                  <w:pPr>
                    <w:pStyle w:val="37"/>
                    <w:bidi w:val="0"/>
                    <w:rPr>
                      <w:rFonts w:hint="default"/>
                      <w:color w:val="auto"/>
                    </w:rPr>
                  </w:pPr>
                  <w:r>
                    <w:rPr>
                      <w:rFonts w:hint="default"/>
                      <w:color w:val="auto"/>
                      <w:lang w:val="en-US" w:eastAsia="zh-CN"/>
                    </w:rPr>
                    <w:t>85</w:t>
                  </w:r>
                </w:p>
              </w:tc>
              <w:tc>
                <w:tcPr>
                  <w:tcW w:w="573" w:type="dxa"/>
                  <w:tcBorders>
                    <w:tl2br w:val="nil"/>
                    <w:tr2bl w:val="nil"/>
                  </w:tcBorders>
                  <w:shd w:val="clear" w:color="auto" w:fill="auto"/>
                  <w:noWrap/>
                  <w:vAlign w:val="center"/>
                </w:tcPr>
                <w:p w14:paraId="7D9C3213">
                  <w:pPr>
                    <w:pStyle w:val="37"/>
                    <w:bidi w:val="0"/>
                    <w:rPr>
                      <w:rFonts w:hint="default"/>
                      <w:color w:val="auto"/>
                    </w:rPr>
                  </w:pPr>
                  <w:r>
                    <w:rPr>
                      <w:rFonts w:hint="default"/>
                      <w:color w:val="auto"/>
                      <w:lang w:val="en-US" w:eastAsia="zh-CN"/>
                    </w:rPr>
                    <w:t>79</w:t>
                  </w:r>
                </w:p>
              </w:tc>
              <w:tc>
                <w:tcPr>
                  <w:tcW w:w="573" w:type="dxa"/>
                  <w:tcBorders>
                    <w:tl2br w:val="nil"/>
                    <w:tr2bl w:val="nil"/>
                  </w:tcBorders>
                  <w:shd w:val="clear" w:color="auto" w:fill="auto"/>
                  <w:noWrap/>
                  <w:vAlign w:val="center"/>
                </w:tcPr>
                <w:p w14:paraId="182FFD18">
                  <w:pPr>
                    <w:pStyle w:val="37"/>
                    <w:bidi w:val="0"/>
                    <w:rPr>
                      <w:rFonts w:hint="default"/>
                      <w:color w:val="auto"/>
                    </w:rPr>
                  </w:pPr>
                  <w:r>
                    <w:rPr>
                      <w:rFonts w:hint="default"/>
                      <w:color w:val="auto"/>
                      <w:lang w:val="en-US" w:eastAsia="zh-CN"/>
                    </w:rPr>
                    <w:t>73</w:t>
                  </w:r>
                </w:p>
              </w:tc>
              <w:tc>
                <w:tcPr>
                  <w:tcW w:w="573" w:type="dxa"/>
                  <w:tcBorders>
                    <w:tl2br w:val="nil"/>
                    <w:tr2bl w:val="nil"/>
                  </w:tcBorders>
                  <w:shd w:val="clear" w:color="auto" w:fill="auto"/>
                  <w:noWrap/>
                  <w:vAlign w:val="center"/>
                </w:tcPr>
                <w:p w14:paraId="28A10DB5">
                  <w:pPr>
                    <w:pStyle w:val="37"/>
                    <w:bidi w:val="0"/>
                    <w:rPr>
                      <w:rFonts w:hint="default"/>
                      <w:color w:val="auto"/>
                    </w:rPr>
                  </w:pPr>
                  <w:r>
                    <w:rPr>
                      <w:rFonts w:hint="default"/>
                      <w:color w:val="auto"/>
                      <w:lang w:val="en-US" w:eastAsia="zh-CN"/>
                    </w:rPr>
                    <w:t>67</w:t>
                  </w:r>
                </w:p>
              </w:tc>
              <w:tc>
                <w:tcPr>
                  <w:tcW w:w="573" w:type="dxa"/>
                  <w:tcBorders>
                    <w:tl2br w:val="nil"/>
                    <w:tr2bl w:val="nil"/>
                  </w:tcBorders>
                  <w:shd w:val="clear" w:color="auto" w:fill="auto"/>
                  <w:noWrap/>
                  <w:vAlign w:val="center"/>
                </w:tcPr>
                <w:p w14:paraId="23D56DC4">
                  <w:pPr>
                    <w:pStyle w:val="37"/>
                    <w:bidi w:val="0"/>
                    <w:rPr>
                      <w:rFonts w:hint="default"/>
                      <w:color w:val="auto"/>
                    </w:rPr>
                  </w:pPr>
                  <w:r>
                    <w:rPr>
                      <w:rFonts w:hint="default"/>
                      <w:color w:val="auto"/>
                      <w:lang w:val="en-US" w:eastAsia="zh-CN"/>
                    </w:rPr>
                    <w:t>63</w:t>
                  </w:r>
                </w:p>
              </w:tc>
              <w:tc>
                <w:tcPr>
                  <w:tcW w:w="573" w:type="dxa"/>
                  <w:tcBorders>
                    <w:tl2br w:val="nil"/>
                    <w:tr2bl w:val="nil"/>
                  </w:tcBorders>
                  <w:shd w:val="clear" w:color="auto" w:fill="auto"/>
                  <w:noWrap/>
                  <w:vAlign w:val="center"/>
                </w:tcPr>
                <w:p w14:paraId="6616E0D5">
                  <w:pPr>
                    <w:pStyle w:val="37"/>
                    <w:bidi w:val="0"/>
                    <w:rPr>
                      <w:rFonts w:hint="default"/>
                      <w:color w:val="auto"/>
                    </w:rPr>
                  </w:pPr>
                  <w:r>
                    <w:rPr>
                      <w:rFonts w:hint="default"/>
                      <w:color w:val="auto"/>
                      <w:lang w:val="en-US" w:eastAsia="zh-CN"/>
                    </w:rPr>
                    <w:t>61</w:t>
                  </w:r>
                </w:p>
              </w:tc>
              <w:tc>
                <w:tcPr>
                  <w:tcW w:w="675" w:type="dxa"/>
                  <w:tcBorders>
                    <w:tl2br w:val="nil"/>
                    <w:tr2bl w:val="nil"/>
                  </w:tcBorders>
                  <w:shd w:val="clear" w:color="auto" w:fill="auto"/>
                  <w:noWrap/>
                  <w:vAlign w:val="center"/>
                </w:tcPr>
                <w:p w14:paraId="5FBF6B95">
                  <w:pPr>
                    <w:pStyle w:val="37"/>
                    <w:bidi w:val="0"/>
                    <w:rPr>
                      <w:rFonts w:hint="default"/>
                      <w:color w:val="auto"/>
                    </w:rPr>
                  </w:pPr>
                  <w:r>
                    <w:rPr>
                      <w:rFonts w:hint="default"/>
                      <w:color w:val="auto"/>
                      <w:lang w:val="en-US" w:eastAsia="zh-CN"/>
                    </w:rPr>
                    <w:t>59</w:t>
                  </w:r>
                </w:p>
              </w:tc>
              <w:tc>
                <w:tcPr>
                  <w:tcW w:w="675" w:type="dxa"/>
                  <w:tcBorders>
                    <w:tl2br w:val="nil"/>
                    <w:tr2bl w:val="nil"/>
                  </w:tcBorders>
                  <w:shd w:val="clear" w:color="auto" w:fill="auto"/>
                  <w:noWrap/>
                  <w:vAlign w:val="center"/>
                </w:tcPr>
                <w:p w14:paraId="795DEE80">
                  <w:pPr>
                    <w:pStyle w:val="37"/>
                    <w:bidi w:val="0"/>
                    <w:rPr>
                      <w:rFonts w:hint="default"/>
                      <w:color w:val="auto"/>
                    </w:rPr>
                  </w:pPr>
                  <w:r>
                    <w:rPr>
                      <w:rFonts w:hint="default"/>
                      <w:color w:val="auto"/>
                      <w:lang w:val="en-US" w:eastAsia="zh-CN"/>
                    </w:rPr>
                    <w:t>53</w:t>
                  </w:r>
                </w:p>
              </w:tc>
              <w:tc>
                <w:tcPr>
                  <w:tcW w:w="675" w:type="dxa"/>
                  <w:tcBorders>
                    <w:tl2br w:val="nil"/>
                    <w:tr2bl w:val="nil"/>
                  </w:tcBorders>
                  <w:shd w:val="clear" w:color="auto" w:fill="auto"/>
                  <w:noWrap/>
                  <w:vAlign w:val="center"/>
                </w:tcPr>
                <w:p w14:paraId="7556134D">
                  <w:pPr>
                    <w:pStyle w:val="37"/>
                    <w:bidi w:val="0"/>
                    <w:rPr>
                      <w:rFonts w:hint="default"/>
                      <w:color w:val="auto"/>
                    </w:rPr>
                  </w:pPr>
                  <w:r>
                    <w:rPr>
                      <w:rFonts w:hint="default"/>
                      <w:color w:val="auto"/>
                      <w:lang w:val="en-US" w:eastAsia="zh-CN"/>
                    </w:rPr>
                    <w:t>49</w:t>
                  </w:r>
                </w:p>
              </w:tc>
              <w:tc>
                <w:tcPr>
                  <w:tcW w:w="677" w:type="dxa"/>
                  <w:tcBorders>
                    <w:tl2br w:val="nil"/>
                    <w:tr2bl w:val="nil"/>
                  </w:tcBorders>
                  <w:shd w:val="clear" w:color="auto" w:fill="auto"/>
                  <w:noWrap/>
                  <w:vAlign w:val="center"/>
                </w:tcPr>
                <w:p w14:paraId="1F5672F8">
                  <w:pPr>
                    <w:pStyle w:val="37"/>
                    <w:bidi w:val="0"/>
                    <w:rPr>
                      <w:rFonts w:hint="default"/>
                      <w:color w:val="auto"/>
                      <w:lang w:val="en-US" w:eastAsia="zh-CN"/>
                    </w:rPr>
                  </w:pPr>
                  <w:r>
                    <w:rPr>
                      <w:rFonts w:hint="default"/>
                      <w:color w:val="auto"/>
                      <w:lang w:val="en-US" w:eastAsia="zh-CN"/>
                    </w:rPr>
                    <w:t>45</w:t>
                  </w:r>
                </w:p>
              </w:tc>
            </w:tr>
            <w:tr w14:paraId="4F9FC9E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64" w:hRule="atLeast"/>
              </w:trPr>
              <w:tc>
                <w:tcPr>
                  <w:tcW w:w="750" w:type="dxa"/>
                  <w:vMerge w:val="continue"/>
                  <w:tcBorders>
                    <w:tl2br w:val="nil"/>
                    <w:tr2bl w:val="nil"/>
                  </w:tcBorders>
                  <w:shd w:val="clear" w:color="auto" w:fill="auto"/>
                  <w:vAlign w:val="center"/>
                </w:tcPr>
                <w:p w14:paraId="45F9D364">
                  <w:pPr>
                    <w:pStyle w:val="37"/>
                    <w:bidi w:val="0"/>
                    <w:rPr>
                      <w:rFonts w:hint="default"/>
                      <w:color w:val="auto"/>
                    </w:rPr>
                  </w:pPr>
                </w:p>
              </w:tc>
              <w:tc>
                <w:tcPr>
                  <w:tcW w:w="1102" w:type="dxa"/>
                  <w:tcBorders>
                    <w:tl2br w:val="nil"/>
                    <w:tr2bl w:val="nil"/>
                  </w:tcBorders>
                  <w:shd w:val="clear" w:color="auto" w:fill="auto"/>
                  <w:noWrap/>
                  <w:vAlign w:val="center"/>
                </w:tcPr>
                <w:p w14:paraId="481E5D66">
                  <w:pPr>
                    <w:pStyle w:val="37"/>
                    <w:bidi w:val="0"/>
                    <w:rPr>
                      <w:rFonts w:hint="eastAsia"/>
                      <w:b/>
                      <w:bCs/>
                      <w:color w:val="auto"/>
                    </w:rPr>
                  </w:pPr>
                  <w:r>
                    <w:rPr>
                      <w:rFonts w:hint="eastAsia"/>
                      <w:b/>
                      <w:bCs/>
                      <w:color w:val="auto"/>
                      <w:lang w:val="en-US" w:eastAsia="zh-CN"/>
                    </w:rPr>
                    <w:t>多声源叠加值</w:t>
                  </w:r>
                </w:p>
              </w:tc>
              <w:tc>
                <w:tcPr>
                  <w:tcW w:w="879" w:type="dxa"/>
                  <w:tcBorders>
                    <w:tl2br w:val="nil"/>
                    <w:tr2bl w:val="nil"/>
                  </w:tcBorders>
                  <w:shd w:val="clear" w:color="auto" w:fill="auto"/>
                  <w:noWrap/>
                  <w:vAlign w:val="center"/>
                </w:tcPr>
                <w:p w14:paraId="265F4D5D">
                  <w:pPr>
                    <w:pStyle w:val="37"/>
                    <w:bidi w:val="0"/>
                    <w:rPr>
                      <w:rFonts w:hint="default"/>
                      <w:b/>
                      <w:bCs/>
                      <w:color w:val="auto"/>
                    </w:rPr>
                  </w:pPr>
                  <w:r>
                    <w:rPr>
                      <w:rFonts w:hint="default"/>
                      <w:b/>
                      <w:bCs/>
                      <w:color w:val="auto"/>
                      <w:lang w:val="en-US" w:eastAsia="zh-CN"/>
                    </w:rPr>
                    <w:t>87</w:t>
                  </w:r>
                </w:p>
              </w:tc>
              <w:tc>
                <w:tcPr>
                  <w:tcW w:w="573" w:type="dxa"/>
                  <w:tcBorders>
                    <w:tl2br w:val="nil"/>
                    <w:tr2bl w:val="nil"/>
                  </w:tcBorders>
                  <w:shd w:val="clear" w:color="auto" w:fill="auto"/>
                  <w:noWrap/>
                  <w:vAlign w:val="center"/>
                </w:tcPr>
                <w:p w14:paraId="342550D9">
                  <w:pPr>
                    <w:pStyle w:val="37"/>
                    <w:bidi w:val="0"/>
                    <w:rPr>
                      <w:rFonts w:hint="default"/>
                      <w:b/>
                      <w:bCs/>
                      <w:color w:val="auto"/>
                    </w:rPr>
                  </w:pPr>
                  <w:r>
                    <w:rPr>
                      <w:rFonts w:hint="default"/>
                      <w:b/>
                      <w:bCs/>
                      <w:color w:val="auto"/>
                      <w:lang w:val="en-US" w:eastAsia="zh-CN"/>
                    </w:rPr>
                    <w:t>79</w:t>
                  </w:r>
                </w:p>
              </w:tc>
              <w:tc>
                <w:tcPr>
                  <w:tcW w:w="573" w:type="dxa"/>
                  <w:tcBorders>
                    <w:tl2br w:val="nil"/>
                    <w:tr2bl w:val="nil"/>
                  </w:tcBorders>
                  <w:shd w:val="clear" w:color="auto" w:fill="auto"/>
                  <w:noWrap/>
                  <w:vAlign w:val="center"/>
                </w:tcPr>
                <w:p w14:paraId="3E4B37FF">
                  <w:pPr>
                    <w:pStyle w:val="37"/>
                    <w:bidi w:val="0"/>
                    <w:rPr>
                      <w:rFonts w:hint="default"/>
                      <w:b/>
                      <w:bCs/>
                      <w:color w:val="auto"/>
                    </w:rPr>
                  </w:pPr>
                  <w:r>
                    <w:rPr>
                      <w:rFonts w:hint="default"/>
                      <w:b/>
                      <w:bCs/>
                      <w:color w:val="auto"/>
                      <w:lang w:val="en-US" w:eastAsia="zh-CN"/>
                    </w:rPr>
                    <w:t>73</w:t>
                  </w:r>
                </w:p>
              </w:tc>
              <w:tc>
                <w:tcPr>
                  <w:tcW w:w="573" w:type="dxa"/>
                  <w:tcBorders>
                    <w:tl2br w:val="nil"/>
                    <w:tr2bl w:val="nil"/>
                  </w:tcBorders>
                  <w:shd w:val="clear" w:color="auto" w:fill="auto"/>
                  <w:noWrap/>
                  <w:vAlign w:val="center"/>
                </w:tcPr>
                <w:p w14:paraId="6260A30C">
                  <w:pPr>
                    <w:pStyle w:val="37"/>
                    <w:bidi w:val="0"/>
                    <w:rPr>
                      <w:rFonts w:hint="default"/>
                      <w:b/>
                      <w:bCs/>
                      <w:color w:val="auto"/>
                    </w:rPr>
                  </w:pPr>
                  <w:r>
                    <w:rPr>
                      <w:rFonts w:hint="default"/>
                      <w:b/>
                      <w:bCs/>
                      <w:color w:val="auto"/>
                      <w:lang w:val="en-US" w:eastAsia="zh-CN"/>
                    </w:rPr>
                    <w:t>67</w:t>
                  </w:r>
                </w:p>
              </w:tc>
              <w:tc>
                <w:tcPr>
                  <w:tcW w:w="573" w:type="dxa"/>
                  <w:tcBorders>
                    <w:tl2br w:val="nil"/>
                    <w:tr2bl w:val="nil"/>
                  </w:tcBorders>
                  <w:shd w:val="clear" w:color="auto" w:fill="auto"/>
                  <w:noWrap/>
                  <w:vAlign w:val="center"/>
                </w:tcPr>
                <w:p w14:paraId="79EFBEB9">
                  <w:pPr>
                    <w:pStyle w:val="37"/>
                    <w:bidi w:val="0"/>
                    <w:rPr>
                      <w:rFonts w:hint="default"/>
                      <w:b/>
                      <w:bCs/>
                      <w:color w:val="auto"/>
                    </w:rPr>
                  </w:pPr>
                  <w:r>
                    <w:rPr>
                      <w:rFonts w:hint="default"/>
                      <w:b/>
                      <w:bCs/>
                      <w:color w:val="auto"/>
                      <w:lang w:val="en-US" w:eastAsia="zh-CN"/>
                    </w:rPr>
                    <w:t>64</w:t>
                  </w:r>
                </w:p>
              </w:tc>
              <w:tc>
                <w:tcPr>
                  <w:tcW w:w="573" w:type="dxa"/>
                  <w:tcBorders>
                    <w:tl2br w:val="nil"/>
                    <w:tr2bl w:val="nil"/>
                  </w:tcBorders>
                  <w:shd w:val="clear" w:color="auto" w:fill="auto"/>
                  <w:noWrap/>
                  <w:vAlign w:val="center"/>
                </w:tcPr>
                <w:p w14:paraId="6C5EE701">
                  <w:pPr>
                    <w:pStyle w:val="37"/>
                    <w:bidi w:val="0"/>
                    <w:rPr>
                      <w:rFonts w:hint="default"/>
                      <w:color w:val="auto"/>
                    </w:rPr>
                  </w:pPr>
                  <w:r>
                    <w:rPr>
                      <w:rFonts w:hint="default"/>
                      <w:b/>
                      <w:bCs/>
                      <w:color w:val="auto"/>
                      <w:lang w:val="en-US" w:eastAsia="zh-CN"/>
                    </w:rPr>
                    <w:t>61</w:t>
                  </w:r>
                </w:p>
              </w:tc>
              <w:tc>
                <w:tcPr>
                  <w:tcW w:w="675" w:type="dxa"/>
                  <w:tcBorders>
                    <w:tl2br w:val="nil"/>
                    <w:tr2bl w:val="nil"/>
                  </w:tcBorders>
                  <w:shd w:val="clear" w:color="auto" w:fill="auto"/>
                  <w:noWrap/>
                  <w:vAlign w:val="center"/>
                </w:tcPr>
                <w:p w14:paraId="3AB6A663">
                  <w:pPr>
                    <w:pStyle w:val="37"/>
                    <w:bidi w:val="0"/>
                    <w:rPr>
                      <w:rFonts w:hint="default"/>
                      <w:b/>
                      <w:bCs/>
                      <w:color w:val="auto"/>
                    </w:rPr>
                  </w:pPr>
                  <w:r>
                    <w:rPr>
                      <w:rFonts w:hint="default"/>
                      <w:b/>
                      <w:bCs/>
                      <w:color w:val="auto"/>
                      <w:lang w:val="en-US" w:eastAsia="zh-CN"/>
                    </w:rPr>
                    <w:t>59</w:t>
                  </w:r>
                </w:p>
              </w:tc>
              <w:tc>
                <w:tcPr>
                  <w:tcW w:w="675" w:type="dxa"/>
                  <w:tcBorders>
                    <w:tl2br w:val="nil"/>
                    <w:tr2bl w:val="nil"/>
                  </w:tcBorders>
                  <w:shd w:val="clear" w:color="auto" w:fill="auto"/>
                  <w:noWrap/>
                  <w:vAlign w:val="center"/>
                </w:tcPr>
                <w:p w14:paraId="5AB9CA81">
                  <w:pPr>
                    <w:pStyle w:val="37"/>
                    <w:bidi w:val="0"/>
                    <w:rPr>
                      <w:rFonts w:hint="default"/>
                      <w:b/>
                      <w:bCs/>
                      <w:color w:val="auto"/>
                    </w:rPr>
                  </w:pPr>
                  <w:r>
                    <w:rPr>
                      <w:rFonts w:hint="default"/>
                      <w:b/>
                      <w:bCs/>
                      <w:color w:val="auto"/>
                      <w:lang w:val="en-US" w:eastAsia="zh-CN"/>
                    </w:rPr>
                    <w:t>53</w:t>
                  </w:r>
                </w:p>
              </w:tc>
              <w:tc>
                <w:tcPr>
                  <w:tcW w:w="675" w:type="dxa"/>
                  <w:tcBorders>
                    <w:tl2br w:val="nil"/>
                    <w:tr2bl w:val="nil"/>
                  </w:tcBorders>
                  <w:shd w:val="clear" w:color="auto" w:fill="auto"/>
                  <w:noWrap/>
                  <w:vAlign w:val="center"/>
                </w:tcPr>
                <w:p w14:paraId="65927D98">
                  <w:pPr>
                    <w:pStyle w:val="37"/>
                    <w:bidi w:val="0"/>
                    <w:rPr>
                      <w:rFonts w:hint="default"/>
                      <w:b/>
                      <w:bCs/>
                      <w:color w:val="auto"/>
                    </w:rPr>
                  </w:pPr>
                  <w:r>
                    <w:rPr>
                      <w:rFonts w:hint="default"/>
                      <w:b/>
                      <w:bCs/>
                      <w:color w:val="auto"/>
                      <w:lang w:val="en-US" w:eastAsia="zh-CN"/>
                    </w:rPr>
                    <w:t>50</w:t>
                  </w:r>
                </w:p>
              </w:tc>
              <w:tc>
                <w:tcPr>
                  <w:tcW w:w="677" w:type="dxa"/>
                  <w:tcBorders>
                    <w:tl2br w:val="nil"/>
                    <w:tr2bl w:val="nil"/>
                  </w:tcBorders>
                  <w:shd w:val="clear" w:color="auto" w:fill="auto"/>
                  <w:noWrap/>
                  <w:vAlign w:val="center"/>
                </w:tcPr>
                <w:p w14:paraId="1E3876B3">
                  <w:pPr>
                    <w:pStyle w:val="37"/>
                    <w:bidi w:val="0"/>
                    <w:rPr>
                      <w:rFonts w:hint="default"/>
                      <w:b/>
                      <w:bCs/>
                      <w:color w:val="auto"/>
                      <w:lang w:val="en-US" w:eastAsia="zh-CN"/>
                    </w:rPr>
                  </w:pPr>
                  <w:r>
                    <w:rPr>
                      <w:rFonts w:hint="default"/>
                      <w:b/>
                      <w:bCs/>
                      <w:color w:val="auto"/>
                      <w:lang w:val="en-US" w:eastAsia="zh-CN"/>
                    </w:rPr>
                    <w:t>45</w:t>
                  </w:r>
                </w:p>
              </w:tc>
            </w:tr>
          </w:tbl>
          <w:p w14:paraId="73C2A4CF">
            <w:pPr>
              <w:bidi w:val="0"/>
              <w:rPr>
                <w:rFonts w:hint="eastAsia"/>
                <w:color w:val="auto"/>
              </w:rPr>
            </w:pPr>
            <w:r>
              <w:rPr>
                <w:rFonts w:hint="eastAsia"/>
                <w:color w:val="auto"/>
              </w:rPr>
              <w:t>根据《建筑施工噪声排放标准》（GB12523-2</w:t>
            </w:r>
            <w:r>
              <w:rPr>
                <w:rFonts w:hint="eastAsia"/>
                <w:color w:val="auto"/>
                <w:lang w:val="en-US" w:eastAsia="zh-CN"/>
              </w:rPr>
              <w:t>025</w:t>
            </w:r>
            <w:r>
              <w:rPr>
                <w:rFonts w:hint="eastAsia"/>
                <w:color w:val="auto"/>
              </w:rPr>
              <w:t>）规定，昼间噪声限值为70dB（A），夜间限值为55dB（A）。</w:t>
            </w:r>
          </w:p>
          <w:p w14:paraId="2F2FCA0D">
            <w:pPr>
              <w:bidi w:val="0"/>
              <w:rPr>
                <w:rFonts w:hint="eastAsia"/>
                <w:color w:val="auto"/>
                <w:lang w:val="en-US" w:eastAsia="zh-CN"/>
              </w:rPr>
            </w:pPr>
            <w:r>
              <w:rPr>
                <w:rFonts w:hint="eastAsia"/>
                <w:color w:val="auto"/>
              </w:rPr>
              <w:t>本项目夜间不施工，由上表可知，施工噪声较高，昼间施工机械距施工场地75m以外可满足《建筑施工噪声排放标准》（GB12523-2</w:t>
            </w:r>
            <w:r>
              <w:rPr>
                <w:rFonts w:hint="eastAsia"/>
                <w:color w:val="auto"/>
                <w:lang w:val="en-US" w:eastAsia="zh-CN"/>
              </w:rPr>
              <w:t>025</w:t>
            </w:r>
            <w:r>
              <w:rPr>
                <w:rFonts w:hint="eastAsia"/>
                <w:color w:val="auto"/>
              </w:rPr>
              <w:t>）的规定。但上述计算的距离衰减只是理论上的。由于工程作业的地形限制，作业场所与保护目标有高差、传播路线有遮挡、每天的作业时间不连续等，根据对其他工程调查分析，实际影响时间和程度要较预测的</w:t>
            </w:r>
            <w:r>
              <w:rPr>
                <w:rFonts w:hint="eastAsia"/>
                <w:color w:val="auto"/>
                <w:lang w:eastAsia="zh-CN"/>
              </w:rPr>
              <w:t>要小</w:t>
            </w:r>
            <w:r>
              <w:rPr>
                <w:rFonts w:hint="eastAsia"/>
                <w:color w:val="auto"/>
              </w:rPr>
              <w:t>。</w:t>
            </w:r>
            <w:r>
              <w:rPr>
                <w:rFonts w:hint="eastAsia"/>
                <w:color w:val="auto"/>
                <w:lang w:val="en-US" w:eastAsia="zh-CN"/>
              </w:rPr>
              <w:t>且项目风机机组施工区位于山顶，升压站位于田间，均距离居民点较远，对周边影响较小。</w:t>
            </w:r>
          </w:p>
          <w:p w14:paraId="32A7DA15">
            <w:pPr>
              <w:bidi w:val="0"/>
              <w:rPr>
                <w:rFonts w:hint="default"/>
                <w:color w:val="auto"/>
                <w:lang w:val="en-US" w:eastAsia="zh-CN"/>
              </w:rPr>
            </w:pPr>
            <w:r>
              <w:rPr>
                <w:rFonts w:hint="eastAsia"/>
                <w:color w:val="auto"/>
                <w:lang w:val="en-US" w:eastAsia="zh-CN"/>
              </w:rPr>
              <w:t>本项目施工物料、渣土外运运输车辆均依托现有乡村村道通行，重型运输车辆通行产生的发动机轰鸣、刹车、轮胎摩擦等噪声将对道路两侧村民日常生活产生一定干扰。施工运输车辆噪声具备“偶发、间断、移动”特征，仅在项目施工运输阶段产生，待施工结束、物料运输作业停止后，该噪声影响将随之消失，不存在长期持续性噪声污染。为最大限度降低运输噪声对沿线村民的扰动，项目将在村庄沿线路段设置车辆禁鸣警示标识，严格管控运输车辆行经村庄时禁止鸣笛；同时要求驾驶员途经居民聚居区平稳减速、低速通行，减少车辆加速、急刹产生的瞬时高噪声。落实上述降噪管控措施后，施工运输车辆噪声对周边村民作息、生活的干扰能够得到有效缓解，其环境影响处于可接受范围内。</w:t>
            </w:r>
          </w:p>
          <w:p w14:paraId="1B324E5E">
            <w:pPr>
              <w:bidi w:val="0"/>
              <w:rPr>
                <w:rFonts w:hint="default"/>
                <w:color w:val="auto"/>
                <w:lang w:val="en-US" w:eastAsia="zh-CN"/>
              </w:rPr>
            </w:pPr>
            <w:r>
              <w:rPr>
                <w:rFonts w:hint="default"/>
                <w:color w:val="auto"/>
                <w:lang w:val="en-US" w:eastAsia="zh-CN"/>
              </w:rPr>
              <w:t>为减少施工噪声对周边</w:t>
            </w:r>
            <w:r>
              <w:rPr>
                <w:rFonts w:hint="eastAsia"/>
                <w:color w:val="auto"/>
                <w:lang w:val="en-US" w:eastAsia="zh-CN"/>
              </w:rPr>
              <w:t>环境</w:t>
            </w:r>
            <w:r>
              <w:rPr>
                <w:rFonts w:hint="default"/>
                <w:color w:val="auto"/>
                <w:lang w:val="en-US" w:eastAsia="zh-CN"/>
              </w:rPr>
              <w:t>的影响，本评价要求建设单位在施工期采取禁止夜间施工、</w:t>
            </w:r>
            <w:r>
              <w:rPr>
                <w:rFonts w:hint="eastAsia"/>
                <w:color w:val="auto"/>
                <w:lang w:val="en-US" w:eastAsia="zh-CN"/>
              </w:rPr>
              <w:t>尽量</w:t>
            </w:r>
            <w:r>
              <w:rPr>
                <w:rFonts w:hint="default"/>
                <w:color w:val="auto"/>
                <w:lang w:val="en-US" w:eastAsia="zh-CN"/>
              </w:rPr>
              <w:t>避免多设备同时施工措施，采取上述措施后，可有效降低</w:t>
            </w:r>
            <w:r>
              <w:rPr>
                <w:rFonts w:hint="eastAsia"/>
                <w:color w:val="auto"/>
                <w:lang w:val="en-US" w:eastAsia="zh-CN"/>
              </w:rPr>
              <w:t>项目</w:t>
            </w:r>
            <w:r>
              <w:rPr>
                <w:rFonts w:hint="default"/>
                <w:color w:val="auto"/>
                <w:lang w:val="en-US" w:eastAsia="zh-CN"/>
              </w:rPr>
              <w:t>施工对声环境的影响。加之项目单片区施工时间短，施工噪声影响将随施工结束而消失，故施工噪声对周边环境影响可接受。</w:t>
            </w:r>
          </w:p>
          <w:p w14:paraId="3EE859D4">
            <w:pPr>
              <w:pStyle w:val="6"/>
              <w:bidi w:val="0"/>
              <w:ind w:left="0" w:leftChars="0" w:firstLine="0" w:firstLineChars="0"/>
              <w:rPr>
                <w:rFonts w:hint="eastAsia"/>
                <w:b/>
                <w:bCs/>
                <w:color w:val="auto"/>
              </w:rPr>
            </w:pPr>
            <w:r>
              <w:rPr>
                <w:rFonts w:hint="eastAsia"/>
                <w:b/>
                <w:bCs/>
                <w:color w:val="auto"/>
                <w:lang w:val="en-US" w:eastAsia="zh-CN"/>
              </w:rPr>
              <w:t>6.</w:t>
            </w:r>
            <w:r>
              <w:rPr>
                <w:rFonts w:hint="eastAsia"/>
                <w:b/>
                <w:bCs/>
                <w:color w:val="auto"/>
              </w:rPr>
              <w:t>施工期固体废弃物环境影响分析</w:t>
            </w:r>
          </w:p>
          <w:p w14:paraId="6456712A">
            <w:pPr>
              <w:bidi w:val="0"/>
              <w:rPr>
                <w:rFonts w:hint="eastAsia"/>
                <w:color w:val="auto"/>
              </w:rPr>
            </w:pPr>
            <w:r>
              <w:rPr>
                <w:rFonts w:hint="eastAsia"/>
                <w:color w:val="auto"/>
              </w:rPr>
              <w:t>（1）施工期弃渣影响分析</w:t>
            </w:r>
          </w:p>
          <w:p w14:paraId="691AE313">
            <w:pPr>
              <w:bidi w:val="0"/>
              <w:rPr>
                <w:rFonts w:hint="default" w:eastAsia="宋体"/>
                <w:color w:val="auto"/>
                <w:highlight w:val="none"/>
                <w:lang w:val="en-US" w:eastAsia="zh-CN"/>
              </w:rPr>
            </w:pPr>
            <w:r>
              <w:rPr>
                <w:rFonts w:hint="eastAsia"/>
                <w:color w:val="auto"/>
                <w:highlight w:val="none"/>
              </w:rPr>
              <w:t>工程施工期产生的表土暂存于各风机安装平台区、施工道路的临时堆土点，施工结束后用作绿化覆土。</w:t>
            </w:r>
            <w:r>
              <w:rPr>
                <w:rFonts w:hint="eastAsia"/>
                <w:color w:val="auto"/>
                <w:highlight w:val="none"/>
                <w:lang w:val="en-US" w:eastAsia="zh-CN"/>
              </w:rPr>
              <w:t>升压站区弃土运输至风机区进场道路回填，运输车辆加盖篷布减少洒落，无额外弃土，不设置弃渣场。</w:t>
            </w:r>
          </w:p>
          <w:p w14:paraId="652CB535">
            <w:pPr>
              <w:bidi w:val="0"/>
              <w:rPr>
                <w:rFonts w:hint="eastAsia"/>
                <w:color w:val="auto"/>
              </w:rPr>
            </w:pPr>
            <w:r>
              <w:rPr>
                <w:rFonts w:hint="eastAsia"/>
                <w:color w:val="auto"/>
              </w:rPr>
              <w:t>（2）施工期生活垃圾影响分析</w:t>
            </w:r>
          </w:p>
          <w:p w14:paraId="2DEF741D">
            <w:pPr>
              <w:bidi w:val="0"/>
              <w:rPr>
                <w:rFonts w:hint="eastAsia"/>
                <w:color w:val="auto"/>
              </w:rPr>
            </w:pPr>
            <w:r>
              <w:rPr>
                <w:rFonts w:hint="eastAsia"/>
                <w:color w:val="auto"/>
              </w:rPr>
              <w:t>施工人员生活垃圾产生量按0.5kg/人·d计，项目平均施工人员</w:t>
            </w:r>
            <w:r>
              <w:rPr>
                <w:rFonts w:hint="eastAsia"/>
                <w:color w:val="auto"/>
                <w:highlight w:val="none"/>
                <w:lang w:val="en-US" w:eastAsia="zh-CN"/>
              </w:rPr>
              <w:t>2</w:t>
            </w:r>
            <w:r>
              <w:rPr>
                <w:rFonts w:hint="eastAsia"/>
                <w:color w:val="auto"/>
                <w:highlight w:val="none"/>
              </w:rPr>
              <w:t>0人</w:t>
            </w:r>
            <w:r>
              <w:rPr>
                <w:rFonts w:hint="eastAsia"/>
                <w:color w:val="auto"/>
              </w:rPr>
              <w:t>（含施工管理人员），施工期按</w:t>
            </w:r>
            <w:r>
              <w:rPr>
                <w:rFonts w:hint="eastAsia"/>
                <w:color w:val="auto"/>
                <w:lang w:val="en-US" w:eastAsia="zh-CN"/>
              </w:rPr>
              <w:t>6</w:t>
            </w:r>
            <w:r>
              <w:rPr>
                <w:rFonts w:hint="eastAsia"/>
                <w:color w:val="auto"/>
              </w:rPr>
              <w:t>个月计，施工期将产生生活垃圾</w:t>
            </w:r>
            <w:r>
              <w:rPr>
                <w:rFonts w:hint="eastAsia"/>
                <w:color w:val="auto"/>
                <w:lang w:val="en-US" w:eastAsia="zh-CN"/>
              </w:rPr>
              <w:t>1.8</w:t>
            </w:r>
            <w:r>
              <w:rPr>
                <w:rFonts w:hint="eastAsia"/>
                <w:color w:val="auto"/>
              </w:rPr>
              <w:t>t。</w:t>
            </w:r>
          </w:p>
          <w:p w14:paraId="1665FD79">
            <w:pPr>
              <w:bidi w:val="0"/>
              <w:rPr>
                <w:rFonts w:hint="eastAsia"/>
                <w:color w:val="auto"/>
              </w:rPr>
            </w:pPr>
            <w:r>
              <w:rPr>
                <w:rFonts w:hint="eastAsia"/>
                <w:color w:val="auto"/>
              </w:rPr>
              <w:t>本项目不设置施工营场地，施工人员为周边村民或租住当地民房人员，施工人员生活垃圾依托沿线村庄垃圾收集点处置，施工现场生活垃圾经设置的临时垃圾堆放点收集后，运至附近村庄垃圾收集点统一处置；施工管理人员依托升压站，生活垃圾经收集后委托环卫部门统一处置。</w:t>
            </w:r>
          </w:p>
          <w:p w14:paraId="3B714746">
            <w:pPr>
              <w:bidi w:val="0"/>
              <w:rPr>
                <w:rFonts w:hint="eastAsia"/>
                <w:color w:val="auto"/>
              </w:rPr>
            </w:pPr>
            <w:r>
              <w:rPr>
                <w:rFonts w:hint="eastAsia"/>
                <w:color w:val="auto"/>
              </w:rPr>
              <w:t>综上所述，项目施工工期短，施工固体废弃物产生量少，可得到妥善处置，在严格落实环评报告提出的措施后，施工期固体废弃物对周围环境影响较小。</w:t>
            </w:r>
          </w:p>
          <w:p w14:paraId="3D1AF7C6">
            <w:pPr>
              <w:pStyle w:val="6"/>
              <w:bidi w:val="0"/>
              <w:rPr>
                <w:rFonts w:hint="eastAsia"/>
                <w:color w:val="auto"/>
                <w:lang w:val="en-US" w:eastAsia="zh-CN"/>
              </w:rPr>
            </w:pPr>
            <w:r>
              <w:rPr>
                <w:rFonts w:hint="eastAsia"/>
                <w:color w:val="auto"/>
                <w:lang w:eastAsia="zh-CN"/>
              </w:rPr>
              <w:t>（</w:t>
            </w:r>
            <w:r>
              <w:rPr>
                <w:rFonts w:hint="eastAsia"/>
                <w:color w:val="auto"/>
                <w:lang w:val="en-US" w:eastAsia="zh-CN"/>
              </w:rPr>
              <w:t>3</w:t>
            </w:r>
            <w:r>
              <w:rPr>
                <w:rFonts w:hint="eastAsia"/>
                <w:color w:val="auto"/>
                <w:lang w:eastAsia="zh-CN"/>
              </w:rPr>
              <w:t>）</w:t>
            </w:r>
            <w:r>
              <w:rPr>
                <w:rFonts w:hint="eastAsia"/>
                <w:color w:val="auto"/>
                <w:lang w:val="en-US" w:eastAsia="zh-CN"/>
              </w:rPr>
              <w:t>其他施工垃圾</w:t>
            </w:r>
          </w:p>
          <w:p w14:paraId="18BC8B60">
            <w:pPr>
              <w:pStyle w:val="6"/>
              <w:bidi w:val="0"/>
              <w:rPr>
                <w:rFonts w:hint="default"/>
                <w:color w:val="auto"/>
                <w:lang w:val="en-US" w:eastAsia="zh-CN"/>
              </w:rPr>
            </w:pPr>
            <w:r>
              <w:rPr>
                <w:rFonts w:hint="eastAsia"/>
                <w:color w:val="auto"/>
                <w:lang w:val="en-US" w:eastAsia="zh-CN"/>
              </w:rPr>
              <w:t>施工结束后拆除采用板房搭建的材料仓库，对现场遗留的建筑垃圾应分类集中收集，并按国家和地方有关规定定期进行清运处置，施工完成后及时做好迹地清理工作。</w:t>
            </w:r>
          </w:p>
          <w:p w14:paraId="3CE571B3">
            <w:pPr>
              <w:pStyle w:val="6"/>
              <w:bidi w:val="0"/>
              <w:ind w:left="0" w:leftChars="0" w:firstLine="0" w:firstLineChars="0"/>
              <w:rPr>
                <w:b/>
                <w:bCs/>
                <w:color w:val="auto"/>
              </w:rPr>
            </w:pPr>
            <w:r>
              <w:rPr>
                <w:rFonts w:hint="eastAsia"/>
                <w:b/>
                <w:bCs/>
                <w:color w:val="auto"/>
                <w:lang w:val="en-US" w:eastAsia="zh-CN"/>
              </w:rPr>
              <w:t>7.</w:t>
            </w:r>
            <w:r>
              <w:rPr>
                <w:rFonts w:hint="eastAsia"/>
                <w:b/>
                <w:bCs/>
                <w:color w:val="auto"/>
              </w:rPr>
              <w:t>施工期生态环境影响分析</w:t>
            </w:r>
          </w:p>
          <w:p w14:paraId="247429F9">
            <w:pPr>
              <w:bidi w:val="0"/>
              <w:rPr>
                <w:rFonts w:hint="eastAsia"/>
                <w:color w:val="auto"/>
                <w:highlight w:val="none"/>
              </w:rPr>
            </w:pPr>
            <w:r>
              <w:rPr>
                <w:rFonts w:hint="eastAsia"/>
                <w:color w:val="auto"/>
                <w:highlight w:val="none"/>
              </w:rPr>
              <w:t>本工程的生态环境影响主要集中在施工期间，施工过程中将进行土石方的填挖，包括风电机组基础施工、箱式变基础施工、集电线路施工、施工营地施工、道路修建等使原有土壤结构发生改变，破坏原有地表植被，造成该区域植被组成与结构发生改变，从而导致植物生物量损失，发生水土流失。</w:t>
            </w:r>
          </w:p>
          <w:p w14:paraId="370A7CC2">
            <w:pPr>
              <w:bidi w:val="0"/>
              <w:rPr>
                <w:rFonts w:hint="eastAsia"/>
                <w:color w:val="auto"/>
                <w:highlight w:val="none"/>
                <w:lang w:val="en-US" w:eastAsia="zh-CN"/>
              </w:rPr>
            </w:pPr>
            <w:r>
              <w:rPr>
                <w:rFonts w:hint="eastAsia"/>
                <w:color w:val="auto"/>
                <w:highlight w:val="none"/>
                <w:lang w:val="en-US" w:eastAsia="zh-CN"/>
              </w:rPr>
              <w:t>根据《西泽风电场（二期）生态环境影响专项评价报告》：</w:t>
            </w:r>
          </w:p>
          <w:p w14:paraId="2EB7F5B5">
            <w:pPr>
              <w:bidi w:val="0"/>
              <w:rPr>
                <w:color w:val="auto"/>
                <w:sz w:val="24"/>
                <w:szCs w:val="22"/>
                <w:highlight w:val="none"/>
              </w:rPr>
            </w:pPr>
            <w:r>
              <w:rPr>
                <w:rFonts w:hint="eastAsia"/>
                <w:color w:val="auto"/>
                <w:sz w:val="24"/>
                <w:szCs w:val="22"/>
                <w:highlight w:val="none"/>
              </w:rPr>
              <w:t>项目</w:t>
            </w:r>
            <w:r>
              <w:rPr>
                <w:color w:val="auto"/>
                <w:sz w:val="24"/>
                <w:szCs w:val="22"/>
                <w:highlight w:val="none"/>
              </w:rPr>
              <w:t>永久占地面积</w:t>
            </w:r>
            <w:r>
              <w:rPr>
                <w:rFonts w:hint="eastAsia"/>
                <w:color w:val="auto"/>
                <w:sz w:val="24"/>
                <w:szCs w:val="22"/>
                <w:highlight w:val="none"/>
                <w:lang w:val="en-US" w:eastAsia="zh-CN"/>
              </w:rPr>
              <w:t>0.1596</w:t>
            </w:r>
            <w:r>
              <w:rPr>
                <w:color w:val="auto"/>
                <w:sz w:val="24"/>
                <w:szCs w:val="22"/>
                <w:highlight w:val="none"/>
              </w:rPr>
              <w:t>hm</w:t>
            </w:r>
            <w:r>
              <w:rPr>
                <w:color w:val="auto"/>
                <w:sz w:val="24"/>
                <w:szCs w:val="22"/>
                <w:highlight w:val="none"/>
                <w:vertAlign w:val="superscript"/>
              </w:rPr>
              <w:t>2</w:t>
            </w:r>
            <w:r>
              <w:rPr>
                <w:color w:val="auto"/>
                <w:sz w:val="24"/>
                <w:szCs w:val="22"/>
                <w:highlight w:val="none"/>
              </w:rPr>
              <w:t>，占评价区面积的</w:t>
            </w:r>
            <w:r>
              <w:rPr>
                <w:rFonts w:hint="eastAsia"/>
                <w:color w:val="auto"/>
                <w:sz w:val="24"/>
                <w:szCs w:val="22"/>
                <w:highlight w:val="none"/>
              </w:rPr>
              <w:t>0.0</w:t>
            </w:r>
            <w:r>
              <w:rPr>
                <w:rFonts w:hint="eastAsia"/>
                <w:color w:val="auto"/>
                <w:sz w:val="24"/>
                <w:szCs w:val="22"/>
                <w:highlight w:val="none"/>
                <w:lang w:val="en-US" w:eastAsia="zh-CN"/>
              </w:rPr>
              <w:t>15</w:t>
            </w:r>
            <w:r>
              <w:rPr>
                <w:color w:val="auto"/>
                <w:sz w:val="24"/>
                <w:szCs w:val="22"/>
                <w:highlight w:val="none"/>
              </w:rPr>
              <w:t>%。根据现场调查及评价区植被分布图测算，风电场永久占用</w:t>
            </w:r>
            <w:r>
              <w:rPr>
                <w:rFonts w:hint="eastAsia"/>
                <w:color w:val="auto"/>
                <w:sz w:val="24"/>
                <w:szCs w:val="22"/>
                <w:highlight w:val="none"/>
              </w:rPr>
              <w:t>暖温性针叶林</w:t>
            </w:r>
            <w:r>
              <w:rPr>
                <w:rFonts w:hint="eastAsia"/>
                <w:color w:val="auto"/>
                <w:sz w:val="24"/>
                <w:szCs w:val="22"/>
                <w:highlight w:val="none"/>
                <w:lang w:val="en-US" w:eastAsia="zh-CN"/>
              </w:rPr>
              <w:t>0.0055</w:t>
            </w:r>
            <w:r>
              <w:rPr>
                <w:color w:val="auto"/>
                <w:sz w:val="24"/>
                <w:szCs w:val="22"/>
                <w:highlight w:val="none"/>
              </w:rPr>
              <w:t>hm</w:t>
            </w:r>
            <w:r>
              <w:rPr>
                <w:color w:val="auto"/>
                <w:sz w:val="24"/>
                <w:szCs w:val="22"/>
                <w:highlight w:val="none"/>
                <w:vertAlign w:val="superscript"/>
              </w:rPr>
              <w:t>2</w:t>
            </w:r>
            <w:r>
              <w:rPr>
                <w:color w:val="auto"/>
                <w:sz w:val="24"/>
                <w:szCs w:val="22"/>
                <w:highlight w:val="none"/>
              </w:rPr>
              <w:t>，占评价区同类植被面积的</w:t>
            </w:r>
            <w:r>
              <w:rPr>
                <w:rFonts w:hint="eastAsia"/>
                <w:color w:val="auto"/>
                <w:sz w:val="24"/>
                <w:szCs w:val="22"/>
                <w:highlight w:val="none"/>
              </w:rPr>
              <w:t>0.0</w:t>
            </w:r>
            <w:r>
              <w:rPr>
                <w:rFonts w:hint="eastAsia"/>
                <w:color w:val="auto"/>
                <w:sz w:val="24"/>
                <w:szCs w:val="22"/>
                <w:highlight w:val="none"/>
                <w:lang w:val="en-US" w:eastAsia="zh-CN"/>
              </w:rPr>
              <w:t>01</w:t>
            </w:r>
            <w:r>
              <w:rPr>
                <w:color w:val="auto"/>
                <w:sz w:val="24"/>
                <w:szCs w:val="22"/>
                <w:highlight w:val="none"/>
              </w:rPr>
              <w:t>%；占用</w:t>
            </w:r>
            <w:r>
              <w:rPr>
                <w:rFonts w:hint="eastAsia"/>
                <w:color w:val="auto"/>
                <w:sz w:val="24"/>
                <w:szCs w:val="22"/>
                <w:highlight w:val="none"/>
                <w:lang w:val="en-US" w:eastAsia="zh-CN"/>
              </w:rPr>
              <w:t>禾草草丛</w:t>
            </w:r>
            <w:r>
              <w:rPr>
                <w:color w:val="auto"/>
                <w:sz w:val="24"/>
                <w:szCs w:val="22"/>
                <w:highlight w:val="none"/>
              </w:rPr>
              <w:t>0.</w:t>
            </w:r>
            <w:r>
              <w:rPr>
                <w:rFonts w:hint="eastAsia"/>
                <w:color w:val="auto"/>
                <w:sz w:val="24"/>
                <w:szCs w:val="22"/>
                <w:highlight w:val="none"/>
                <w:lang w:val="en-US" w:eastAsia="zh-CN"/>
              </w:rPr>
              <w:t>1541</w:t>
            </w:r>
            <w:r>
              <w:rPr>
                <w:color w:val="auto"/>
                <w:sz w:val="24"/>
                <w:szCs w:val="22"/>
                <w:highlight w:val="none"/>
              </w:rPr>
              <w:t>hm</w:t>
            </w:r>
            <w:r>
              <w:rPr>
                <w:color w:val="auto"/>
                <w:sz w:val="24"/>
                <w:szCs w:val="22"/>
                <w:highlight w:val="none"/>
                <w:vertAlign w:val="superscript"/>
              </w:rPr>
              <w:t>2</w:t>
            </w:r>
            <w:r>
              <w:rPr>
                <w:color w:val="auto"/>
                <w:sz w:val="24"/>
                <w:szCs w:val="22"/>
                <w:highlight w:val="none"/>
              </w:rPr>
              <w:t>，占评价区同类植被面积的</w:t>
            </w:r>
            <w:r>
              <w:rPr>
                <w:rFonts w:hint="eastAsia"/>
                <w:color w:val="auto"/>
                <w:sz w:val="24"/>
                <w:szCs w:val="22"/>
                <w:highlight w:val="none"/>
                <w:lang w:val="en-US" w:eastAsia="zh-CN"/>
              </w:rPr>
              <w:t>0.094</w:t>
            </w:r>
            <w:r>
              <w:rPr>
                <w:color w:val="auto"/>
                <w:sz w:val="24"/>
                <w:szCs w:val="22"/>
                <w:highlight w:val="none"/>
              </w:rPr>
              <w:t>%。整体看，本工程永久</w:t>
            </w:r>
            <w:r>
              <w:rPr>
                <w:rFonts w:hint="eastAsia"/>
                <w:color w:val="auto"/>
                <w:sz w:val="24"/>
                <w:szCs w:val="22"/>
                <w:highlight w:val="none"/>
              </w:rPr>
              <w:t>占地仅</w:t>
            </w:r>
            <w:r>
              <w:rPr>
                <w:color w:val="auto"/>
                <w:sz w:val="24"/>
                <w:szCs w:val="22"/>
                <w:highlight w:val="none"/>
              </w:rPr>
              <w:t>占用评价区</w:t>
            </w:r>
            <w:r>
              <w:rPr>
                <w:rFonts w:hint="eastAsia"/>
                <w:color w:val="auto"/>
                <w:sz w:val="24"/>
                <w:szCs w:val="22"/>
                <w:highlight w:val="none"/>
                <w:lang w:val="en-US" w:eastAsia="zh-CN"/>
              </w:rPr>
              <w:t>0.139</w:t>
            </w:r>
            <w:r>
              <w:rPr>
                <w:color w:val="auto"/>
                <w:sz w:val="24"/>
                <w:szCs w:val="22"/>
                <w:highlight w:val="none"/>
              </w:rPr>
              <w:t>%的土地，永久占地影响较小。</w:t>
            </w:r>
            <w:r>
              <w:rPr>
                <w:rFonts w:hint="eastAsia"/>
                <w:color w:val="auto"/>
                <w:sz w:val="24"/>
                <w:highlight w:val="none"/>
                <w:lang w:val="en-US" w:eastAsia="zh-CN"/>
              </w:rPr>
              <w:t>项目</w:t>
            </w:r>
            <w:r>
              <w:rPr>
                <w:color w:val="auto"/>
                <w:sz w:val="24"/>
                <w:highlight w:val="none"/>
              </w:rPr>
              <w:t>临时占地面积</w:t>
            </w:r>
            <w:r>
              <w:rPr>
                <w:rFonts w:hint="eastAsia"/>
                <w:color w:val="auto"/>
                <w:sz w:val="24"/>
                <w:highlight w:val="none"/>
                <w:lang w:val="en-US" w:eastAsia="zh-CN"/>
              </w:rPr>
              <w:t>2.7751</w:t>
            </w:r>
            <w:r>
              <w:rPr>
                <w:color w:val="auto"/>
                <w:sz w:val="24"/>
                <w:highlight w:val="none"/>
              </w:rPr>
              <w:t>hm</w:t>
            </w:r>
            <w:r>
              <w:rPr>
                <w:color w:val="auto"/>
                <w:sz w:val="24"/>
                <w:highlight w:val="none"/>
                <w:vertAlign w:val="superscript"/>
              </w:rPr>
              <w:t>2</w:t>
            </w:r>
            <w:r>
              <w:rPr>
                <w:color w:val="auto"/>
                <w:sz w:val="24"/>
                <w:highlight w:val="none"/>
              </w:rPr>
              <w:t>，显著大于永久占地面积</w:t>
            </w:r>
            <w:r>
              <w:rPr>
                <w:rFonts w:hint="eastAsia"/>
                <w:color w:val="auto"/>
                <w:kern w:val="0"/>
                <w:sz w:val="24"/>
                <w:highlight w:val="none"/>
                <w:lang w:val="en-US" w:eastAsia="zh-CN"/>
              </w:rPr>
              <w:t>0.1596</w:t>
            </w:r>
            <w:r>
              <w:rPr>
                <w:color w:val="auto"/>
                <w:kern w:val="0"/>
                <w:sz w:val="24"/>
                <w:highlight w:val="none"/>
              </w:rPr>
              <w:t>h</w:t>
            </w:r>
            <w:r>
              <w:rPr>
                <w:color w:val="auto"/>
                <w:sz w:val="24"/>
                <w:highlight w:val="none"/>
              </w:rPr>
              <w:t>m</w:t>
            </w:r>
            <w:r>
              <w:rPr>
                <w:color w:val="auto"/>
                <w:sz w:val="24"/>
                <w:highlight w:val="none"/>
                <w:vertAlign w:val="superscript"/>
              </w:rPr>
              <w:t>2</w:t>
            </w:r>
            <w:r>
              <w:rPr>
                <w:color w:val="auto"/>
                <w:sz w:val="24"/>
                <w:highlight w:val="none"/>
              </w:rPr>
              <w:t>，但因上述临时占地在工程竣工后，通过实施植被恢复，可以逐渐恢复到施工前的植被状态，故而对评价区植被的影响和对其生物多样性的影响可以逐渐得到恢复。</w:t>
            </w:r>
          </w:p>
          <w:p w14:paraId="1402C465">
            <w:pPr>
              <w:pStyle w:val="41"/>
              <w:bidi w:val="0"/>
              <w:rPr>
                <w:color w:val="auto"/>
                <w:highlight w:val="none"/>
              </w:rPr>
            </w:pPr>
            <w:r>
              <w:rPr>
                <w:color w:val="auto"/>
                <w:highlight w:val="none"/>
              </w:rPr>
              <w:t>工程评价区分布野生维管束植物种类多数是当地以及滇东、滇东北地区乃至云南省常见的种类，这些常见植物在评价区分布很广，虽然其中部分个体会随着工程建设而消失，</w:t>
            </w:r>
            <w:r>
              <w:rPr>
                <w:rFonts w:hint="eastAsia"/>
                <w:color w:val="auto"/>
                <w:highlight w:val="none"/>
                <w:lang w:val="en-US" w:eastAsia="zh-CN"/>
              </w:rPr>
              <w:t>会对</w:t>
            </w:r>
            <w:r>
              <w:rPr>
                <w:color w:val="auto"/>
                <w:highlight w:val="none"/>
              </w:rPr>
              <w:t>评价区的生物多样性产生一定的负面影响</w:t>
            </w:r>
            <w:r>
              <w:rPr>
                <w:rFonts w:hint="eastAsia"/>
                <w:color w:val="auto"/>
                <w:highlight w:val="none"/>
                <w:lang w:eastAsia="zh-CN"/>
              </w:rPr>
              <w:t>，</w:t>
            </w:r>
            <w:r>
              <w:rPr>
                <w:color w:val="auto"/>
                <w:highlight w:val="none"/>
              </w:rPr>
              <w:t>但是由于它们是一些广布种，甚至是阳性杂草，在评价区内外分布广泛，受工程影响的个体较少，没有一个物种种群结构</w:t>
            </w:r>
            <w:r>
              <w:rPr>
                <w:rFonts w:hint="eastAsia"/>
                <w:color w:val="auto"/>
                <w:highlight w:val="none"/>
                <w:lang w:eastAsia="zh-CN"/>
              </w:rPr>
              <w:t>的</w:t>
            </w:r>
            <w:r>
              <w:rPr>
                <w:rFonts w:hint="eastAsia"/>
                <w:color w:val="auto"/>
                <w:highlight w:val="none"/>
                <w:lang w:val="en-US" w:eastAsia="zh-CN"/>
              </w:rPr>
              <w:t>繁衍</w:t>
            </w:r>
            <w:r>
              <w:rPr>
                <w:color w:val="auto"/>
                <w:highlight w:val="none"/>
              </w:rPr>
              <w:t>会因此受到显著影响，更不会</w:t>
            </w:r>
            <w:r>
              <w:rPr>
                <w:rFonts w:hint="eastAsia"/>
                <w:color w:val="auto"/>
                <w:highlight w:val="none"/>
                <w:lang w:val="en-US" w:eastAsia="zh-CN"/>
              </w:rPr>
              <w:t>灭绝</w:t>
            </w:r>
            <w:r>
              <w:rPr>
                <w:color w:val="auto"/>
                <w:highlight w:val="none"/>
              </w:rPr>
              <w:t>。因此，该工程建设对评价区的植物种类的影响</w:t>
            </w:r>
            <w:r>
              <w:rPr>
                <w:rFonts w:hint="eastAsia"/>
                <w:color w:val="auto"/>
                <w:highlight w:val="none"/>
              </w:rPr>
              <w:t>小</w:t>
            </w:r>
            <w:r>
              <w:rPr>
                <w:color w:val="auto"/>
                <w:highlight w:val="none"/>
              </w:rPr>
              <w:t>。</w:t>
            </w:r>
          </w:p>
          <w:p w14:paraId="6D131564">
            <w:pPr>
              <w:numPr>
                <w:ilvl w:val="0"/>
                <w:numId w:val="0"/>
              </w:numPr>
              <w:spacing w:line="360" w:lineRule="auto"/>
              <w:ind w:firstLine="480" w:firstLineChars="200"/>
              <w:rPr>
                <w:rFonts w:ascii="宋体" w:hAnsi="宋体" w:eastAsia="宋体" w:cs="宋体"/>
                <w:b w:val="0"/>
                <w:bCs w:val="0"/>
                <w:color w:val="auto"/>
                <w:sz w:val="24"/>
                <w:szCs w:val="24"/>
                <w:highlight w:val="none"/>
              </w:rPr>
            </w:pPr>
            <w:r>
              <w:rPr>
                <w:rFonts w:ascii="宋体" w:hAnsi="宋体" w:eastAsia="宋体" w:cs="宋体"/>
                <w:b w:val="0"/>
                <w:bCs w:val="0"/>
                <w:color w:val="auto"/>
                <w:sz w:val="24"/>
                <w:szCs w:val="24"/>
                <w:highlight w:val="none"/>
              </w:rPr>
              <w:t>施工活动导致施工区局部范围内的环境发生变化，其中也包括植被的变化，可能改变</w:t>
            </w:r>
            <w:r>
              <w:rPr>
                <w:rFonts w:hint="eastAsia" w:ascii="宋体" w:hAnsi="宋体" w:eastAsia="宋体" w:cs="宋体"/>
                <w:b w:val="0"/>
                <w:bCs w:val="0"/>
                <w:color w:val="auto"/>
                <w:sz w:val="24"/>
                <w:szCs w:val="24"/>
                <w:highlight w:val="none"/>
                <w:lang w:val="en-US" w:eastAsia="zh-CN"/>
              </w:rPr>
              <w:t>部分</w:t>
            </w:r>
            <w:r>
              <w:rPr>
                <w:rFonts w:ascii="宋体" w:hAnsi="宋体" w:eastAsia="宋体" w:cs="宋体"/>
                <w:b w:val="0"/>
                <w:bCs w:val="0"/>
                <w:color w:val="auto"/>
                <w:sz w:val="24"/>
                <w:szCs w:val="24"/>
                <w:highlight w:val="none"/>
              </w:rPr>
              <w:t>动物的栖息环境，将影响兽类、爬行类和两栖类等动物原有的</w:t>
            </w:r>
            <w:r>
              <w:rPr>
                <w:rFonts w:hint="eastAsia" w:ascii="宋体" w:hAnsi="宋体" w:eastAsia="宋体" w:cs="宋体"/>
                <w:b w:val="0"/>
                <w:bCs w:val="0"/>
                <w:color w:val="auto"/>
                <w:sz w:val="24"/>
                <w:szCs w:val="24"/>
                <w:highlight w:val="none"/>
                <w:lang w:val="en-US" w:eastAsia="zh-CN"/>
              </w:rPr>
              <w:t>食源、繁殖地和</w:t>
            </w:r>
            <w:r>
              <w:rPr>
                <w:rFonts w:ascii="宋体" w:hAnsi="宋体" w:eastAsia="宋体" w:cs="宋体"/>
                <w:b w:val="0"/>
                <w:bCs w:val="0"/>
                <w:color w:val="auto"/>
                <w:sz w:val="24"/>
                <w:szCs w:val="24"/>
                <w:highlight w:val="none"/>
              </w:rPr>
              <w:t>栖息地等</w:t>
            </w:r>
            <w:r>
              <w:rPr>
                <w:rFonts w:hint="eastAsia" w:ascii="宋体" w:hAnsi="宋体" w:cs="宋体"/>
                <w:b w:val="0"/>
                <w:bCs w:val="0"/>
                <w:color w:val="auto"/>
                <w:sz w:val="24"/>
                <w:szCs w:val="24"/>
                <w:highlight w:val="none"/>
                <w:lang w:eastAsia="zh-CN"/>
              </w:rPr>
              <w:t>。</w:t>
            </w:r>
            <w:r>
              <w:rPr>
                <w:color w:val="auto"/>
                <w:sz w:val="24"/>
                <w:highlight w:val="none"/>
              </w:rPr>
              <w:t>施工机械噪声和人员活动噪声</w:t>
            </w:r>
            <w:r>
              <w:rPr>
                <w:rFonts w:hint="eastAsia"/>
                <w:color w:val="auto"/>
                <w:sz w:val="24"/>
                <w:highlight w:val="none"/>
                <w:lang w:val="en-US" w:eastAsia="zh-CN"/>
              </w:rPr>
              <w:t>较大，</w:t>
            </w:r>
            <w:r>
              <w:rPr>
                <w:rFonts w:ascii="宋体" w:hAnsi="宋体" w:eastAsia="宋体" w:cs="宋体"/>
                <w:b w:val="0"/>
                <w:bCs w:val="0"/>
                <w:color w:val="auto"/>
                <w:sz w:val="24"/>
                <w:szCs w:val="24"/>
                <w:highlight w:val="none"/>
              </w:rPr>
              <w:t>驱使动物远离施工现场，选择适宜的生境</w:t>
            </w:r>
            <w:r>
              <w:rPr>
                <w:rFonts w:hint="eastAsia" w:ascii="宋体" w:hAnsi="宋体" w:cs="宋体"/>
                <w:b w:val="0"/>
                <w:bCs w:val="0"/>
                <w:color w:val="auto"/>
                <w:sz w:val="24"/>
                <w:szCs w:val="24"/>
                <w:highlight w:val="none"/>
                <w:lang w:val="en-US" w:eastAsia="zh-CN"/>
              </w:rPr>
              <w:t>活动，</w:t>
            </w:r>
            <w:r>
              <w:rPr>
                <w:rFonts w:ascii="宋体" w:hAnsi="宋体" w:eastAsia="宋体" w:cs="宋体"/>
                <w:b w:val="0"/>
                <w:bCs w:val="0"/>
                <w:color w:val="auto"/>
                <w:sz w:val="24"/>
                <w:szCs w:val="24"/>
                <w:highlight w:val="none"/>
              </w:rPr>
              <w:t>不会造成动物大量直接死亡。待施工结束，这些动物又会回迁到该</w:t>
            </w:r>
            <w:r>
              <w:rPr>
                <w:rFonts w:hint="eastAsia" w:ascii="宋体" w:hAnsi="宋体" w:eastAsia="宋体" w:cs="宋体"/>
                <w:b w:val="0"/>
                <w:bCs w:val="0"/>
                <w:color w:val="auto"/>
                <w:sz w:val="24"/>
                <w:szCs w:val="24"/>
                <w:highlight w:val="none"/>
                <w:lang w:val="en-US" w:eastAsia="zh-CN"/>
              </w:rPr>
              <w:t>区域</w:t>
            </w:r>
            <w:r>
              <w:rPr>
                <w:rFonts w:ascii="宋体" w:hAnsi="宋体" w:eastAsia="宋体" w:cs="宋体"/>
                <w:b w:val="0"/>
                <w:bCs w:val="0"/>
                <w:color w:val="auto"/>
                <w:sz w:val="24"/>
                <w:szCs w:val="24"/>
                <w:highlight w:val="none"/>
              </w:rPr>
              <w:t>活动。</w:t>
            </w:r>
          </w:p>
          <w:p w14:paraId="3736A9FC">
            <w:pPr>
              <w:pStyle w:val="41"/>
              <w:bidi w:val="0"/>
              <w:rPr>
                <w:rFonts w:hint="default"/>
                <w:color w:val="auto"/>
                <w:highlight w:val="yellow"/>
                <w:lang w:val="en-US" w:eastAsia="zh-CN"/>
              </w:rPr>
            </w:pPr>
            <w:r>
              <w:rPr>
                <w:rFonts w:hint="eastAsia"/>
                <w:color w:val="auto"/>
                <w:highlight w:val="none"/>
                <w:lang w:val="en-US" w:eastAsia="zh-CN"/>
              </w:rPr>
              <w:t>项目与生态保护红线最近距离约为4m，施工期间做好施工人员管理和约束措施，几乎不会对生态保护红线造成影响，项目XZB16风机吊装平台占用省级公益林0.0338hm</w:t>
            </w:r>
            <w:r>
              <w:rPr>
                <w:rFonts w:hint="eastAsia"/>
                <w:color w:val="auto"/>
                <w:highlight w:val="none"/>
                <w:vertAlign w:val="superscript"/>
                <w:lang w:val="en-US" w:eastAsia="zh-CN"/>
              </w:rPr>
              <w:t>2</w:t>
            </w:r>
            <w:r>
              <w:rPr>
                <w:rFonts w:hint="eastAsia"/>
                <w:color w:val="auto"/>
                <w:highlight w:val="none"/>
                <w:lang w:val="en-US" w:eastAsia="zh-CN"/>
              </w:rPr>
              <w:t>，占用的省级公益林和天然乔木林地植被类型为暖温性针叶林，植被群落以云南松群落为主，这两种植被类型生物多样性不高且在区域内广泛分布，对区域内的省级公益林和天然乔木林地影响可接受。</w:t>
            </w:r>
          </w:p>
          <w:p w14:paraId="335E59E1">
            <w:pPr>
              <w:bidi w:val="0"/>
              <w:rPr>
                <w:rFonts w:hint="eastAsia"/>
                <w:color w:val="auto"/>
                <w:highlight w:val="none"/>
              </w:rPr>
            </w:pPr>
            <w:r>
              <w:rPr>
                <w:rFonts w:hint="eastAsia"/>
                <w:color w:val="auto"/>
                <w:highlight w:val="none"/>
              </w:rPr>
              <w:t>总体上说，西泽风电场</w:t>
            </w:r>
            <w:r>
              <w:rPr>
                <w:rFonts w:hint="eastAsia"/>
                <w:color w:val="auto"/>
                <w:highlight w:val="none"/>
                <w:lang w:eastAsia="zh-CN"/>
              </w:rPr>
              <w:t>（</w:t>
            </w:r>
            <w:r>
              <w:rPr>
                <w:rFonts w:hint="eastAsia"/>
                <w:color w:val="auto"/>
                <w:highlight w:val="none"/>
                <w:lang w:val="en-US" w:eastAsia="zh-CN"/>
              </w:rPr>
              <w:t>二期</w:t>
            </w:r>
            <w:r>
              <w:rPr>
                <w:rFonts w:hint="eastAsia"/>
                <w:color w:val="auto"/>
                <w:highlight w:val="none"/>
                <w:lang w:eastAsia="zh-CN"/>
              </w:rPr>
              <w:t>）</w:t>
            </w:r>
            <w:r>
              <w:rPr>
                <w:rFonts w:hint="eastAsia"/>
                <w:color w:val="auto"/>
                <w:highlight w:val="none"/>
                <w:lang w:val="en-US" w:eastAsia="zh-CN"/>
              </w:rPr>
              <w:t>工程</w:t>
            </w:r>
            <w:r>
              <w:rPr>
                <w:rFonts w:hint="eastAsia"/>
                <w:color w:val="auto"/>
                <w:highlight w:val="none"/>
              </w:rPr>
              <w:t>的建设虽然对评价区</w:t>
            </w:r>
            <w:r>
              <w:rPr>
                <w:rFonts w:hint="eastAsia"/>
                <w:color w:val="auto"/>
                <w:highlight w:val="none"/>
                <w:lang w:val="en-US" w:eastAsia="zh-CN"/>
              </w:rPr>
              <w:t>土地利用、</w:t>
            </w:r>
            <w:r>
              <w:rPr>
                <w:rFonts w:hint="eastAsia"/>
                <w:color w:val="auto"/>
                <w:highlight w:val="none"/>
              </w:rPr>
              <w:t>植被和</w:t>
            </w:r>
            <w:r>
              <w:rPr>
                <w:rFonts w:hint="eastAsia"/>
                <w:color w:val="auto"/>
                <w:highlight w:val="none"/>
                <w:lang w:eastAsia="zh-CN"/>
              </w:rPr>
              <w:t>植物</w:t>
            </w:r>
            <w:r>
              <w:rPr>
                <w:rFonts w:hint="eastAsia"/>
                <w:color w:val="auto"/>
                <w:highlight w:val="none"/>
                <w:lang w:val="en-US" w:eastAsia="zh-CN"/>
              </w:rPr>
              <w:t>资源、动物等</w:t>
            </w:r>
            <w:r>
              <w:rPr>
                <w:rFonts w:hint="eastAsia"/>
                <w:color w:val="auto"/>
                <w:highlight w:val="none"/>
              </w:rPr>
              <w:t>产生一定的不利影响，但影响范围和程度有限，不会使评价区内的物种的空间分布格局和遗传结构发生明显的改变，不会造成评价区的植被类型</w:t>
            </w:r>
            <w:r>
              <w:rPr>
                <w:rFonts w:hint="eastAsia"/>
                <w:color w:val="auto"/>
                <w:highlight w:val="none"/>
                <w:lang w:val="en-US" w:eastAsia="zh-CN"/>
              </w:rPr>
              <w:t>或</w:t>
            </w:r>
            <w:r>
              <w:rPr>
                <w:rFonts w:hint="eastAsia"/>
                <w:color w:val="auto"/>
                <w:highlight w:val="none"/>
              </w:rPr>
              <w:t>某一种物种在该区域的消失</w:t>
            </w:r>
            <w:r>
              <w:rPr>
                <w:rFonts w:hint="eastAsia"/>
                <w:color w:val="auto"/>
                <w:highlight w:val="none"/>
                <w:lang w:eastAsia="zh-CN"/>
              </w:rPr>
              <w:t>，</w:t>
            </w:r>
            <w:r>
              <w:rPr>
                <w:rFonts w:hint="eastAsia"/>
                <w:color w:val="auto"/>
                <w:highlight w:val="none"/>
                <w:lang w:val="en-US" w:eastAsia="zh-CN"/>
              </w:rPr>
              <w:t>对环境的影响整体可接受。具体内容</w:t>
            </w:r>
            <w:r>
              <w:rPr>
                <w:rFonts w:hint="eastAsia"/>
                <w:color w:val="auto"/>
                <w:highlight w:val="none"/>
              </w:rPr>
              <w:t>详见陆生生态影响专项评价。</w:t>
            </w:r>
          </w:p>
        </w:tc>
      </w:tr>
      <w:tr w14:paraId="6BA93F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38" w:hRule="atLeast"/>
          <w:jc w:val="center"/>
        </w:trPr>
        <w:tc>
          <w:tcPr>
            <w:tcW w:w="601" w:type="dxa"/>
            <w:noWrap w:val="0"/>
            <w:tcMar>
              <w:left w:w="28" w:type="dxa"/>
              <w:right w:w="28" w:type="dxa"/>
            </w:tcMar>
            <w:vAlign w:val="center"/>
          </w:tcPr>
          <w:p w14:paraId="179F4C7C">
            <w:pPr>
              <w:pStyle w:val="18"/>
              <w:keepNext w:val="0"/>
              <w:keepLines w:val="0"/>
              <w:pageBreakBefore w:val="0"/>
              <w:kinsoku/>
              <w:wordWrap/>
              <w:overflowPunct/>
              <w:topLinePunct w:val="0"/>
              <w:bidi w:val="0"/>
              <w:adjustRightInd w:val="0"/>
              <w:snapToGrid w:val="0"/>
              <w:spacing w:before="0" w:beforeAutospacing="0" w:after="0" w:afterAutospacing="0"/>
              <w:jc w:val="center"/>
              <w:rPr>
                <w:rFonts w:ascii="Times New Roman" w:hAnsi="Times New Roman" w:eastAsia="宋体" w:cs="宋体"/>
                <w:bCs/>
                <w:color w:val="auto"/>
                <w:kern w:val="2"/>
                <w:szCs w:val="24"/>
                <w:highlight w:val="none"/>
                <w:lang w:val="en-US" w:eastAsia="zh-CN"/>
              </w:rPr>
            </w:pPr>
            <w:r>
              <w:rPr>
                <w:rFonts w:hint="eastAsia" w:ascii="Times New Roman" w:hAnsi="Times New Roman" w:eastAsia="宋体" w:cs="宋体"/>
                <w:bCs/>
                <w:color w:val="auto"/>
                <w:spacing w:val="10"/>
                <w:kern w:val="2"/>
                <w:szCs w:val="24"/>
                <w:highlight w:val="none"/>
                <w:lang w:val="en-US" w:eastAsia="zh-CN"/>
              </w:rPr>
              <w:t>运营期生态环境影响分析</w:t>
            </w:r>
          </w:p>
        </w:tc>
        <w:tc>
          <w:tcPr>
            <w:tcW w:w="8389" w:type="dxa"/>
            <w:noWrap w:val="0"/>
            <w:vAlign w:val="top"/>
          </w:tcPr>
          <w:p w14:paraId="2E500D4D">
            <w:pPr>
              <w:bidi w:val="0"/>
              <w:ind w:left="0" w:leftChars="0" w:firstLine="0" w:firstLineChars="0"/>
              <w:rPr>
                <w:rFonts w:hint="eastAsia"/>
                <w:b/>
                <w:bCs/>
                <w:color w:val="auto"/>
                <w:lang w:val="en-US" w:eastAsia="zh-CN"/>
              </w:rPr>
            </w:pPr>
            <w:r>
              <w:rPr>
                <w:b/>
                <w:bCs/>
                <w:color w:val="auto"/>
              </w:rPr>
              <w:t>1</w:t>
            </w:r>
            <w:r>
              <w:rPr>
                <w:rFonts w:hint="eastAsia"/>
                <w:b/>
                <w:bCs/>
                <w:color w:val="auto"/>
                <w:lang w:val="en-US" w:eastAsia="zh-CN"/>
              </w:rPr>
              <w:t>.</w:t>
            </w:r>
            <w:r>
              <w:rPr>
                <w:b/>
                <w:bCs/>
                <w:color w:val="auto"/>
              </w:rPr>
              <w:t>运营期产污节点</w:t>
            </w:r>
            <w:r>
              <w:rPr>
                <w:rFonts w:hint="eastAsia"/>
                <w:b/>
                <w:bCs/>
                <w:color w:val="auto"/>
                <w:lang w:val="en-US" w:eastAsia="zh-CN"/>
              </w:rPr>
              <w:t>分析</w:t>
            </w:r>
          </w:p>
          <w:p w14:paraId="3B5283F2">
            <w:pPr>
              <w:keepNext w:val="0"/>
              <w:keepLines w:val="0"/>
              <w:pageBreakBefore w:val="0"/>
              <w:kinsoku/>
              <w:wordWrap/>
              <w:overflowPunct/>
              <w:topLinePunct w:val="0"/>
              <w:autoSpaceDE w:val="0"/>
              <w:autoSpaceDN w:val="0"/>
              <w:bidi w:val="0"/>
              <w:adjustRightInd w:val="0"/>
              <w:spacing w:line="360" w:lineRule="auto"/>
              <w:ind w:firstLine="480"/>
              <w:jc w:val="left"/>
              <w:rPr>
                <w:rFonts w:hint="eastAsia"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风电场运营期工艺流程及产污环节如下图所示。</w:t>
            </w:r>
          </w:p>
          <w:p w14:paraId="3C44846F">
            <w:pPr>
              <w:pStyle w:val="27"/>
              <w:bidi w:val="0"/>
              <w:rPr>
                <w:color w:val="auto"/>
              </w:rPr>
            </w:pPr>
            <w:r>
              <w:rPr>
                <w:color w:val="auto"/>
              </w:rPr>
              <w:drawing>
                <wp:inline distT="0" distB="0" distL="114300" distR="114300">
                  <wp:extent cx="4305300" cy="2192020"/>
                  <wp:effectExtent l="0" t="0" r="0" b="1778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1"/>
                          <a:stretch>
                            <a:fillRect/>
                          </a:stretch>
                        </pic:blipFill>
                        <pic:spPr>
                          <a:xfrm>
                            <a:off x="0" y="0"/>
                            <a:ext cx="4305300" cy="2192020"/>
                          </a:xfrm>
                          <a:prstGeom prst="rect">
                            <a:avLst/>
                          </a:prstGeom>
                          <a:noFill/>
                          <a:ln>
                            <a:noFill/>
                          </a:ln>
                        </pic:spPr>
                      </pic:pic>
                    </a:graphicData>
                  </a:graphic>
                </wp:inline>
              </w:drawing>
            </w:r>
          </w:p>
          <w:p w14:paraId="24FEBF4A">
            <w:pPr>
              <w:pStyle w:val="27"/>
              <w:bidi w:val="0"/>
              <w:rPr>
                <w:color w:val="auto"/>
                <w:highlight w:val="none"/>
              </w:rPr>
            </w:pPr>
            <w:r>
              <w:rPr>
                <w:color w:val="auto"/>
                <w:highlight w:val="none"/>
              </w:rPr>
              <w:t>图4-</w:t>
            </w:r>
            <w:r>
              <w:rPr>
                <w:rFonts w:hint="eastAsia"/>
                <w:color w:val="auto"/>
                <w:highlight w:val="none"/>
                <w:lang w:val="en-US" w:eastAsia="zh-CN"/>
              </w:rPr>
              <w:t xml:space="preserve">4  </w:t>
            </w:r>
            <w:r>
              <w:rPr>
                <w:color w:val="auto"/>
                <w:highlight w:val="none"/>
              </w:rPr>
              <w:t>运营期工艺流程及产污节点图</w:t>
            </w:r>
          </w:p>
          <w:p w14:paraId="6563FB46">
            <w:pPr>
              <w:bidi w:val="0"/>
              <w:ind w:left="0" w:leftChars="0" w:firstLine="0" w:firstLineChars="0"/>
              <w:rPr>
                <w:rFonts w:hint="eastAsia"/>
                <w:b/>
                <w:bCs/>
                <w:color w:val="auto"/>
                <w:lang w:val="en-US" w:eastAsia="zh-CN"/>
              </w:rPr>
            </w:pPr>
            <w:r>
              <w:rPr>
                <w:rFonts w:hint="eastAsia"/>
                <w:b/>
                <w:bCs/>
                <w:color w:val="auto"/>
                <w:lang w:val="en-US" w:eastAsia="zh-CN"/>
              </w:rPr>
              <w:t>2.运营期大气环境影响分析</w:t>
            </w:r>
          </w:p>
          <w:p w14:paraId="04720E41">
            <w:pPr>
              <w:pStyle w:val="6"/>
              <w:bidi w:val="0"/>
              <w:rPr>
                <w:rFonts w:hint="eastAsia"/>
                <w:color w:val="auto"/>
                <w:lang w:val="en-US" w:eastAsia="zh-CN"/>
              </w:rPr>
            </w:pPr>
            <w:r>
              <w:rPr>
                <w:rFonts w:hint="eastAsia"/>
                <w:color w:val="auto"/>
                <w:lang w:val="en-US" w:eastAsia="zh-CN"/>
              </w:rPr>
              <w:t>本项目运营期不产生废气，对周围环境影响小。</w:t>
            </w:r>
          </w:p>
          <w:p w14:paraId="617CE105">
            <w:pPr>
              <w:pStyle w:val="6"/>
              <w:bidi w:val="0"/>
              <w:ind w:left="0" w:leftChars="0" w:firstLine="0" w:firstLineChars="0"/>
              <w:rPr>
                <w:rFonts w:hint="eastAsia"/>
                <w:b/>
                <w:bCs/>
                <w:color w:val="auto"/>
                <w:lang w:val="en-US" w:eastAsia="zh-CN"/>
              </w:rPr>
            </w:pPr>
            <w:r>
              <w:rPr>
                <w:rFonts w:hint="eastAsia"/>
                <w:b/>
                <w:bCs/>
                <w:color w:val="auto"/>
                <w:lang w:val="en-US" w:eastAsia="zh-CN"/>
              </w:rPr>
              <w:t>3.运营期水环境影响分析</w:t>
            </w:r>
          </w:p>
          <w:p w14:paraId="16E6ED92">
            <w:pPr>
              <w:pStyle w:val="6"/>
              <w:bidi w:val="0"/>
              <w:rPr>
                <w:rFonts w:hint="default"/>
                <w:b/>
                <w:bCs/>
                <w:color w:val="auto"/>
                <w:lang w:val="en-US" w:eastAsia="zh-CN"/>
              </w:rPr>
            </w:pPr>
            <w:r>
              <w:rPr>
                <w:rFonts w:hint="eastAsia"/>
                <w:color w:val="auto"/>
                <w:lang w:val="en-US" w:eastAsia="zh-CN"/>
              </w:rPr>
              <w:t>项目运营期依托宣威西泽风电场220kV升压站运行，西泽风电场220kV升压站设置有较完备的污水收集处理系统，污水处理系统污水回用不外排。本项目发电区几乎无运营期废水产生，对周边的地表水环境影响很小。XZB16风机平台径流区有一座双菱角水库，风机平台运营期不产生废水，做好风机平台的水土保持措施后几乎对水库无影响。</w:t>
            </w:r>
          </w:p>
          <w:p w14:paraId="10494E64">
            <w:pPr>
              <w:bidi w:val="0"/>
              <w:ind w:left="0" w:leftChars="0" w:firstLine="0" w:firstLineChars="0"/>
              <w:rPr>
                <w:b/>
                <w:bCs/>
                <w:color w:val="auto"/>
              </w:rPr>
            </w:pPr>
            <w:r>
              <w:rPr>
                <w:rFonts w:hint="eastAsia"/>
                <w:b/>
                <w:bCs/>
                <w:color w:val="auto"/>
                <w:lang w:val="en-US" w:eastAsia="zh-CN"/>
              </w:rPr>
              <w:t>4.</w:t>
            </w:r>
            <w:r>
              <w:rPr>
                <w:rFonts w:hint="eastAsia"/>
                <w:b/>
                <w:bCs/>
                <w:color w:val="auto"/>
              </w:rPr>
              <w:t>运营期电磁环境影响分析</w:t>
            </w:r>
          </w:p>
          <w:p w14:paraId="45029DEC">
            <w:pPr>
              <w:keepNext w:val="0"/>
              <w:keepLines w:val="0"/>
              <w:pageBreakBefore w:val="0"/>
              <w:kinsoku/>
              <w:wordWrap/>
              <w:overflowPunct/>
              <w:topLinePunct w:val="0"/>
              <w:bidi w:val="0"/>
              <w:adjustRightInd w:val="0"/>
              <w:spacing w:line="360" w:lineRule="auto"/>
              <w:ind w:firstLine="360" w:firstLineChars="150"/>
              <w:rPr>
                <w:rFonts w:hint="eastAsia" w:ascii="Times New Roman" w:hAnsi="Times New Roman" w:eastAsia="宋体"/>
                <w:b w:val="0"/>
                <w:bCs/>
                <w:color w:val="auto"/>
                <w:spacing w:val="0"/>
                <w:sz w:val="24"/>
                <w:highlight w:val="none"/>
              </w:rPr>
            </w:pPr>
            <w:r>
              <w:rPr>
                <w:rFonts w:hint="eastAsia" w:ascii="Times New Roman" w:hAnsi="Times New Roman" w:eastAsia="宋体"/>
                <w:b w:val="0"/>
                <w:bCs/>
                <w:color w:val="auto"/>
                <w:spacing w:val="0"/>
                <w:sz w:val="24"/>
                <w:highlight w:val="none"/>
              </w:rPr>
              <w:t>宣威西泽风电场</w:t>
            </w:r>
            <w:r>
              <w:rPr>
                <w:rFonts w:hint="eastAsia" w:ascii="Times New Roman" w:hAnsi="Times New Roman" w:eastAsia="宋体"/>
                <w:b w:val="0"/>
                <w:bCs/>
                <w:color w:val="auto"/>
                <w:spacing w:val="0"/>
                <w:sz w:val="24"/>
                <w:highlight w:val="none"/>
                <w:lang w:eastAsia="zh-CN"/>
              </w:rPr>
              <w:t>（</w:t>
            </w:r>
            <w:r>
              <w:rPr>
                <w:rFonts w:hint="eastAsia" w:ascii="Times New Roman" w:hAnsi="Times New Roman" w:eastAsia="宋体"/>
                <w:b w:val="0"/>
                <w:bCs/>
                <w:color w:val="auto"/>
                <w:spacing w:val="0"/>
                <w:sz w:val="24"/>
                <w:highlight w:val="none"/>
                <w:lang w:val="en-US" w:eastAsia="zh-CN"/>
              </w:rPr>
              <w:t>二期</w:t>
            </w:r>
            <w:r>
              <w:rPr>
                <w:rFonts w:hint="eastAsia" w:ascii="Times New Roman" w:hAnsi="Times New Roman" w:eastAsia="宋体"/>
                <w:b w:val="0"/>
                <w:bCs/>
                <w:color w:val="auto"/>
                <w:spacing w:val="0"/>
                <w:sz w:val="24"/>
                <w:highlight w:val="none"/>
                <w:lang w:eastAsia="zh-CN"/>
              </w:rPr>
              <w:t>）</w:t>
            </w:r>
            <w:r>
              <w:rPr>
                <w:rFonts w:hint="eastAsia"/>
                <w:b w:val="0"/>
                <w:bCs/>
                <w:color w:val="auto"/>
                <w:spacing w:val="0"/>
                <w:sz w:val="24"/>
                <w:highlight w:val="none"/>
                <w:lang w:val="en-US" w:eastAsia="zh-CN"/>
              </w:rPr>
              <w:t>扩建</w:t>
            </w:r>
            <w:r>
              <w:rPr>
                <w:rFonts w:hint="eastAsia" w:ascii="Times New Roman" w:hAnsi="Times New Roman" w:eastAsia="宋体"/>
                <w:b w:val="0"/>
                <w:bCs/>
                <w:color w:val="auto"/>
                <w:spacing w:val="0"/>
                <w:sz w:val="24"/>
                <w:highlight w:val="none"/>
              </w:rPr>
              <w:t>主变规模为1×</w:t>
            </w:r>
            <w:r>
              <w:rPr>
                <w:rFonts w:hint="eastAsia" w:ascii="Times New Roman" w:hAnsi="Times New Roman" w:eastAsia="宋体"/>
                <w:b w:val="0"/>
                <w:bCs/>
                <w:color w:val="auto"/>
                <w:spacing w:val="0"/>
                <w:sz w:val="24"/>
                <w:highlight w:val="none"/>
                <w:lang w:val="en-US" w:eastAsia="zh-CN"/>
              </w:rPr>
              <w:t>30</w:t>
            </w:r>
            <w:r>
              <w:rPr>
                <w:rFonts w:hint="eastAsia" w:ascii="Times New Roman" w:hAnsi="Times New Roman" w:eastAsia="宋体"/>
                <w:b w:val="0"/>
                <w:bCs/>
                <w:color w:val="auto"/>
                <w:spacing w:val="0"/>
                <w:sz w:val="24"/>
                <w:highlight w:val="none"/>
              </w:rPr>
              <w:t>MW</w:t>
            </w:r>
            <w:r>
              <w:rPr>
                <w:rFonts w:hint="eastAsia"/>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通过类比，得出本项目投产后</w:t>
            </w:r>
            <w:r>
              <w:rPr>
                <w:rFonts w:hint="eastAsia"/>
                <w:b w:val="0"/>
                <w:bCs/>
                <w:color w:val="auto"/>
                <w:spacing w:val="0"/>
                <w:sz w:val="24"/>
                <w:highlight w:val="none"/>
                <w:lang w:val="en-US" w:eastAsia="zh-CN"/>
              </w:rPr>
              <w:t>站界</w:t>
            </w:r>
            <w:r>
              <w:rPr>
                <w:rFonts w:hint="eastAsia" w:ascii="Times New Roman" w:hAnsi="Times New Roman" w:eastAsia="宋体"/>
                <w:b w:val="0"/>
                <w:bCs/>
                <w:color w:val="auto"/>
                <w:spacing w:val="0"/>
                <w:sz w:val="24"/>
                <w:highlight w:val="none"/>
              </w:rPr>
              <w:t>的工频</w:t>
            </w:r>
            <w:r>
              <w:rPr>
                <w:rFonts w:hint="eastAsia"/>
                <w:b w:val="0"/>
                <w:bCs/>
                <w:color w:val="auto"/>
                <w:spacing w:val="0"/>
                <w:sz w:val="24"/>
                <w:highlight w:val="none"/>
                <w:lang w:val="en-US" w:eastAsia="zh-CN"/>
              </w:rPr>
              <w:t>电场强度和工频磁场强度</w:t>
            </w:r>
            <w:r>
              <w:rPr>
                <w:rFonts w:hint="eastAsia" w:ascii="Times New Roman" w:hAnsi="Times New Roman" w:eastAsia="宋体"/>
                <w:b w:val="0"/>
                <w:bCs/>
                <w:color w:val="auto"/>
                <w:spacing w:val="0"/>
                <w:sz w:val="24"/>
                <w:highlight w:val="none"/>
              </w:rPr>
              <w:t>影响满足《电磁环境控制限值》</w:t>
            </w:r>
            <w:r>
              <w:rPr>
                <w:rFonts w:hint="eastAsia"/>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GB8702-2014</w:t>
            </w:r>
            <w:r>
              <w:rPr>
                <w:rFonts w:hint="eastAsia"/>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中的频率为0.05kHz的公众曝露控制限制值要求电场强度4000V/m、磁感应强度100</w:t>
            </w:r>
            <w:r>
              <w:rPr>
                <w:rFonts w:hint="default" w:ascii="Times New Roman" w:hAnsi="Times New Roman" w:eastAsia="宋体" w:cs="Times New Roman"/>
                <w:b w:val="0"/>
                <w:bCs/>
                <w:color w:val="auto"/>
                <w:spacing w:val="0"/>
                <w:sz w:val="24"/>
                <w:highlight w:val="none"/>
              </w:rPr>
              <w:t>μ</w:t>
            </w:r>
            <w:r>
              <w:rPr>
                <w:rFonts w:hint="eastAsia" w:ascii="Times New Roman" w:hAnsi="Times New Roman" w:eastAsia="宋体"/>
                <w:b w:val="0"/>
                <w:bCs/>
                <w:color w:val="auto"/>
                <w:spacing w:val="0"/>
                <w:sz w:val="24"/>
                <w:highlight w:val="none"/>
              </w:rPr>
              <w:t>T。根据现场调查，本项目</w:t>
            </w:r>
            <w:r>
              <w:rPr>
                <w:rFonts w:hint="eastAsia"/>
                <w:b w:val="0"/>
                <w:bCs/>
                <w:color w:val="auto"/>
                <w:spacing w:val="0"/>
                <w:sz w:val="24"/>
                <w:highlight w:val="none"/>
                <w:lang w:val="en-US" w:eastAsia="zh-CN"/>
              </w:rPr>
              <w:t>22</w:t>
            </w:r>
            <w:r>
              <w:rPr>
                <w:rFonts w:hint="eastAsia" w:ascii="Times New Roman" w:hAnsi="Times New Roman" w:eastAsia="宋体"/>
                <w:b w:val="0"/>
                <w:bCs/>
                <w:color w:val="auto"/>
                <w:spacing w:val="0"/>
                <w:sz w:val="24"/>
                <w:highlight w:val="none"/>
              </w:rPr>
              <w:t>0kV升压站周围40m内无居民点，电场强度和磁感应强度均有随距离增加而减小的特点，故升压站产生的工频电场和工频磁场对周边的影响较小。</w:t>
            </w:r>
          </w:p>
          <w:p w14:paraId="5EFC33CE">
            <w:pPr>
              <w:bidi w:val="0"/>
              <w:ind w:left="0" w:leftChars="0" w:firstLine="0" w:firstLineChars="0"/>
              <w:rPr>
                <w:rFonts w:hint="eastAsia"/>
                <w:b/>
                <w:bCs/>
                <w:color w:val="auto"/>
                <w:lang w:val="en-US" w:eastAsia="zh-CN"/>
              </w:rPr>
            </w:pPr>
            <w:r>
              <w:rPr>
                <w:rFonts w:hint="eastAsia"/>
                <w:b/>
                <w:bCs/>
                <w:color w:val="auto"/>
                <w:lang w:val="en-US" w:eastAsia="zh-CN"/>
              </w:rPr>
              <w:t>5.运营期声环境影响分析</w:t>
            </w:r>
          </w:p>
          <w:p w14:paraId="2EDBEB17">
            <w:pPr>
              <w:bidi w:val="0"/>
              <w:rPr>
                <w:rFonts w:hint="default"/>
                <w:b/>
                <w:bCs/>
                <w:color w:val="auto"/>
                <w:lang w:val="en-US" w:eastAsia="zh-CN"/>
              </w:rPr>
            </w:pPr>
            <w:r>
              <w:rPr>
                <w:rFonts w:hint="eastAsia"/>
                <w:b/>
                <w:bCs/>
                <w:color w:val="auto"/>
                <w:lang w:val="en-US" w:eastAsia="zh-CN"/>
              </w:rPr>
              <w:t>5.1风机机组</w:t>
            </w:r>
          </w:p>
          <w:p w14:paraId="258C4AD8">
            <w:pPr>
              <w:bidi w:val="0"/>
              <w:rPr>
                <w:rFonts w:hint="eastAsia"/>
                <w:color w:val="auto"/>
                <w:lang w:val="en-US" w:eastAsia="zh-CN"/>
              </w:rPr>
            </w:pPr>
            <w:r>
              <w:rPr>
                <w:rFonts w:hint="eastAsia"/>
                <w:color w:val="auto"/>
                <w:lang w:val="en-US" w:eastAsia="zh-CN"/>
              </w:rPr>
              <w:t>（1）噪声源</w:t>
            </w:r>
          </w:p>
          <w:p w14:paraId="3C9BFAD3">
            <w:pPr>
              <w:bidi w:val="0"/>
              <w:rPr>
                <w:rFonts w:hint="eastAsia"/>
                <w:color w:val="auto"/>
                <w:lang w:val="en-US" w:eastAsia="zh-CN"/>
              </w:rPr>
            </w:pPr>
            <w:r>
              <w:rPr>
                <w:rFonts w:hint="eastAsia"/>
                <w:color w:val="auto"/>
                <w:lang w:val="en-US" w:eastAsia="zh-CN"/>
              </w:rPr>
              <w:t>风力发电机通常由风轮、齿轮箱、调速装置、发电机、塔架、控制系统及附属装置部件组成，其中为了保护齿轮箱、发电机等部件，通常会采用罩壳把它们密封起来，此罩壳称为“机舱”。</w:t>
            </w:r>
          </w:p>
          <w:p w14:paraId="47C3CDEE">
            <w:pPr>
              <w:bidi w:val="0"/>
              <w:rPr>
                <w:rFonts w:hint="eastAsia"/>
                <w:color w:val="auto"/>
                <w:lang w:val="en-US" w:eastAsia="zh-CN"/>
              </w:rPr>
            </w:pPr>
            <w:r>
              <w:rPr>
                <w:rFonts w:hint="eastAsia"/>
                <w:color w:val="auto"/>
                <w:lang w:val="en-US" w:eastAsia="zh-CN"/>
              </w:rPr>
              <w:t>风力发电机在正常运转时产生的噪声主要是空气动力学噪声、机械噪声及电磁噪声，其中空气动力噪声影响最大。机械噪声来自齿轮、轴承等机械部件在运转过程中相互碰撞摩擦产生的机械噪声。电磁噪声来自不平衡的电磁力使发电机产生电磁振动，并通过固体结构辐射电磁噪声。电磁噪声和机械噪声都在风机电机舱内部。空气动力学噪声来源于旋转的风机叶片和空气的摩擦声，影响空气动力噪声的主要因素有风速、风向，当风速增加时，风机噪声随之增大，当风向改变时，风机机舱水平转动会惯性减速刹车，产生突发噪声。（摘自李晓玲，蒋立克，李凌云.风电场运行期噪声影响范围及防治措施［D］内燃机与配件，2017）。</w:t>
            </w:r>
          </w:p>
          <w:p w14:paraId="243405D2">
            <w:pPr>
              <w:bidi w:val="0"/>
              <w:rPr>
                <w:rFonts w:hint="default"/>
                <w:color w:val="auto"/>
                <w:lang w:val="en-US" w:eastAsia="zh-CN"/>
              </w:rPr>
            </w:pPr>
            <w:r>
              <w:rPr>
                <w:rFonts w:hint="eastAsia"/>
                <w:color w:val="auto"/>
                <w:lang w:val="en-US" w:eastAsia="zh-CN"/>
              </w:rPr>
              <w:t>“风机之间排距超过200m，相互之间影响可以忽略”（摘自王跃华.风电场噪声、光影环境防护距离的研究[D].东北大学，2011），根据本项目的主体设计，风机之间的距离均超过200m。本项目风机机组之间的距离均超过200m，故本次预测选取一台风机进行预测，根据建设单位提供的资料，本项目采用的单台风机噪声为105dB（A）。</w:t>
            </w:r>
          </w:p>
          <w:p w14:paraId="194D58F2">
            <w:pPr>
              <w:bidi w:val="0"/>
              <w:rPr>
                <w:rFonts w:hint="default"/>
                <w:color w:val="auto"/>
                <w:lang w:val="en-US" w:eastAsia="zh-CN"/>
              </w:rPr>
            </w:pPr>
            <w:r>
              <w:rPr>
                <w:rFonts w:hint="eastAsia"/>
                <w:color w:val="auto"/>
                <w:lang w:val="en-US" w:eastAsia="zh-CN"/>
              </w:rPr>
              <w:t>（2）噪声预测模式</w:t>
            </w:r>
          </w:p>
          <w:p w14:paraId="3384CBA2">
            <w:pPr>
              <w:bidi w:val="0"/>
              <w:rPr>
                <w:rFonts w:hint="eastAsia"/>
                <w:color w:val="auto"/>
              </w:rPr>
            </w:pPr>
            <w:r>
              <w:rPr>
                <w:rFonts w:hint="eastAsia"/>
                <w:color w:val="auto"/>
              </w:rPr>
              <w:t>风电机组噪声可近似视为点声源处理，本工程风电场所处的地区为高山山脊，从声学角度与声传播的大范围、大视野看，各风力发电场各风电机噪声传播的空间为半自由空间，在距风力发电机轴心叶轮直径以外的区域，其噪声的传播规律如下式所示：</w:t>
            </w:r>
          </w:p>
          <w:p w14:paraId="62CA67BD">
            <w:pPr>
              <w:spacing w:line="360" w:lineRule="auto"/>
              <w:ind w:firstLine="573"/>
              <w:jc w:val="center"/>
              <w:rPr>
                <w:rFonts w:ascii="Times New Roman" w:hAnsi="Times New Roman" w:eastAsia="宋体"/>
                <w:color w:val="auto"/>
                <w:sz w:val="24"/>
                <w:szCs w:val="24"/>
                <w:highlight w:val="none"/>
                <w:lang w:val="pt-BR"/>
              </w:rPr>
            </w:pPr>
            <w:r>
              <w:rPr>
                <w:rFonts w:ascii="Times New Roman" w:hAnsi="Times New Roman" w:eastAsia="宋体"/>
                <w:color w:val="auto"/>
                <w:sz w:val="24"/>
                <w:szCs w:val="24"/>
                <w:highlight w:val="none"/>
                <w:lang w:val="pt-BR"/>
              </w:rPr>
              <w:t>Lp（r）=Lp（r</w:t>
            </w:r>
            <w:r>
              <w:rPr>
                <w:rFonts w:ascii="Times New Roman" w:hAnsi="Times New Roman" w:eastAsia="宋体"/>
                <w:color w:val="auto"/>
                <w:sz w:val="24"/>
                <w:szCs w:val="24"/>
                <w:highlight w:val="none"/>
                <w:vertAlign w:val="subscript"/>
                <w:lang w:val="pt-BR"/>
              </w:rPr>
              <w:t>0</w:t>
            </w:r>
            <w:r>
              <w:rPr>
                <w:rFonts w:ascii="Times New Roman" w:hAnsi="Times New Roman" w:eastAsia="宋体"/>
                <w:color w:val="auto"/>
                <w:sz w:val="24"/>
                <w:szCs w:val="24"/>
                <w:highlight w:val="none"/>
                <w:lang w:val="pt-BR"/>
              </w:rPr>
              <w:t>）－（Adiv+Abar+Aatm+Agr+Amisc）</w:t>
            </w:r>
          </w:p>
          <w:p w14:paraId="58E3D979">
            <w:pPr>
              <w:autoSpaceDE w:val="0"/>
              <w:autoSpaceDN w:val="0"/>
              <w:adjustRightInd w:val="0"/>
              <w:spacing w:line="360" w:lineRule="auto"/>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lang w:val="pt-BR"/>
              </w:rPr>
              <w:t>式中，</w:t>
            </w:r>
            <w:r>
              <w:rPr>
                <w:rFonts w:ascii="Times New Roman" w:hAnsi="Times New Roman" w:eastAsia="宋体"/>
                <w:color w:val="auto"/>
                <w:sz w:val="24"/>
                <w:szCs w:val="24"/>
                <w:highlight w:val="none"/>
              </w:rPr>
              <w:t>L</w:t>
            </w:r>
            <w:r>
              <w:rPr>
                <w:rFonts w:ascii="Times New Roman" w:hAnsi="Times New Roman" w:eastAsia="宋体"/>
                <w:color w:val="auto"/>
                <w:sz w:val="24"/>
                <w:szCs w:val="24"/>
                <w:highlight w:val="none"/>
                <w:lang w:val="pt-BR"/>
              </w:rPr>
              <w:t>p（r）</w:t>
            </w:r>
            <w:r>
              <w:rPr>
                <w:rFonts w:ascii="Times New Roman" w:hAnsi="Times New Roman" w:eastAsia="宋体"/>
                <w:color w:val="auto"/>
                <w:sz w:val="24"/>
                <w:szCs w:val="24"/>
                <w:highlight w:val="none"/>
              </w:rPr>
              <w:t>－距声源r处的A声级；</w:t>
            </w:r>
          </w:p>
          <w:p w14:paraId="389A582B">
            <w:pPr>
              <w:autoSpaceDE w:val="0"/>
              <w:autoSpaceDN w:val="0"/>
              <w:adjustRightInd w:val="0"/>
              <w:spacing w:line="360" w:lineRule="auto"/>
              <w:ind w:firstLine="840" w:firstLineChars="35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L</w:t>
            </w:r>
            <w:r>
              <w:rPr>
                <w:rFonts w:ascii="Times New Roman" w:hAnsi="Times New Roman" w:eastAsia="宋体"/>
                <w:color w:val="auto"/>
                <w:sz w:val="24"/>
                <w:szCs w:val="24"/>
                <w:highlight w:val="none"/>
                <w:lang w:val="pt-BR"/>
              </w:rPr>
              <w:t>p</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r</w:t>
            </w:r>
            <w:r>
              <w:rPr>
                <w:rFonts w:ascii="Times New Roman" w:hAnsi="Times New Roman" w:eastAsia="宋体"/>
                <w:color w:val="auto"/>
                <w:sz w:val="24"/>
                <w:szCs w:val="24"/>
                <w:highlight w:val="none"/>
                <w:vertAlign w:val="subscript"/>
              </w:rPr>
              <w:t>0</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－参考位置r</w:t>
            </w:r>
            <w:r>
              <w:rPr>
                <w:rFonts w:ascii="Times New Roman" w:hAnsi="Times New Roman" w:eastAsia="宋体"/>
                <w:color w:val="auto"/>
                <w:sz w:val="24"/>
                <w:szCs w:val="24"/>
                <w:highlight w:val="none"/>
                <w:vertAlign w:val="subscript"/>
              </w:rPr>
              <w:t>0</w:t>
            </w:r>
            <w:r>
              <w:rPr>
                <w:rFonts w:ascii="Times New Roman" w:hAnsi="Times New Roman" w:eastAsia="宋体"/>
                <w:color w:val="auto"/>
                <w:sz w:val="24"/>
                <w:szCs w:val="24"/>
                <w:highlight w:val="none"/>
              </w:rPr>
              <w:t>处的A声级；</w:t>
            </w:r>
          </w:p>
          <w:p w14:paraId="6B8290DA">
            <w:pPr>
              <w:autoSpaceDE w:val="0"/>
              <w:autoSpaceDN w:val="0"/>
              <w:adjustRightInd w:val="0"/>
              <w:spacing w:line="360" w:lineRule="auto"/>
              <w:ind w:firstLine="840" w:firstLineChars="35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Adiv－声波几何发散所引起的A声级衰减量，即距离所引起的无指向性点声源几何发散衰减的基本公式为：Adiv＝20lg</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r/r</w:t>
            </w:r>
            <w:r>
              <w:rPr>
                <w:rFonts w:ascii="Times New Roman" w:hAnsi="Times New Roman" w:eastAsia="宋体"/>
                <w:color w:val="auto"/>
                <w:sz w:val="24"/>
                <w:szCs w:val="24"/>
                <w:highlight w:val="none"/>
                <w:vertAlign w:val="subscript"/>
              </w:rPr>
              <w:t>0</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w:t>
            </w:r>
          </w:p>
          <w:p w14:paraId="4ABBF9E7">
            <w:pPr>
              <w:autoSpaceDE w:val="0"/>
              <w:autoSpaceDN w:val="0"/>
              <w:adjustRightInd w:val="0"/>
              <w:spacing w:line="360" w:lineRule="auto"/>
              <w:ind w:firstLine="840" w:firstLineChars="350"/>
              <w:rPr>
                <w:rFonts w:hint="default" w:ascii="Times New Roman" w:hAnsi="Times New Roman" w:eastAsia="宋体"/>
                <w:color w:val="auto"/>
                <w:sz w:val="24"/>
                <w:szCs w:val="24"/>
                <w:highlight w:val="none"/>
                <w:lang w:val="en-US" w:eastAsia="zh-CN"/>
              </w:rPr>
            </w:pPr>
            <w:r>
              <w:rPr>
                <w:rFonts w:ascii="Times New Roman" w:hAnsi="Times New Roman" w:eastAsia="宋体"/>
                <w:color w:val="auto"/>
                <w:sz w:val="24"/>
                <w:szCs w:val="24"/>
                <w:highlight w:val="none"/>
                <w:lang w:val="pt-BR"/>
              </w:rPr>
              <w:t>Abar</w:t>
            </w:r>
            <w:r>
              <w:rPr>
                <w:rFonts w:ascii="Times New Roman" w:hAnsi="Times New Roman" w:eastAsia="宋体"/>
                <w:color w:val="auto"/>
                <w:sz w:val="24"/>
                <w:szCs w:val="24"/>
                <w:highlight w:val="none"/>
              </w:rPr>
              <w:t>－屏障物所引起</w:t>
            </w:r>
            <w:r>
              <w:rPr>
                <w:rFonts w:hint="eastAsia"/>
                <w:color w:val="auto"/>
                <w:sz w:val="24"/>
                <w:szCs w:val="24"/>
                <w:highlight w:val="none"/>
                <w:lang w:eastAsia="zh-CN"/>
              </w:rPr>
              <w:t>的</w:t>
            </w:r>
            <w:r>
              <w:rPr>
                <w:rFonts w:ascii="Times New Roman" w:hAnsi="Times New Roman" w:eastAsia="宋体"/>
                <w:color w:val="auto"/>
                <w:sz w:val="24"/>
                <w:szCs w:val="24"/>
                <w:highlight w:val="none"/>
              </w:rPr>
              <w:t>A声级衰减量，屏障物通常包括建筑物墙壁的阻挡、建筑物声屏障效应以及植物的吸收屏障效应等，对于产生阻挡的植物而言，只有通过密集的植物丛时，才会对噪声产生阻挡衰减作用。</w:t>
            </w:r>
          </w:p>
          <w:p w14:paraId="2B15C425">
            <w:pPr>
              <w:autoSpaceDE w:val="0"/>
              <w:autoSpaceDN w:val="0"/>
              <w:adjustRightInd w:val="0"/>
              <w:spacing w:line="360" w:lineRule="auto"/>
              <w:ind w:firstLine="840" w:firstLineChars="35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lang w:val="pt-BR"/>
              </w:rPr>
              <w:t>Aatm</w:t>
            </w:r>
            <w:r>
              <w:rPr>
                <w:rFonts w:ascii="Times New Roman" w:hAnsi="Times New Roman" w:eastAsia="宋体"/>
                <w:color w:val="auto"/>
                <w:sz w:val="24"/>
                <w:szCs w:val="24"/>
                <w:highlight w:val="none"/>
              </w:rPr>
              <w:t>－空气吸收所引起的A声级衰减量，其计算公式为：</w:t>
            </w:r>
            <w:r>
              <w:rPr>
                <w:rFonts w:ascii="Times New Roman" w:hAnsi="Times New Roman" w:eastAsia="宋体"/>
                <w:color w:val="auto"/>
                <w:sz w:val="24"/>
                <w:szCs w:val="24"/>
                <w:highlight w:val="none"/>
                <w:lang w:val="pt-BR"/>
              </w:rPr>
              <w:t>Aatm=</w:t>
            </w:r>
            <w:r>
              <w:rPr>
                <w:rFonts w:ascii="Times New Roman" w:hAnsi="Times New Roman" w:eastAsia="宋体"/>
                <w:color w:val="auto"/>
                <w:sz w:val="24"/>
                <w:szCs w:val="24"/>
                <w:highlight w:val="none"/>
              </w:rPr>
              <w:t>αΔr/100，其值与温度、湿度以及噪声的频率有关，一般来讲，对高频部分的空气吸声系数很大，而对中低频部分则很小，Δr是预测点到参考位置点的距离，当Δr&lt;200m时，</w:t>
            </w:r>
            <w:r>
              <w:rPr>
                <w:rFonts w:ascii="Times New Roman" w:hAnsi="Times New Roman" w:eastAsia="宋体"/>
                <w:color w:val="auto"/>
                <w:sz w:val="24"/>
                <w:szCs w:val="24"/>
                <w:highlight w:val="none"/>
                <w:lang w:val="pt-BR"/>
              </w:rPr>
              <w:t>Aatm</w:t>
            </w:r>
            <w:r>
              <w:rPr>
                <w:rFonts w:ascii="Times New Roman" w:hAnsi="Times New Roman" w:eastAsia="宋体"/>
                <w:color w:val="auto"/>
                <w:sz w:val="24"/>
                <w:szCs w:val="24"/>
                <w:highlight w:val="none"/>
              </w:rPr>
              <w:t>近似为零，一般情况下可忽略不计。</w:t>
            </w:r>
          </w:p>
          <w:p w14:paraId="665ABFA7">
            <w:pPr>
              <w:autoSpaceDE w:val="0"/>
              <w:autoSpaceDN w:val="0"/>
              <w:adjustRightInd w:val="0"/>
              <w:spacing w:line="360" w:lineRule="auto"/>
              <w:ind w:firstLine="840" w:firstLineChars="350"/>
              <w:rPr>
                <w:rFonts w:ascii="Times New Roman" w:hAnsi="Times New Roman" w:eastAsia="宋体"/>
                <w:color w:val="auto"/>
                <w:sz w:val="24"/>
                <w:szCs w:val="24"/>
                <w:highlight w:val="none"/>
                <w:lang w:val="pt-BR"/>
              </w:rPr>
            </w:pPr>
            <w:r>
              <w:rPr>
                <w:rFonts w:ascii="Times New Roman" w:hAnsi="Times New Roman" w:eastAsia="宋体"/>
                <w:color w:val="auto"/>
                <w:sz w:val="24"/>
                <w:szCs w:val="24"/>
                <w:highlight w:val="none"/>
                <w:lang w:val="pt-BR"/>
              </w:rPr>
              <w:t>Agr</w:t>
            </w:r>
            <w:r>
              <w:rPr>
                <w:rFonts w:ascii="Times New Roman" w:hAnsi="Times New Roman" w:eastAsia="宋体"/>
                <w:color w:val="auto"/>
                <w:sz w:val="24"/>
                <w:szCs w:val="24"/>
                <w:highlight w:val="none"/>
              </w:rPr>
              <w:t>－地面效应所引起的A声级衰减量</w:t>
            </w:r>
            <w:r>
              <w:rPr>
                <w:rFonts w:ascii="Times New Roman" w:hAnsi="Times New Roman" w:eastAsia="宋体"/>
                <w:color w:val="auto"/>
                <w:sz w:val="24"/>
                <w:szCs w:val="24"/>
                <w:highlight w:val="none"/>
                <w:lang w:val="pt-BR"/>
              </w:rPr>
              <w:t>。</w:t>
            </w:r>
          </w:p>
          <w:p w14:paraId="060060F0">
            <w:pPr>
              <w:autoSpaceDE w:val="0"/>
              <w:autoSpaceDN w:val="0"/>
              <w:adjustRightInd w:val="0"/>
              <w:spacing w:line="360" w:lineRule="auto"/>
              <w:ind w:firstLine="840" w:firstLineChars="350"/>
              <w:rPr>
                <w:rFonts w:hint="default" w:ascii="Times New Roman" w:hAnsi="Times New Roman" w:eastAsia="宋体"/>
                <w:color w:val="auto"/>
                <w:sz w:val="24"/>
                <w:szCs w:val="24"/>
                <w:highlight w:val="none"/>
                <w:lang w:val="en-US" w:eastAsia="zh-CN"/>
              </w:rPr>
            </w:pPr>
            <w:r>
              <w:rPr>
                <w:rFonts w:ascii="Times New Roman" w:hAnsi="Times New Roman" w:eastAsia="宋体"/>
                <w:color w:val="auto"/>
                <w:sz w:val="24"/>
                <w:szCs w:val="24"/>
                <w:highlight w:val="none"/>
                <w:lang w:val="pt-BR"/>
              </w:rPr>
              <w:t>Amisc</w:t>
            </w:r>
            <w:r>
              <w:rPr>
                <w:rFonts w:ascii="Times New Roman" w:hAnsi="Times New Roman" w:eastAsia="宋体"/>
                <w:color w:val="auto"/>
                <w:sz w:val="24"/>
                <w:szCs w:val="24"/>
                <w:highlight w:val="none"/>
              </w:rPr>
              <w:t>－附加A声级衰减量，附加声级衰减包括通过工业场所、房屋群的衰减等。一般情况下的环境影响评价中，不需考虑风、云、雾及温度梯度所引起的附加影响。</w:t>
            </w:r>
          </w:p>
          <w:p w14:paraId="22E0C839">
            <w:pPr>
              <w:bidi w:val="0"/>
              <w:rPr>
                <w:rFonts w:hint="eastAsia"/>
                <w:color w:val="auto"/>
              </w:rPr>
            </w:pPr>
            <w:r>
              <w:rPr>
                <w:rFonts w:hint="eastAsia"/>
                <w:color w:val="auto"/>
              </w:rPr>
              <w:t>（3）噪声预测结果</w:t>
            </w:r>
          </w:p>
          <w:p w14:paraId="1AB63188">
            <w:pPr>
              <w:bidi w:val="0"/>
              <w:rPr>
                <w:rFonts w:hint="eastAsia"/>
                <w:color w:val="auto"/>
              </w:rPr>
            </w:pPr>
            <w:r>
              <w:rPr>
                <w:rFonts w:hint="eastAsia"/>
                <w:color w:val="auto"/>
                <w:sz w:val="24"/>
                <w:highlight w:val="none"/>
              </w:rPr>
              <w:t>本次评价采用环安噪声环境影响评价系统（NoiseSystem4.0）进行预测，在</w:t>
            </w:r>
            <w:r>
              <w:rPr>
                <w:rFonts w:hint="eastAsia"/>
                <w:color w:val="auto"/>
                <w:sz w:val="24"/>
                <w:highlight w:val="none"/>
                <w:lang w:val="en-US" w:eastAsia="zh-CN"/>
              </w:rPr>
              <w:t>风机中心</w:t>
            </w:r>
            <w:r>
              <w:rPr>
                <w:rFonts w:hint="eastAsia"/>
                <w:color w:val="auto"/>
                <w:sz w:val="24"/>
                <w:highlight w:val="none"/>
              </w:rPr>
              <w:t>外1m处布设线接受预测点，线接受点上的预测步长取</w:t>
            </w:r>
            <w:r>
              <w:rPr>
                <w:rFonts w:hint="eastAsia"/>
                <w:color w:val="auto"/>
                <w:sz w:val="24"/>
                <w:highlight w:val="none"/>
                <w:lang w:val="en-US" w:eastAsia="zh-CN"/>
              </w:rPr>
              <w:t>50</w:t>
            </w:r>
            <w:r>
              <w:rPr>
                <w:rFonts w:hint="eastAsia"/>
                <w:color w:val="auto"/>
                <w:sz w:val="24"/>
                <w:highlight w:val="none"/>
              </w:rPr>
              <w:t>m；在</w:t>
            </w:r>
            <w:r>
              <w:rPr>
                <w:rFonts w:hint="eastAsia"/>
                <w:color w:val="auto"/>
                <w:sz w:val="24"/>
                <w:highlight w:val="none"/>
                <w:lang w:eastAsia="zh-CN"/>
              </w:rPr>
              <w:t>距</w:t>
            </w:r>
            <w:r>
              <w:rPr>
                <w:rFonts w:hint="eastAsia"/>
                <w:color w:val="auto"/>
                <w:sz w:val="24"/>
                <w:highlight w:val="none"/>
                <w:lang w:val="en-US" w:eastAsia="zh-CN"/>
              </w:rPr>
              <w:t>风机最近的村庄叠水箐设置1</w:t>
            </w:r>
            <w:r>
              <w:rPr>
                <w:rFonts w:hint="eastAsia"/>
                <w:color w:val="auto"/>
                <w:sz w:val="24"/>
                <w:highlight w:val="none"/>
              </w:rPr>
              <w:t>个离散接受预测点。在考虑距离衰减、植物吸收，噪声源在现有防护措施情况下对</w:t>
            </w:r>
            <w:r>
              <w:rPr>
                <w:rFonts w:hint="eastAsia"/>
                <w:color w:val="auto"/>
                <w:sz w:val="24"/>
                <w:highlight w:val="none"/>
                <w:lang w:val="en-US" w:eastAsia="zh-CN"/>
              </w:rPr>
              <w:t>风机700m范围内以及周边村庄</w:t>
            </w:r>
            <w:r>
              <w:rPr>
                <w:rFonts w:hint="eastAsia"/>
                <w:color w:val="auto"/>
                <w:sz w:val="24"/>
                <w:highlight w:val="none"/>
              </w:rPr>
              <w:t>处的噪声贡献值见下表。</w:t>
            </w:r>
          </w:p>
          <w:p w14:paraId="22E305E8">
            <w:pPr>
              <w:pStyle w:val="27"/>
              <w:bidi w:val="0"/>
              <w:rPr>
                <w:rFonts w:hint="eastAsia"/>
                <w:color w:val="auto"/>
              </w:rPr>
            </w:pPr>
            <w:r>
              <w:rPr>
                <w:rFonts w:hint="eastAsia"/>
                <w:color w:val="auto"/>
              </w:rPr>
              <w:t>表4-</w:t>
            </w:r>
            <w:r>
              <w:rPr>
                <w:rFonts w:hint="eastAsia"/>
                <w:color w:val="auto"/>
                <w:lang w:val="en-US" w:eastAsia="zh-CN"/>
              </w:rPr>
              <w:t xml:space="preserve">3  </w:t>
            </w:r>
            <w:r>
              <w:rPr>
                <w:rFonts w:hint="eastAsia"/>
                <w:color w:val="auto"/>
              </w:rPr>
              <w:t>风机噪声随距离衰减情况</w:t>
            </w:r>
          </w:p>
          <w:tbl>
            <w:tblPr>
              <w:tblStyle w:val="20"/>
              <w:tblW w:w="8298"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38"/>
              <w:gridCol w:w="760"/>
              <w:gridCol w:w="824"/>
              <w:gridCol w:w="809"/>
              <w:gridCol w:w="925"/>
              <w:gridCol w:w="823"/>
              <w:gridCol w:w="823"/>
              <w:gridCol w:w="823"/>
              <w:gridCol w:w="824"/>
              <w:gridCol w:w="824"/>
            </w:tblGrid>
            <w:tr w14:paraId="16B7E2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2" w:hRule="atLeast"/>
                <w:jc w:val="center"/>
              </w:trPr>
              <w:tc>
                <w:tcPr>
                  <w:tcW w:w="749" w:type="dxa"/>
                  <w:vMerge w:val="restart"/>
                  <w:shd w:val="clear" w:color="auto" w:fill="auto"/>
                  <w:vAlign w:val="center"/>
                </w:tcPr>
                <w:p w14:paraId="116FBC97">
                  <w:pPr>
                    <w:pStyle w:val="37"/>
                    <w:bidi w:val="0"/>
                    <w:rPr>
                      <w:rFonts w:hint="eastAsia"/>
                      <w:color w:val="auto"/>
                    </w:rPr>
                  </w:pPr>
                  <w:r>
                    <w:rPr>
                      <w:rFonts w:hint="eastAsia"/>
                      <w:color w:val="auto"/>
                      <w:lang w:val="en-US" w:eastAsia="zh-CN"/>
                    </w:rPr>
                    <w:t>与风机轮毂距离（m）</w:t>
                  </w:r>
                </w:p>
              </w:tc>
              <w:tc>
                <w:tcPr>
                  <w:tcW w:w="1608" w:type="dxa"/>
                  <w:gridSpan w:val="2"/>
                  <w:shd w:val="clear" w:color="auto" w:fill="auto"/>
                  <w:noWrap/>
                  <w:vAlign w:val="center"/>
                </w:tcPr>
                <w:p w14:paraId="005C9828">
                  <w:pPr>
                    <w:pStyle w:val="37"/>
                    <w:bidi w:val="0"/>
                    <w:rPr>
                      <w:rFonts w:hint="eastAsia"/>
                      <w:color w:val="auto"/>
                    </w:rPr>
                  </w:pPr>
                  <w:r>
                    <w:rPr>
                      <w:rFonts w:hint="eastAsia"/>
                      <w:color w:val="auto"/>
                      <w:lang w:val="en-US" w:eastAsia="zh-CN"/>
                    </w:rPr>
                    <w:t>坐标</w:t>
                  </w:r>
                </w:p>
              </w:tc>
              <w:tc>
                <w:tcPr>
                  <w:tcW w:w="821" w:type="dxa"/>
                  <w:vMerge w:val="restart"/>
                  <w:shd w:val="clear" w:color="auto" w:fill="auto"/>
                  <w:vAlign w:val="center"/>
                </w:tcPr>
                <w:p w14:paraId="6CCBCAF0">
                  <w:pPr>
                    <w:pStyle w:val="37"/>
                    <w:bidi w:val="0"/>
                    <w:rPr>
                      <w:rFonts w:hint="default"/>
                      <w:color w:val="auto"/>
                      <w:lang w:val="en-US"/>
                    </w:rPr>
                  </w:pPr>
                  <w:r>
                    <w:rPr>
                      <w:rFonts w:hint="eastAsia"/>
                      <w:color w:val="auto"/>
                      <w:lang w:val="en-US" w:eastAsia="zh-CN"/>
                    </w:rPr>
                    <w:t>预测点离地高度（m）</w:t>
                  </w:r>
                </w:p>
              </w:tc>
              <w:tc>
                <w:tcPr>
                  <w:tcW w:w="2612" w:type="dxa"/>
                  <w:gridSpan w:val="3"/>
                  <w:shd w:val="clear" w:color="auto" w:fill="auto"/>
                  <w:noWrap/>
                  <w:vAlign w:val="center"/>
                </w:tcPr>
                <w:p w14:paraId="6098E3B9">
                  <w:pPr>
                    <w:pStyle w:val="37"/>
                    <w:bidi w:val="0"/>
                    <w:rPr>
                      <w:rFonts w:hint="eastAsia"/>
                      <w:color w:val="auto"/>
                    </w:rPr>
                  </w:pPr>
                  <w:r>
                    <w:rPr>
                      <w:rFonts w:hint="eastAsia"/>
                      <w:color w:val="auto"/>
                      <w:lang w:val="en-US" w:eastAsia="zh-CN"/>
                    </w:rPr>
                    <w:t>昼间</w:t>
                  </w:r>
                </w:p>
              </w:tc>
              <w:tc>
                <w:tcPr>
                  <w:tcW w:w="2508" w:type="dxa"/>
                  <w:gridSpan w:val="3"/>
                  <w:shd w:val="clear" w:color="auto" w:fill="auto"/>
                  <w:noWrap/>
                  <w:vAlign w:val="center"/>
                </w:tcPr>
                <w:p w14:paraId="439414EB">
                  <w:pPr>
                    <w:pStyle w:val="37"/>
                    <w:bidi w:val="0"/>
                    <w:rPr>
                      <w:rFonts w:hint="eastAsia"/>
                      <w:color w:val="auto"/>
                    </w:rPr>
                  </w:pPr>
                  <w:r>
                    <w:rPr>
                      <w:rFonts w:hint="eastAsia"/>
                      <w:color w:val="auto"/>
                      <w:lang w:val="en-US" w:eastAsia="zh-CN"/>
                    </w:rPr>
                    <w:t>夜间</w:t>
                  </w:r>
                </w:p>
              </w:tc>
            </w:tr>
            <w:tr w14:paraId="683E07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086" w:hRule="atLeast"/>
                <w:jc w:val="center"/>
              </w:trPr>
              <w:tc>
                <w:tcPr>
                  <w:tcW w:w="749" w:type="dxa"/>
                  <w:vMerge w:val="continue"/>
                  <w:tcBorders>
                    <w:bottom w:val="single" w:color="000000" w:sz="12" w:space="0"/>
                  </w:tcBorders>
                  <w:shd w:val="clear" w:color="auto" w:fill="auto"/>
                  <w:vAlign w:val="center"/>
                </w:tcPr>
                <w:p w14:paraId="276CD630">
                  <w:pPr>
                    <w:pStyle w:val="34"/>
                    <w:bidi w:val="0"/>
                    <w:rPr>
                      <w:rFonts w:hint="eastAsia"/>
                      <w:color w:val="auto"/>
                    </w:rPr>
                  </w:pPr>
                </w:p>
              </w:tc>
              <w:tc>
                <w:tcPr>
                  <w:tcW w:w="771" w:type="dxa"/>
                  <w:tcBorders>
                    <w:bottom w:val="single" w:color="000000" w:sz="12" w:space="0"/>
                  </w:tcBorders>
                  <w:shd w:val="clear" w:color="auto" w:fill="auto"/>
                  <w:noWrap/>
                  <w:vAlign w:val="center"/>
                </w:tcPr>
                <w:p w14:paraId="06F05704">
                  <w:pPr>
                    <w:pStyle w:val="37"/>
                    <w:bidi w:val="0"/>
                    <w:rPr>
                      <w:rFonts w:hint="eastAsia"/>
                      <w:color w:val="auto"/>
                    </w:rPr>
                  </w:pPr>
                  <w:r>
                    <w:rPr>
                      <w:rFonts w:hint="eastAsia"/>
                      <w:color w:val="auto"/>
                      <w:lang w:val="en-US" w:eastAsia="zh-CN"/>
                    </w:rPr>
                    <w:t>X</w:t>
                  </w:r>
                </w:p>
              </w:tc>
              <w:tc>
                <w:tcPr>
                  <w:tcW w:w="837" w:type="dxa"/>
                  <w:tcBorders>
                    <w:bottom w:val="single" w:color="000000" w:sz="12" w:space="0"/>
                  </w:tcBorders>
                  <w:shd w:val="clear" w:color="auto" w:fill="auto"/>
                  <w:noWrap/>
                  <w:vAlign w:val="center"/>
                </w:tcPr>
                <w:p w14:paraId="65D935DD">
                  <w:pPr>
                    <w:pStyle w:val="37"/>
                    <w:bidi w:val="0"/>
                    <w:rPr>
                      <w:rFonts w:hint="eastAsia"/>
                      <w:color w:val="auto"/>
                    </w:rPr>
                  </w:pPr>
                  <w:r>
                    <w:rPr>
                      <w:rFonts w:hint="eastAsia"/>
                      <w:color w:val="auto"/>
                      <w:lang w:val="en-US" w:eastAsia="zh-CN"/>
                    </w:rPr>
                    <w:t>Y</w:t>
                  </w:r>
                </w:p>
              </w:tc>
              <w:tc>
                <w:tcPr>
                  <w:tcW w:w="821" w:type="dxa"/>
                  <w:vMerge w:val="continue"/>
                  <w:tcBorders>
                    <w:bottom w:val="single" w:color="000000" w:sz="12" w:space="0"/>
                  </w:tcBorders>
                  <w:shd w:val="clear" w:color="auto" w:fill="auto"/>
                  <w:vAlign w:val="center"/>
                </w:tcPr>
                <w:p w14:paraId="0A58EACA">
                  <w:pPr>
                    <w:pStyle w:val="34"/>
                    <w:bidi w:val="0"/>
                    <w:rPr>
                      <w:rFonts w:hint="eastAsia"/>
                      <w:color w:val="auto"/>
                    </w:rPr>
                  </w:pPr>
                </w:p>
              </w:tc>
              <w:tc>
                <w:tcPr>
                  <w:tcW w:w="940" w:type="dxa"/>
                  <w:tcBorders>
                    <w:bottom w:val="single" w:color="000000" w:sz="12" w:space="0"/>
                  </w:tcBorders>
                  <w:shd w:val="clear" w:color="auto" w:fill="auto"/>
                  <w:noWrap/>
                  <w:vAlign w:val="center"/>
                </w:tcPr>
                <w:p w14:paraId="457F2AC6">
                  <w:pPr>
                    <w:pStyle w:val="37"/>
                    <w:bidi w:val="0"/>
                    <w:rPr>
                      <w:rFonts w:hint="eastAsia"/>
                      <w:color w:val="auto"/>
                    </w:rPr>
                  </w:pPr>
                  <w:r>
                    <w:rPr>
                      <w:rFonts w:hint="eastAsia"/>
                      <w:color w:val="auto"/>
                      <w:lang w:val="en-US" w:eastAsia="zh-CN"/>
                    </w:rPr>
                    <w:t>贡献值</w:t>
                  </w:r>
                </w:p>
              </w:tc>
              <w:tc>
                <w:tcPr>
                  <w:tcW w:w="836" w:type="dxa"/>
                  <w:tcBorders>
                    <w:bottom w:val="single" w:color="000000" w:sz="12" w:space="0"/>
                  </w:tcBorders>
                  <w:shd w:val="clear" w:color="auto" w:fill="auto"/>
                  <w:noWrap/>
                  <w:vAlign w:val="center"/>
                </w:tcPr>
                <w:p w14:paraId="0326DC94">
                  <w:pPr>
                    <w:pStyle w:val="37"/>
                    <w:bidi w:val="0"/>
                    <w:rPr>
                      <w:rFonts w:hint="eastAsia"/>
                      <w:color w:val="auto"/>
                    </w:rPr>
                  </w:pPr>
                  <w:r>
                    <w:rPr>
                      <w:rFonts w:hint="eastAsia"/>
                      <w:color w:val="auto"/>
                      <w:lang w:val="en-US" w:eastAsia="zh-CN"/>
                    </w:rPr>
                    <w:t>背景值</w:t>
                  </w:r>
                </w:p>
              </w:tc>
              <w:tc>
                <w:tcPr>
                  <w:tcW w:w="836" w:type="dxa"/>
                  <w:tcBorders>
                    <w:bottom w:val="single" w:color="000000" w:sz="12" w:space="0"/>
                  </w:tcBorders>
                  <w:shd w:val="clear" w:color="auto" w:fill="auto"/>
                  <w:noWrap/>
                  <w:vAlign w:val="center"/>
                </w:tcPr>
                <w:p w14:paraId="6FF908C5">
                  <w:pPr>
                    <w:pStyle w:val="37"/>
                    <w:bidi w:val="0"/>
                    <w:rPr>
                      <w:rFonts w:hint="eastAsia"/>
                      <w:color w:val="auto"/>
                    </w:rPr>
                  </w:pPr>
                  <w:r>
                    <w:rPr>
                      <w:rFonts w:hint="eastAsia"/>
                      <w:color w:val="auto"/>
                      <w:lang w:val="en-US" w:eastAsia="zh-CN"/>
                    </w:rPr>
                    <w:t>叠加值</w:t>
                  </w:r>
                </w:p>
              </w:tc>
              <w:tc>
                <w:tcPr>
                  <w:tcW w:w="836" w:type="dxa"/>
                  <w:tcBorders>
                    <w:bottom w:val="single" w:color="000000" w:sz="12" w:space="0"/>
                  </w:tcBorders>
                  <w:shd w:val="clear" w:color="auto" w:fill="auto"/>
                  <w:noWrap/>
                  <w:vAlign w:val="center"/>
                </w:tcPr>
                <w:p w14:paraId="19A55CF9">
                  <w:pPr>
                    <w:pStyle w:val="37"/>
                    <w:bidi w:val="0"/>
                    <w:rPr>
                      <w:rFonts w:hint="eastAsia"/>
                      <w:color w:val="auto"/>
                    </w:rPr>
                  </w:pPr>
                  <w:r>
                    <w:rPr>
                      <w:rFonts w:hint="eastAsia"/>
                      <w:color w:val="auto"/>
                      <w:lang w:val="en-US" w:eastAsia="zh-CN"/>
                    </w:rPr>
                    <w:t>贡献值</w:t>
                  </w:r>
                </w:p>
              </w:tc>
              <w:tc>
                <w:tcPr>
                  <w:tcW w:w="836" w:type="dxa"/>
                  <w:tcBorders>
                    <w:bottom w:val="single" w:color="000000" w:sz="12" w:space="0"/>
                  </w:tcBorders>
                  <w:shd w:val="clear" w:color="auto" w:fill="auto"/>
                  <w:noWrap/>
                  <w:vAlign w:val="center"/>
                </w:tcPr>
                <w:p w14:paraId="261D8CF7">
                  <w:pPr>
                    <w:pStyle w:val="37"/>
                    <w:bidi w:val="0"/>
                    <w:rPr>
                      <w:rFonts w:hint="eastAsia"/>
                      <w:color w:val="auto"/>
                    </w:rPr>
                  </w:pPr>
                  <w:r>
                    <w:rPr>
                      <w:rFonts w:hint="eastAsia"/>
                      <w:color w:val="auto"/>
                      <w:lang w:val="en-US" w:eastAsia="zh-CN"/>
                    </w:rPr>
                    <w:t>背景值</w:t>
                  </w:r>
                </w:p>
              </w:tc>
              <w:tc>
                <w:tcPr>
                  <w:tcW w:w="836" w:type="dxa"/>
                  <w:tcBorders>
                    <w:bottom w:val="single" w:color="000000" w:sz="12" w:space="0"/>
                  </w:tcBorders>
                  <w:shd w:val="clear" w:color="auto" w:fill="auto"/>
                  <w:noWrap/>
                  <w:vAlign w:val="center"/>
                </w:tcPr>
                <w:p w14:paraId="6CC4A3F7">
                  <w:pPr>
                    <w:pStyle w:val="37"/>
                    <w:bidi w:val="0"/>
                    <w:rPr>
                      <w:rFonts w:hint="eastAsia"/>
                      <w:color w:val="auto"/>
                    </w:rPr>
                  </w:pPr>
                  <w:r>
                    <w:rPr>
                      <w:rFonts w:hint="eastAsia"/>
                      <w:color w:val="auto"/>
                      <w:lang w:val="en-US" w:eastAsia="zh-CN"/>
                    </w:rPr>
                    <w:t>叠加值</w:t>
                  </w:r>
                </w:p>
              </w:tc>
            </w:tr>
            <w:tr w14:paraId="6117C1D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op w:val="single" w:color="000000" w:sz="12" w:space="0"/>
                    <w:tl2br w:val="nil"/>
                    <w:tr2bl w:val="nil"/>
                  </w:tcBorders>
                  <w:shd w:val="clear" w:color="auto" w:fill="auto"/>
                  <w:noWrap/>
                  <w:vAlign w:val="center"/>
                </w:tcPr>
                <w:p w14:paraId="372D4B11">
                  <w:pPr>
                    <w:pStyle w:val="37"/>
                    <w:bidi w:val="0"/>
                    <w:rPr>
                      <w:rFonts w:hint="eastAsia"/>
                      <w:color w:val="auto"/>
                    </w:rPr>
                  </w:pPr>
                  <w:r>
                    <w:rPr>
                      <w:rFonts w:hint="eastAsia"/>
                      <w:color w:val="auto"/>
                      <w:lang w:val="en-US" w:eastAsia="zh-CN"/>
                    </w:rPr>
                    <w:t>10</w:t>
                  </w:r>
                </w:p>
              </w:tc>
              <w:tc>
                <w:tcPr>
                  <w:tcW w:w="771" w:type="dxa"/>
                  <w:tcBorders>
                    <w:top w:val="single" w:color="000000" w:sz="12" w:space="0"/>
                    <w:tl2br w:val="nil"/>
                    <w:tr2bl w:val="nil"/>
                  </w:tcBorders>
                  <w:shd w:val="clear" w:color="auto" w:fill="auto"/>
                  <w:noWrap/>
                  <w:vAlign w:val="center"/>
                </w:tcPr>
                <w:p w14:paraId="434FCFD9">
                  <w:pPr>
                    <w:pStyle w:val="37"/>
                    <w:bidi w:val="0"/>
                    <w:rPr>
                      <w:rFonts w:hint="eastAsia"/>
                      <w:color w:val="auto"/>
                    </w:rPr>
                  </w:pPr>
                  <w:r>
                    <w:rPr>
                      <w:rFonts w:hint="eastAsia"/>
                      <w:color w:val="auto"/>
                      <w:lang w:val="en-US" w:eastAsia="zh-CN"/>
                    </w:rPr>
                    <w:t>2.6</w:t>
                  </w:r>
                </w:p>
              </w:tc>
              <w:tc>
                <w:tcPr>
                  <w:tcW w:w="837" w:type="dxa"/>
                  <w:tcBorders>
                    <w:top w:val="single" w:color="000000" w:sz="12" w:space="0"/>
                    <w:tl2br w:val="nil"/>
                    <w:tr2bl w:val="nil"/>
                  </w:tcBorders>
                  <w:shd w:val="clear" w:color="auto" w:fill="auto"/>
                  <w:noWrap/>
                  <w:vAlign w:val="center"/>
                </w:tcPr>
                <w:p w14:paraId="66E88F4D">
                  <w:pPr>
                    <w:pStyle w:val="37"/>
                    <w:bidi w:val="0"/>
                    <w:rPr>
                      <w:rFonts w:hint="eastAsia"/>
                      <w:color w:val="auto"/>
                    </w:rPr>
                  </w:pPr>
                  <w:r>
                    <w:rPr>
                      <w:rFonts w:hint="eastAsia"/>
                      <w:color w:val="auto"/>
                      <w:lang w:val="en-US" w:eastAsia="zh-CN"/>
                    </w:rPr>
                    <w:t>-13.3</w:t>
                  </w:r>
                </w:p>
              </w:tc>
              <w:tc>
                <w:tcPr>
                  <w:tcW w:w="821" w:type="dxa"/>
                  <w:tcBorders>
                    <w:top w:val="single" w:color="000000" w:sz="12" w:space="0"/>
                    <w:tl2br w:val="nil"/>
                    <w:tr2bl w:val="nil"/>
                  </w:tcBorders>
                  <w:shd w:val="clear" w:color="auto" w:fill="auto"/>
                  <w:noWrap/>
                  <w:vAlign w:val="center"/>
                </w:tcPr>
                <w:p w14:paraId="0B494DF7">
                  <w:pPr>
                    <w:pStyle w:val="37"/>
                    <w:bidi w:val="0"/>
                    <w:rPr>
                      <w:rFonts w:hint="eastAsia"/>
                      <w:color w:val="auto"/>
                    </w:rPr>
                  </w:pPr>
                  <w:r>
                    <w:rPr>
                      <w:rFonts w:hint="eastAsia"/>
                      <w:color w:val="auto"/>
                      <w:lang w:val="en-US" w:eastAsia="zh-CN"/>
                    </w:rPr>
                    <w:t>1.2</w:t>
                  </w:r>
                </w:p>
              </w:tc>
              <w:tc>
                <w:tcPr>
                  <w:tcW w:w="940" w:type="dxa"/>
                  <w:tcBorders>
                    <w:top w:val="single" w:color="000000" w:sz="12" w:space="0"/>
                    <w:tl2br w:val="nil"/>
                    <w:tr2bl w:val="nil"/>
                  </w:tcBorders>
                  <w:shd w:val="clear" w:color="auto" w:fill="auto"/>
                  <w:noWrap/>
                  <w:vAlign w:val="center"/>
                </w:tcPr>
                <w:p w14:paraId="2684B830">
                  <w:pPr>
                    <w:pStyle w:val="37"/>
                    <w:bidi w:val="0"/>
                    <w:rPr>
                      <w:rFonts w:hint="eastAsia"/>
                      <w:color w:val="auto"/>
                    </w:rPr>
                  </w:pPr>
                  <w:r>
                    <w:rPr>
                      <w:rFonts w:hint="eastAsia"/>
                      <w:color w:val="auto"/>
                      <w:lang w:val="en-US" w:eastAsia="zh-CN"/>
                    </w:rPr>
                    <w:t>51.79</w:t>
                  </w:r>
                </w:p>
              </w:tc>
              <w:tc>
                <w:tcPr>
                  <w:tcW w:w="836" w:type="dxa"/>
                  <w:tcBorders>
                    <w:top w:val="single" w:color="000000" w:sz="12" w:space="0"/>
                    <w:tl2br w:val="nil"/>
                    <w:tr2bl w:val="nil"/>
                  </w:tcBorders>
                  <w:shd w:val="clear" w:color="auto" w:fill="auto"/>
                  <w:noWrap/>
                  <w:vAlign w:val="center"/>
                </w:tcPr>
                <w:p w14:paraId="1871F215">
                  <w:pPr>
                    <w:pStyle w:val="37"/>
                    <w:bidi w:val="0"/>
                    <w:rPr>
                      <w:rFonts w:hint="eastAsia"/>
                      <w:color w:val="auto"/>
                    </w:rPr>
                  </w:pPr>
                  <w:r>
                    <w:rPr>
                      <w:rFonts w:hint="eastAsia"/>
                      <w:color w:val="auto"/>
                      <w:lang w:val="en-US" w:eastAsia="zh-CN"/>
                    </w:rPr>
                    <w:t>43</w:t>
                  </w:r>
                </w:p>
              </w:tc>
              <w:tc>
                <w:tcPr>
                  <w:tcW w:w="836" w:type="dxa"/>
                  <w:tcBorders>
                    <w:top w:val="single" w:color="000000" w:sz="12" w:space="0"/>
                    <w:tl2br w:val="nil"/>
                    <w:tr2bl w:val="nil"/>
                  </w:tcBorders>
                  <w:shd w:val="clear" w:color="auto" w:fill="auto"/>
                  <w:noWrap/>
                  <w:vAlign w:val="center"/>
                </w:tcPr>
                <w:p w14:paraId="6555AED9">
                  <w:pPr>
                    <w:pStyle w:val="37"/>
                    <w:bidi w:val="0"/>
                    <w:rPr>
                      <w:rFonts w:hint="eastAsia"/>
                      <w:color w:val="auto"/>
                    </w:rPr>
                  </w:pPr>
                  <w:r>
                    <w:rPr>
                      <w:rFonts w:hint="eastAsia"/>
                      <w:color w:val="auto"/>
                      <w:lang w:val="en-US" w:eastAsia="zh-CN"/>
                    </w:rPr>
                    <w:t>52.33</w:t>
                  </w:r>
                </w:p>
              </w:tc>
              <w:tc>
                <w:tcPr>
                  <w:tcW w:w="836" w:type="dxa"/>
                  <w:tcBorders>
                    <w:top w:val="single" w:color="000000" w:sz="12" w:space="0"/>
                    <w:tl2br w:val="nil"/>
                    <w:tr2bl w:val="nil"/>
                  </w:tcBorders>
                  <w:shd w:val="clear" w:color="auto" w:fill="auto"/>
                  <w:noWrap/>
                  <w:vAlign w:val="center"/>
                </w:tcPr>
                <w:p w14:paraId="50CC7F51">
                  <w:pPr>
                    <w:pStyle w:val="37"/>
                    <w:bidi w:val="0"/>
                    <w:rPr>
                      <w:rFonts w:hint="eastAsia"/>
                      <w:color w:val="auto"/>
                    </w:rPr>
                  </w:pPr>
                  <w:r>
                    <w:rPr>
                      <w:rFonts w:hint="eastAsia"/>
                      <w:color w:val="auto"/>
                      <w:lang w:val="en-US" w:eastAsia="zh-CN"/>
                    </w:rPr>
                    <w:t>51.79</w:t>
                  </w:r>
                </w:p>
              </w:tc>
              <w:tc>
                <w:tcPr>
                  <w:tcW w:w="836" w:type="dxa"/>
                  <w:tcBorders>
                    <w:top w:val="single" w:color="000000" w:sz="12" w:space="0"/>
                    <w:tl2br w:val="nil"/>
                    <w:tr2bl w:val="nil"/>
                  </w:tcBorders>
                  <w:shd w:val="clear" w:color="auto" w:fill="auto"/>
                  <w:noWrap/>
                  <w:vAlign w:val="center"/>
                </w:tcPr>
                <w:p w14:paraId="011CD946">
                  <w:pPr>
                    <w:pStyle w:val="37"/>
                    <w:bidi w:val="0"/>
                    <w:rPr>
                      <w:rFonts w:hint="eastAsia"/>
                      <w:color w:val="auto"/>
                    </w:rPr>
                  </w:pPr>
                  <w:r>
                    <w:rPr>
                      <w:rFonts w:hint="eastAsia"/>
                      <w:color w:val="auto"/>
                      <w:lang w:val="en-US" w:eastAsia="zh-CN"/>
                    </w:rPr>
                    <w:t>37</w:t>
                  </w:r>
                </w:p>
              </w:tc>
              <w:tc>
                <w:tcPr>
                  <w:tcW w:w="836" w:type="dxa"/>
                  <w:tcBorders>
                    <w:top w:val="single" w:color="000000" w:sz="12" w:space="0"/>
                    <w:tl2br w:val="nil"/>
                    <w:tr2bl w:val="nil"/>
                  </w:tcBorders>
                  <w:shd w:val="clear" w:color="auto" w:fill="auto"/>
                  <w:noWrap/>
                  <w:vAlign w:val="center"/>
                </w:tcPr>
                <w:p w14:paraId="0F72E51F">
                  <w:pPr>
                    <w:pStyle w:val="37"/>
                    <w:bidi w:val="0"/>
                    <w:rPr>
                      <w:rFonts w:hint="eastAsia"/>
                      <w:color w:val="auto"/>
                    </w:rPr>
                  </w:pPr>
                  <w:r>
                    <w:rPr>
                      <w:rFonts w:hint="eastAsia"/>
                      <w:color w:val="auto"/>
                      <w:lang w:val="en-US" w:eastAsia="zh-CN"/>
                    </w:rPr>
                    <w:t>51.93</w:t>
                  </w:r>
                </w:p>
              </w:tc>
            </w:tr>
            <w:tr w14:paraId="32DD9F1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6921DC43">
                  <w:pPr>
                    <w:pStyle w:val="37"/>
                    <w:bidi w:val="0"/>
                    <w:rPr>
                      <w:rFonts w:hint="eastAsia"/>
                      <w:color w:val="auto"/>
                    </w:rPr>
                  </w:pPr>
                  <w:r>
                    <w:rPr>
                      <w:rFonts w:hint="eastAsia"/>
                      <w:color w:val="auto"/>
                      <w:lang w:val="en-US" w:eastAsia="zh-CN"/>
                    </w:rPr>
                    <w:t>50</w:t>
                  </w:r>
                </w:p>
              </w:tc>
              <w:tc>
                <w:tcPr>
                  <w:tcW w:w="771" w:type="dxa"/>
                  <w:tcBorders>
                    <w:tl2br w:val="nil"/>
                    <w:tr2bl w:val="nil"/>
                  </w:tcBorders>
                  <w:shd w:val="clear" w:color="auto" w:fill="auto"/>
                  <w:noWrap/>
                  <w:vAlign w:val="center"/>
                </w:tcPr>
                <w:p w14:paraId="0D12084E">
                  <w:pPr>
                    <w:pStyle w:val="37"/>
                    <w:bidi w:val="0"/>
                    <w:rPr>
                      <w:rFonts w:hint="eastAsia"/>
                      <w:color w:val="auto"/>
                    </w:rPr>
                  </w:pPr>
                  <w:r>
                    <w:rPr>
                      <w:rFonts w:hint="eastAsia"/>
                      <w:color w:val="auto"/>
                      <w:lang w:val="en-US" w:eastAsia="zh-CN"/>
                    </w:rPr>
                    <w:t>-21.3</w:t>
                  </w:r>
                </w:p>
              </w:tc>
              <w:tc>
                <w:tcPr>
                  <w:tcW w:w="837" w:type="dxa"/>
                  <w:tcBorders>
                    <w:tl2br w:val="nil"/>
                    <w:tr2bl w:val="nil"/>
                  </w:tcBorders>
                  <w:shd w:val="clear" w:color="auto" w:fill="auto"/>
                  <w:noWrap/>
                  <w:vAlign w:val="center"/>
                </w:tcPr>
                <w:p w14:paraId="0CB65C53">
                  <w:pPr>
                    <w:pStyle w:val="37"/>
                    <w:bidi w:val="0"/>
                    <w:rPr>
                      <w:rFonts w:hint="eastAsia"/>
                      <w:color w:val="auto"/>
                    </w:rPr>
                  </w:pPr>
                  <w:r>
                    <w:rPr>
                      <w:rFonts w:hint="eastAsia"/>
                      <w:color w:val="auto"/>
                      <w:lang w:val="en-US" w:eastAsia="zh-CN"/>
                    </w:rPr>
                    <w:t>-47.5</w:t>
                  </w:r>
                </w:p>
              </w:tc>
              <w:tc>
                <w:tcPr>
                  <w:tcW w:w="821" w:type="dxa"/>
                  <w:tcBorders>
                    <w:tl2br w:val="nil"/>
                    <w:tr2bl w:val="nil"/>
                  </w:tcBorders>
                  <w:shd w:val="clear" w:color="auto" w:fill="auto"/>
                  <w:noWrap/>
                  <w:vAlign w:val="center"/>
                </w:tcPr>
                <w:p w14:paraId="7A723118">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68C46CE3">
                  <w:pPr>
                    <w:pStyle w:val="37"/>
                    <w:bidi w:val="0"/>
                    <w:rPr>
                      <w:rFonts w:hint="eastAsia"/>
                      <w:color w:val="auto"/>
                    </w:rPr>
                  </w:pPr>
                  <w:r>
                    <w:rPr>
                      <w:rFonts w:hint="eastAsia"/>
                      <w:color w:val="auto"/>
                      <w:lang w:val="en-US" w:eastAsia="zh-CN"/>
                    </w:rPr>
                    <w:t>54.03</w:t>
                  </w:r>
                </w:p>
              </w:tc>
              <w:tc>
                <w:tcPr>
                  <w:tcW w:w="836" w:type="dxa"/>
                  <w:tcBorders>
                    <w:tl2br w:val="nil"/>
                    <w:tr2bl w:val="nil"/>
                  </w:tcBorders>
                  <w:shd w:val="clear" w:color="auto" w:fill="auto"/>
                  <w:noWrap/>
                  <w:vAlign w:val="center"/>
                </w:tcPr>
                <w:p w14:paraId="2BA2B4EC">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33F89F55">
                  <w:pPr>
                    <w:pStyle w:val="37"/>
                    <w:bidi w:val="0"/>
                    <w:rPr>
                      <w:rFonts w:hint="eastAsia"/>
                      <w:color w:val="auto"/>
                    </w:rPr>
                  </w:pPr>
                  <w:r>
                    <w:rPr>
                      <w:rFonts w:hint="eastAsia"/>
                      <w:color w:val="auto"/>
                      <w:lang w:val="en-US" w:eastAsia="zh-CN"/>
                    </w:rPr>
                    <w:t>54.36</w:t>
                  </w:r>
                </w:p>
              </w:tc>
              <w:tc>
                <w:tcPr>
                  <w:tcW w:w="836" w:type="dxa"/>
                  <w:tcBorders>
                    <w:tl2br w:val="nil"/>
                    <w:tr2bl w:val="nil"/>
                  </w:tcBorders>
                  <w:shd w:val="clear" w:color="auto" w:fill="auto"/>
                  <w:noWrap/>
                  <w:vAlign w:val="center"/>
                </w:tcPr>
                <w:p w14:paraId="6634A131">
                  <w:pPr>
                    <w:pStyle w:val="37"/>
                    <w:bidi w:val="0"/>
                    <w:rPr>
                      <w:rFonts w:hint="eastAsia"/>
                      <w:color w:val="auto"/>
                    </w:rPr>
                  </w:pPr>
                  <w:r>
                    <w:rPr>
                      <w:rFonts w:hint="eastAsia"/>
                      <w:color w:val="auto"/>
                      <w:lang w:val="en-US" w:eastAsia="zh-CN"/>
                    </w:rPr>
                    <w:t>54.03</w:t>
                  </w:r>
                </w:p>
              </w:tc>
              <w:tc>
                <w:tcPr>
                  <w:tcW w:w="836" w:type="dxa"/>
                  <w:tcBorders>
                    <w:tl2br w:val="nil"/>
                    <w:tr2bl w:val="nil"/>
                  </w:tcBorders>
                  <w:shd w:val="clear" w:color="auto" w:fill="auto"/>
                  <w:noWrap/>
                  <w:vAlign w:val="center"/>
                </w:tcPr>
                <w:p w14:paraId="7A8E43C3">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2CFC939D">
                  <w:pPr>
                    <w:pStyle w:val="37"/>
                    <w:bidi w:val="0"/>
                    <w:rPr>
                      <w:rFonts w:hint="eastAsia"/>
                      <w:color w:val="auto"/>
                    </w:rPr>
                  </w:pPr>
                  <w:r>
                    <w:rPr>
                      <w:rFonts w:hint="eastAsia"/>
                      <w:color w:val="auto"/>
                      <w:lang w:val="en-US" w:eastAsia="zh-CN"/>
                    </w:rPr>
                    <w:t>54.12</w:t>
                  </w:r>
                </w:p>
              </w:tc>
            </w:tr>
            <w:tr w14:paraId="7DF35D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49259741">
                  <w:pPr>
                    <w:pStyle w:val="37"/>
                    <w:bidi w:val="0"/>
                    <w:rPr>
                      <w:rFonts w:hint="eastAsia"/>
                      <w:color w:val="auto"/>
                    </w:rPr>
                  </w:pPr>
                  <w:r>
                    <w:rPr>
                      <w:rFonts w:hint="eastAsia"/>
                      <w:color w:val="auto"/>
                      <w:lang w:val="en-US" w:eastAsia="zh-CN"/>
                    </w:rPr>
                    <w:t>100</w:t>
                  </w:r>
                </w:p>
              </w:tc>
              <w:tc>
                <w:tcPr>
                  <w:tcW w:w="771" w:type="dxa"/>
                  <w:tcBorders>
                    <w:tl2br w:val="nil"/>
                    <w:tr2bl w:val="nil"/>
                  </w:tcBorders>
                  <w:shd w:val="clear" w:color="auto" w:fill="auto"/>
                  <w:noWrap/>
                  <w:vAlign w:val="center"/>
                </w:tcPr>
                <w:p w14:paraId="30583AAA">
                  <w:pPr>
                    <w:pStyle w:val="37"/>
                    <w:bidi w:val="0"/>
                    <w:rPr>
                      <w:rFonts w:hint="eastAsia"/>
                      <w:color w:val="auto"/>
                    </w:rPr>
                  </w:pPr>
                  <w:r>
                    <w:rPr>
                      <w:rFonts w:hint="eastAsia"/>
                      <w:color w:val="auto"/>
                      <w:lang w:val="en-US" w:eastAsia="zh-CN"/>
                    </w:rPr>
                    <w:t>-48.0</w:t>
                  </w:r>
                </w:p>
              </w:tc>
              <w:tc>
                <w:tcPr>
                  <w:tcW w:w="837" w:type="dxa"/>
                  <w:tcBorders>
                    <w:tl2br w:val="nil"/>
                    <w:tr2bl w:val="nil"/>
                  </w:tcBorders>
                  <w:shd w:val="clear" w:color="auto" w:fill="auto"/>
                  <w:noWrap/>
                  <w:vAlign w:val="center"/>
                </w:tcPr>
                <w:p w14:paraId="4BA71AC3">
                  <w:pPr>
                    <w:pStyle w:val="37"/>
                    <w:bidi w:val="0"/>
                    <w:rPr>
                      <w:rFonts w:hint="eastAsia"/>
                      <w:color w:val="auto"/>
                    </w:rPr>
                  </w:pPr>
                  <w:r>
                    <w:rPr>
                      <w:rFonts w:hint="eastAsia"/>
                      <w:color w:val="auto"/>
                      <w:lang w:val="en-US" w:eastAsia="zh-CN"/>
                    </w:rPr>
                    <w:t>-89.9</w:t>
                  </w:r>
                </w:p>
              </w:tc>
              <w:tc>
                <w:tcPr>
                  <w:tcW w:w="821" w:type="dxa"/>
                  <w:tcBorders>
                    <w:tl2br w:val="nil"/>
                    <w:tr2bl w:val="nil"/>
                  </w:tcBorders>
                  <w:shd w:val="clear" w:color="auto" w:fill="auto"/>
                  <w:noWrap/>
                  <w:vAlign w:val="center"/>
                </w:tcPr>
                <w:p w14:paraId="06F39CEB">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02656AC1">
                  <w:pPr>
                    <w:pStyle w:val="37"/>
                    <w:bidi w:val="0"/>
                    <w:rPr>
                      <w:rFonts w:hint="eastAsia"/>
                      <w:color w:val="auto"/>
                    </w:rPr>
                  </w:pPr>
                  <w:r>
                    <w:rPr>
                      <w:rFonts w:hint="eastAsia"/>
                      <w:color w:val="auto"/>
                      <w:lang w:val="en-US" w:eastAsia="zh-CN"/>
                    </w:rPr>
                    <w:t>52.43</w:t>
                  </w:r>
                </w:p>
              </w:tc>
              <w:tc>
                <w:tcPr>
                  <w:tcW w:w="836" w:type="dxa"/>
                  <w:tcBorders>
                    <w:tl2br w:val="nil"/>
                    <w:tr2bl w:val="nil"/>
                  </w:tcBorders>
                  <w:shd w:val="clear" w:color="auto" w:fill="auto"/>
                  <w:noWrap/>
                  <w:vAlign w:val="center"/>
                </w:tcPr>
                <w:p w14:paraId="4E8F1F33">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484CE62C">
                  <w:pPr>
                    <w:pStyle w:val="37"/>
                    <w:bidi w:val="0"/>
                    <w:rPr>
                      <w:rFonts w:hint="eastAsia"/>
                      <w:color w:val="auto"/>
                    </w:rPr>
                  </w:pPr>
                  <w:r>
                    <w:rPr>
                      <w:rFonts w:hint="eastAsia"/>
                      <w:color w:val="auto"/>
                      <w:lang w:val="en-US" w:eastAsia="zh-CN"/>
                    </w:rPr>
                    <w:t>52.9</w:t>
                  </w:r>
                </w:p>
              </w:tc>
              <w:tc>
                <w:tcPr>
                  <w:tcW w:w="836" w:type="dxa"/>
                  <w:tcBorders>
                    <w:tl2br w:val="nil"/>
                    <w:tr2bl w:val="nil"/>
                  </w:tcBorders>
                  <w:shd w:val="clear" w:color="auto" w:fill="auto"/>
                  <w:noWrap/>
                  <w:vAlign w:val="center"/>
                </w:tcPr>
                <w:p w14:paraId="3DB6F50B">
                  <w:pPr>
                    <w:pStyle w:val="37"/>
                    <w:bidi w:val="0"/>
                    <w:rPr>
                      <w:rFonts w:hint="eastAsia"/>
                      <w:color w:val="auto"/>
                    </w:rPr>
                  </w:pPr>
                  <w:r>
                    <w:rPr>
                      <w:rFonts w:hint="eastAsia"/>
                      <w:color w:val="auto"/>
                      <w:lang w:val="en-US" w:eastAsia="zh-CN"/>
                    </w:rPr>
                    <w:t>52.43</w:t>
                  </w:r>
                </w:p>
              </w:tc>
              <w:tc>
                <w:tcPr>
                  <w:tcW w:w="836" w:type="dxa"/>
                  <w:tcBorders>
                    <w:tl2br w:val="nil"/>
                    <w:tr2bl w:val="nil"/>
                  </w:tcBorders>
                  <w:shd w:val="clear" w:color="auto" w:fill="auto"/>
                  <w:noWrap/>
                  <w:vAlign w:val="center"/>
                </w:tcPr>
                <w:p w14:paraId="19D8E0E7">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0F235B4A">
                  <w:pPr>
                    <w:pStyle w:val="37"/>
                    <w:bidi w:val="0"/>
                    <w:rPr>
                      <w:rFonts w:hint="eastAsia"/>
                      <w:color w:val="auto"/>
                    </w:rPr>
                  </w:pPr>
                  <w:r>
                    <w:rPr>
                      <w:rFonts w:hint="eastAsia"/>
                      <w:color w:val="auto"/>
                      <w:lang w:val="en-US" w:eastAsia="zh-CN"/>
                    </w:rPr>
                    <w:t>52.56</w:t>
                  </w:r>
                </w:p>
              </w:tc>
            </w:tr>
            <w:tr w14:paraId="5B8159E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2615DB48">
                  <w:pPr>
                    <w:pStyle w:val="37"/>
                    <w:bidi w:val="0"/>
                    <w:rPr>
                      <w:rFonts w:hint="eastAsia"/>
                      <w:color w:val="auto"/>
                    </w:rPr>
                  </w:pPr>
                  <w:r>
                    <w:rPr>
                      <w:rFonts w:hint="eastAsia"/>
                      <w:color w:val="auto"/>
                      <w:lang w:val="en-US" w:eastAsia="zh-CN"/>
                    </w:rPr>
                    <w:t>150</w:t>
                  </w:r>
                </w:p>
              </w:tc>
              <w:tc>
                <w:tcPr>
                  <w:tcW w:w="771" w:type="dxa"/>
                  <w:tcBorders>
                    <w:tl2br w:val="nil"/>
                    <w:tr2bl w:val="nil"/>
                  </w:tcBorders>
                  <w:shd w:val="clear" w:color="auto" w:fill="auto"/>
                  <w:noWrap/>
                  <w:vAlign w:val="center"/>
                </w:tcPr>
                <w:p w14:paraId="79A9A287">
                  <w:pPr>
                    <w:pStyle w:val="37"/>
                    <w:bidi w:val="0"/>
                    <w:rPr>
                      <w:rFonts w:hint="eastAsia"/>
                      <w:color w:val="auto"/>
                    </w:rPr>
                  </w:pPr>
                  <w:r>
                    <w:rPr>
                      <w:rFonts w:hint="eastAsia"/>
                      <w:color w:val="auto"/>
                      <w:lang w:val="en-US" w:eastAsia="zh-CN"/>
                    </w:rPr>
                    <w:t>-74.6</w:t>
                  </w:r>
                </w:p>
              </w:tc>
              <w:tc>
                <w:tcPr>
                  <w:tcW w:w="837" w:type="dxa"/>
                  <w:tcBorders>
                    <w:tl2br w:val="nil"/>
                    <w:tr2bl w:val="nil"/>
                  </w:tcBorders>
                  <w:shd w:val="clear" w:color="auto" w:fill="auto"/>
                  <w:noWrap/>
                  <w:vAlign w:val="center"/>
                </w:tcPr>
                <w:p w14:paraId="15B864E8">
                  <w:pPr>
                    <w:pStyle w:val="37"/>
                    <w:bidi w:val="0"/>
                    <w:rPr>
                      <w:rFonts w:hint="eastAsia"/>
                      <w:color w:val="auto"/>
                    </w:rPr>
                  </w:pPr>
                  <w:r>
                    <w:rPr>
                      <w:rFonts w:hint="eastAsia"/>
                      <w:color w:val="auto"/>
                      <w:lang w:val="en-US" w:eastAsia="zh-CN"/>
                    </w:rPr>
                    <w:t>-132.2</w:t>
                  </w:r>
                </w:p>
              </w:tc>
              <w:tc>
                <w:tcPr>
                  <w:tcW w:w="821" w:type="dxa"/>
                  <w:tcBorders>
                    <w:tl2br w:val="nil"/>
                    <w:tr2bl w:val="nil"/>
                  </w:tcBorders>
                  <w:shd w:val="clear" w:color="auto" w:fill="auto"/>
                  <w:noWrap/>
                  <w:vAlign w:val="center"/>
                </w:tcPr>
                <w:p w14:paraId="4A625217">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6477B28E">
                  <w:pPr>
                    <w:pStyle w:val="37"/>
                    <w:bidi w:val="0"/>
                    <w:rPr>
                      <w:rFonts w:hint="eastAsia"/>
                      <w:color w:val="auto"/>
                    </w:rPr>
                  </w:pPr>
                  <w:r>
                    <w:rPr>
                      <w:rFonts w:hint="eastAsia"/>
                      <w:color w:val="auto"/>
                      <w:lang w:val="en-US" w:eastAsia="zh-CN"/>
                    </w:rPr>
                    <w:t>50.63</w:t>
                  </w:r>
                </w:p>
              </w:tc>
              <w:tc>
                <w:tcPr>
                  <w:tcW w:w="836" w:type="dxa"/>
                  <w:tcBorders>
                    <w:tl2br w:val="nil"/>
                    <w:tr2bl w:val="nil"/>
                  </w:tcBorders>
                  <w:shd w:val="clear" w:color="auto" w:fill="auto"/>
                  <w:noWrap/>
                  <w:vAlign w:val="center"/>
                </w:tcPr>
                <w:p w14:paraId="56475A51">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04CB7139">
                  <w:pPr>
                    <w:pStyle w:val="37"/>
                    <w:bidi w:val="0"/>
                    <w:rPr>
                      <w:rFonts w:hint="eastAsia"/>
                      <w:color w:val="auto"/>
                    </w:rPr>
                  </w:pPr>
                  <w:r>
                    <w:rPr>
                      <w:rFonts w:hint="eastAsia"/>
                      <w:color w:val="auto"/>
                      <w:lang w:val="en-US" w:eastAsia="zh-CN"/>
                    </w:rPr>
                    <w:t>51.32</w:t>
                  </w:r>
                </w:p>
              </w:tc>
              <w:tc>
                <w:tcPr>
                  <w:tcW w:w="836" w:type="dxa"/>
                  <w:tcBorders>
                    <w:tl2br w:val="nil"/>
                    <w:tr2bl w:val="nil"/>
                  </w:tcBorders>
                  <w:shd w:val="clear" w:color="auto" w:fill="auto"/>
                  <w:noWrap/>
                  <w:vAlign w:val="center"/>
                </w:tcPr>
                <w:p w14:paraId="0DCEB2AA">
                  <w:pPr>
                    <w:pStyle w:val="37"/>
                    <w:bidi w:val="0"/>
                    <w:rPr>
                      <w:rFonts w:hint="eastAsia"/>
                      <w:color w:val="auto"/>
                    </w:rPr>
                  </w:pPr>
                  <w:r>
                    <w:rPr>
                      <w:rFonts w:hint="eastAsia"/>
                      <w:color w:val="auto"/>
                      <w:lang w:val="en-US" w:eastAsia="zh-CN"/>
                    </w:rPr>
                    <w:t>50.63</w:t>
                  </w:r>
                </w:p>
              </w:tc>
              <w:tc>
                <w:tcPr>
                  <w:tcW w:w="836" w:type="dxa"/>
                  <w:tcBorders>
                    <w:tl2br w:val="nil"/>
                    <w:tr2bl w:val="nil"/>
                  </w:tcBorders>
                  <w:shd w:val="clear" w:color="auto" w:fill="auto"/>
                  <w:noWrap/>
                  <w:vAlign w:val="center"/>
                </w:tcPr>
                <w:p w14:paraId="5F715517">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2D21C854">
                  <w:pPr>
                    <w:pStyle w:val="37"/>
                    <w:bidi w:val="0"/>
                    <w:rPr>
                      <w:rFonts w:hint="eastAsia"/>
                      <w:color w:val="auto"/>
                    </w:rPr>
                  </w:pPr>
                  <w:r>
                    <w:rPr>
                      <w:rFonts w:hint="eastAsia"/>
                      <w:color w:val="auto"/>
                      <w:lang w:val="en-US" w:eastAsia="zh-CN"/>
                    </w:rPr>
                    <w:t>50.81</w:t>
                  </w:r>
                </w:p>
              </w:tc>
            </w:tr>
            <w:tr w14:paraId="07C2CC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1EC37E18">
                  <w:pPr>
                    <w:pStyle w:val="37"/>
                    <w:bidi w:val="0"/>
                    <w:rPr>
                      <w:rFonts w:hint="eastAsia"/>
                      <w:color w:val="auto"/>
                    </w:rPr>
                  </w:pPr>
                  <w:r>
                    <w:rPr>
                      <w:rFonts w:hint="eastAsia"/>
                      <w:color w:val="auto"/>
                      <w:lang w:val="en-US" w:eastAsia="zh-CN"/>
                    </w:rPr>
                    <w:t>200</w:t>
                  </w:r>
                </w:p>
              </w:tc>
              <w:tc>
                <w:tcPr>
                  <w:tcW w:w="771" w:type="dxa"/>
                  <w:tcBorders>
                    <w:tl2br w:val="nil"/>
                    <w:tr2bl w:val="nil"/>
                  </w:tcBorders>
                  <w:shd w:val="clear" w:color="auto" w:fill="auto"/>
                  <w:noWrap/>
                  <w:vAlign w:val="center"/>
                </w:tcPr>
                <w:p w14:paraId="609835F7">
                  <w:pPr>
                    <w:pStyle w:val="37"/>
                    <w:bidi w:val="0"/>
                    <w:rPr>
                      <w:rFonts w:hint="eastAsia"/>
                      <w:color w:val="auto"/>
                    </w:rPr>
                  </w:pPr>
                  <w:r>
                    <w:rPr>
                      <w:rFonts w:hint="eastAsia"/>
                      <w:color w:val="auto"/>
                      <w:lang w:val="en-US" w:eastAsia="zh-CN"/>
                    </w:rPr>
                    <w:t>-101.3</w:t>
                  </w:r>
                </w:p>
              </w:tc>
              <w:tc>
                <w:tcPr>
                  <w:tcW w:w="837" w:type="dxa"/>
                  <w:tcBorders>
                    <w:tl2br w:val="nil"/>
                    <w:tr2bl w:val="nil"/>
                  </w:tcBorders>
                  <w:shd w:val="clear" w:color="auto" w:fill="auto"/>
                  <w:noWrap/>
                  <w:vAlign w:val="center"/>
                </w:tcPr>
                <w:p w14:paraId="7611E918">
                  <w:pPr>
                    <w:pStyle w:val="37"/>
                    <w:bidi w:val="0"/>
                    <w:rPr>
                      <w:rFonts w:hint="eastAsia"/>
                      <w:color w:val="auto"/>
                    </w:rPr>
                  </w:pPr>
                  <w:r>
                    <w:rPr>
                      <w:rFonts w:hint="eastAsia"/>
                      <w:color w:val="auto"/>
                      <w:lang w:val="en-US" w:eastAsia="zh-CN"/>
                    </w:rPr>
                    <w:t>-174.5</w:t>
                  </w:r>
                </w:p>
              </w:tc>
              <w:tc>
                <w:tcPr>
                  <w:tcW w:w="821" w:type="dxa"/>
                  <w:tcBorders>
                    <w:tl2br w:val="nil"/>
                    <w:tr2bl w:val="nil"/>
                  </w:tcBorders>
                  <w:shd w:val="clear" w:color="auto" w:fill="auto"/>
                  <w:noWrap/>
                  <w:vAlign w:val="center"/>
                </w:tcPr>
                <w:p w14:paraId="200263BE">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439411D7">
                  <w:pPr>
                    <w:pStyle w:val="37"/>
                    <w:bidi w:val="0"/>
                    <w:rPr>
                      <w:rFonts w:hint="eastAsia"/>
                      <w:color w:val="auto"/>
                    </w:rPr>
                  </w:pPr>
                  <w:r>
                    <w:rPr>
                      <w:rFonts w:hint="eastAsia"/>
                      <w:color w:val="auto"/>
                      <w:lang w:val="en-US" w:eastAsia="zh-CN"/>
                    </w:rPr>
                    <w:t>48.9</w:t>
                  </w:r>
                </w:p>
              </w:tc>
              <w:tc>
                <w:tcPr>
                  <w:tcW w:w="836" w:type="dxa"/>
                  <w:tcBorders>
                    <w:tl2br w:val="nil"/>
                    <w:tr2bl w:val="nil"/>
                  </w:tcBorders>
                  <w:shd w:val="clear" w:color="auto" w:fill="auto"/>
                  <w:noWrap/>
                  <w:vAlign w:val="center"/>
                </w:tcPr>
                <w:p w14:paraId="60E3B617">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5502842B">
                  <w:pPr>
                    <w:pStyle w:val="37"/>
                    <w:bidi w:val="0"/>
                    <w:rPr>
                      <w:rFonts w:hint="eastAsia"/>
                      <w:color w:val="auto"/>
                    </w:rPr>
                  </w:pPr>
                  <w:r>
                    <w:rPr>
                      <w:rFonts w:hint="eastAsia"/>
                      <w:color w:val="auto"/>
                      <w:lang w:val="en-US" w:eastAsia="zh-CN"/>
                    </w:rPr>
                    <w:t>49.89</w:t>
                  </w:r>
                </w:p>
              </w:tc>
              <w:tc>
                <w:tcPr>
                  <w:tcW w:w="836" w:type="dxa"/>
                  <w:tcBorders>
                    <w:tl2br w:val="nil"/>
                    <w:tr2bl w:val="nil"/>
                  </w:tcBorders>
                  <w:shd w:val="clear" w:color="auto" w:fill="auto"/>
                  <w:noWrap/>
                  <w:vAlign w:val="center"/>
                </w:tcPr>
                <w:p w14:paraId="3A004C45">
                  <w:pPr>
                    <w:pStyle w:val="37"/>
                    <w:bidi w:val="0"/>
                    <w:rPr>
                      <w:rFonts w:hint="eastAsia"/>
                      <w:color w:val="auto"/>
                    </w:rPr>
                  </w:pPr>
                  <w:r>
                    <w:rPr>
                      <w:rFonts w:hint="eastAsia"/>
                      <w:color w:val="auto"/>
                      <w:lang w:val="en-US" w:eastAsia="zh-CN"/>
                    </w:rPr>
                    <w:t>48.9</w:t>
                  </w:r>
                </w:p>
              </w:tc>
              <w:tc>
                <w:tcPr>
                  <w:tcW w:w="836" w:type="dxa"/>
                  <w:tcBorders>
                    <w:tl2br w:val="nil"/>
                    <w:tr2bl w:val="nil"/>
                  </w:tcBorders>
                  <w:shd w:val="clear" w:color="auto" w:fill="auto"/>
                  <w:noWrap/>
                  <w:vAlign w:val="center"/>
                </w:tcPr>
                <w:p w14:paraId="734F45E8">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1502EF18">
                  <w:pPr>
                    <w:pStyle w:val="37"/>
                    <w:bidi w:val="0"/>
                    <w:rPr>
                      <w:rFonts w:hint="eastAsia"/>
                      <w:color w:val="auto"/>
                    </w:rPr>
                  </w:pPr>
                  <w:r>
                    <w:rPr>
                      <w:rFonts w:hint="eastAsia"/>
                      <w:color w:val="auto"/>
                      <w:lang w:val="en-US" w:eastAsia="zh-CN"/>
                    </w:rPr>
                    <w:t>49.17</w:t>
                  </w:r>
                </w:p>
              </w:tc>
            </w:tr>
            <w:tr w14:paraId="1802A3F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51045B4F">
                  <w:pPr>
                    <w:pStyle w:val="37"/>
                    <w:bidi w:val="0"/>
                    <w:rPr>
                      <w:rFonts w:hint="eastAsia"/>
                      <w:color w:val="auto"/>
                    </w:rPr>
                  </w:pPr>
                  <w:r>
                    <w:rPr>
                      <w:rFonts w:hint="eastAsia"/>
                      <w:color w:val="auto"/>
                      <w:lang w:val="en-US" w:eastAsia="zh-CN"/>
                    </w:rPr>
                    <w:t>250</w:t>
                  </w:r>
                </w:p>
              </w:tc>
              <w:tc>
                <w:tcPr>
                  <w:tcW w:w="771" w:type="dxa"/>
                  <w:tcBorders>
                    <w:tl2br w:val="nil"/>
                    <w:tr2bl w:val="nil"/>
                  </w:tcBorders>
                  <w:shd w:val="clear" w:color="auto" w:fill="auto"/>
                  <w:noWrap/>
                  <w:vAlign w:val="center"/>
                </w:tcPr>
                <w:p w14:paraId="292E8B5F">
                  <w:pPr>
                    <w:pStyle w:val="37"/>
                    <w:bidi w:val="0"/>
                    <w:rPr>
                      <w:rFonts w:hint="eastAsia"/>
                      <w:color w:val="auto"/>
                    </w:rPr>
                  </w:pPr>
                  <w:r>
                    <w:rPr>
                      <w:rFonts w:hint="eastAsia"/>
                      <w:color w:val="auto"/>
                      <w:lang w:val="en-US" w:eastAsia="zh-CN"/>
                    </w:rPr>
                    <w:t>-127.9</w:t>
                  </w:r>
                </w:p>
              </w:tc>
              <w:tc>
                <w:tcPr>
                  <w:tcW w:w="837" w:type="dxa"/>
                  <w:tcBorders>
                    <w:tl2br w:val="nil"/>
                    <w:tr2bl w:val="nil"/>
                  </w:tcBorders>
                  <w:shd w:val="clear" w:color="auto" w:fill="auto"/>
                  <w:noWrap/>
                  <w:vAlign w:val="center"/>
                </w:tcPr>
                <w:p w14:paraId="7750BBF1">
                  <w:pPr>
                    <w:pStyle w:val="37"/>
                    <w:bidi w:val="0"/>
                    <w:rPr>
                      <w:rFonts w:hint="eastAsia"/>
                      <w:color w:val="auto"/>
                    </w:rPr>
                  </w:pPr>
                  <w:r>
                    <w:rPr>
                      <w:rFonts w:hint="eastAsia"/>
                      <w:color w:val="auto"/>
                      <w:lang w:val="en-US" w:eastAsia="zh-CN"/>
                    </w:rPr>
                    <w:t>-216.8</w:t>
                  </w:r>
                </w:p>
              </w:tc>
              <w:tc>
                <w:tcPr>
                  <w:tcW w:w="821" w:type="dxa"/>
                  <w:tcBorders>
                    <w:tl2br w:val="nil"/>
                    <w:tr2bl w:val="nil"/>
                  </w:tcBorders>
                  <w:shd w:val="clear" w:color="auto" w:fill="auto"/>
                  <w:noWrap/>
                  <w:vAlign w:val="center"/>
                </w:tcPr>
                <w:p w14:paraId="53B89916">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5D3492F9">
                  <w:pPr>
                    <w:pStyle w:val="37"/>
                    <w:bidi w:val="0"/>
                    <w:rPr>
                      <w:rFonts w:hint="eastAsia"/>
                      <w:color w:val="auto"/>
                    </w:rPr>
                  </w:pPr>
                  <w:r>
                    <w:rPr>
                      <w:rFonts w:hint="eastAsia"/>
                      <w:color w:val="auto"/>
                      <w:lang w:val="en-US" w:eastAsia="zh-CN"/>
                    </w:rPr>
                    <w:t>47.33</w:t>
                  </w:r>
                </w:p>
              </w:tc>
              <w:tc>
                <w:tcPr>
                  <w:tcW w:w="836" w:type="dxa"/>
                  <w:tcBorders>
                    <w:tl2br w:val="nil"/>
                    <w:tr2bl w:val="nil"/>
                  </w:tcBorders>
                  <w:shd w:val="clear" w:color="auto" w:fill="auto"/>
                  <w:noWrap/>
                  <w:vAlign w:val="center"/>
                </w:tcPr>
                <w:p w14:paraId="68FB998F">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30BA5616">
                  <w:pPr>
                    <w:pStyle w:val="37"/>
                    <w:bidi w:val="0"/>
                    <w:rPr>
                      <w:rFonts w:hint="eastAsia"/>
                      <w:color w:val="auto"/>
                    </w:rPr>
                  </w:pPr>
                  <w:r>
                    <w:rPr>
                      <w:rFonts w:hint="eastAsia"/>
                      <w:color w:val="auto"/>
                      <w:lang w:val="en-US" w:eastAsia="zh-CN"/>
                    </w:rPr>
                    <w:t>48.7</w:t>
                  </w:r>
                </w:p>
              </w:tc>
              <w:tc>
                <w:tcPr>
                  <w:tcW w:w="836" w:type="dxa"/>
                  <w:tcBorders>
                    <w:tl2br w:val="nil"/>
                    <w:tr2bl w:val="nil"/>
                  </w:tcBorders>
                  <w:shd w:val="clear" w:color="auto" w:fill="auto"/>
                  <w:noWrap/>
                  <w:vAlign w:val="center"/>
                </w:tcPr>
                <w:p w14:paraId="7752329A">
                  <w:pPr>
                    <w:pStyle w:val="37"/>
                    <w:bidi w:val="0"/>
                    <w:rPr>
                      <w:rFonts w:hint="eastAsia"/>
                      <w:color w:val="auto"/>
                    </w:rPr>
                  </w:pPr>
                  <w:r>
                    <w:rPr>
                      <w:rFonts w:hint="eastAsia"/>
                      <w:color w:val="auto"/>
                      <w:lang w:val="en-US" w:eastAsia="zh-CN"/>
                    </w:rPr>
                    <w:t>47.33</w:t>
                  </w:r>
                </w:p>
              </w:tc>
              <w:tc>
                <w:tcPr>
                  <w:tcW w:w="836" w:type="dxa"/>
                  <w:tcBorders>
                    <w:tl2br w:val="nil"/>
                    <w:tr2bl w:val="nil"/>
                  </w:tcBorders>
                  <w:shd w:val="clear" w:color="auto" w:fill="auto"/>
                  <w:noWrap/>
                  <w:vAlign w:val="center"/>
                </w:tcPr>
                <w:p w14:paraId="5DB89C08">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4B97719D">
                  <w:pPr>
                    <w:pStyle w:val="37"/>
                    <w:bidi w:val="0"/>
                    <w:rPr>
                      <w:rFonts w:hint="eastAsia"/>
                      <w:color w:val="auto"/>
                    </w:rPr>
                  </w:pPr>
                  <w:r>
                    <w:rPr>
                      <w:rFonts w:hint="eastAsia"/>
                      <w:color w:val="auto"/>
                      <w:lang w:val="en-US" w:eastAsia="zh-CN"/>
                    </w:rPr>
                    <w:t>47.72</w:t>
                  </w:r>
                </w:p>
              </w:tc>
            </w:tr>
            <w:tr w14:paraId="066469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6E0673C9">
                  <w:pPr>
                    <w:pStyle w:val="37"/>
                    <w:bidi w:val="0"/>
                    <w:rPr>
                      <w:rFonts w:hint="eastAsia"/>
                      <w:color w:val="auto"/>
                    </w:rPr>
                  </w:pPr>
                  <w:r>
                    <w:rPr>
                      <w:rFonts w:hint="eastAsia"/>
                      <w:color w:val="auto"/>
                      <w:lang w:val="en-US" w:eastAsia="zh-CN"/>
                    </w:rPr>
                    <w:t>300</w:t>
                  </w:r>
                </w:p>
              </w:tc>
              <w:tc>
                <w:tcPr>
                  <w:tcW w:w="771" w:type="dxa"/>
                  <w:tcBorders>
                    <w:tl2br w:val="nil"/>
                    <w:tr2bl w:val="nil"/>
                  </w:tcBorders>
                  <w:shd w:val="clear" w:color="auto" w:fill="auto"/>
                  <w:noWrap/>
                  <w:vAlign w:val="center"/>
                </w:tcPr>
                <w:p w14:paraId="4D5E9F15">
                  <w:pPr>
                    <w:pStyle w:val="37"/>
                    <w:bidi w:val="0"/>
                    <w:rPr>
                      <w:rFonts w:hint="eastAsia"/>
                      <w:color w:val="auto"/>
                    </w:rPr>
                  </w:pPr>
                  <w:r>
                    <w:rPr>
                      <w:rFonts w:hint="eastAsia"/>
                      <w:color w:val="auto"/>
                      <w:lang w:val="en-US" w:eastAsia="zh-CN"/>
                    </w:rPr>
                    <w:t>-154.6</w:t>
                  </w:r>
                </w:p>
              </w:tc>
              <w:tc>
                <w:tcPr>
                  <w:tcW w:w="837" w:type="dxa"/>
                  <w:tcBorders>
                    <w:tl2br w:val="nil"/>
                    <w:tr2bl w:val="nil"/>
                  </w:tcBorders>
                  <w:shd w:val="clear" w:color="auto" w:fill="auto"/>
                  <w:noWrap/>
                  <w:vAlign w:val="center"/>
                </w:tcPr>
                <w:p w14:paraId="760413FB">
                  <w:pPr>
                    <w:pStyle w:val="37"/>
                    <w:bidi w:val="0"/>
                    <w:rPr>
                      <w:rFonts w:hint="eastAsia"/>
                      <w:color w:val="auto"/>
                    </w:rPr>
                  </w:pPr>
                  <w:r>
                    <w:rPr>
                      <w:rFonts w:hint="eastAsia"/>
                      <w:color w:val="auto"/>
                      <w:lang w:val="en-US" w:eastAsia="zh-CN"/>
                    </w:rPr>
                    <w:t>-259.1</w:t>
                  </w:r>
                </w:p>
              </w:tc>
              <w:tc>
                <w:tcPr>
                  <w:tcW w:w="821" w:type="dxa"/>
                  <w:tcBorders>
                    <w:tl2br w:val="nil"/>
                    <w:tr2bl w:val="nil"/>
                  </w:tcBorders>
                  <w:shd w:val="clear" w:color="auto" w:fill="auto"/>
                  <w:noWrap/>
                  <w:vAlign w:val="center"/>
                </w:tcPr>
                <w:p w14:paraId="4A2E495B">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13854418">
                  <w:pPr>
                    <w:pStyle w:val="37"/>
                    <w:bidi w:val="0"/>
                    <w:rPr>
                      <w:rFonts w:hint="eastAsia"/>
                      <w:color w:val="auto"/>
                    </w:rPr>
                  </w:pPr>
                  <w:r>
                    <w:rPr>
                      <w:rFonts w:hint="eastAsia"/>
                      <w:color w:val="auto"/>
                      <w:lang w:val="en-US" w:eastAsia="zh-CN"/>
                    </w:rPr>
                    <w:t>45.93</w:t>
                  </w:r>
                </w:p>
              </w:tc>
              <w:tc>
                <w:tcPr>
                  <w:tcW w:w="836" w:type="dxa"/>
                  <w:tcBorders>
                    <w:tl2br w:val="nil"/>
                    <w:tr2bl w:val="nil"/>
                  </w:tcBorders>
                  <w:shd w:val="clear" w:color="auto" w:fill="auto"/>
                  <w:noWrap/>
                  <w:vAlign w:val="center"/>
                </w:tcPr>
                <w:p w14:paraId="0B882083">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6469794C">
                  <w:pPr>
                    <w:pStyle w:val="37"/>
                    <w:bidi w:val="0"/>
                    <w:rPr>
                      <w:rFonts w:hint="eastAsia"/>
                      <w:color w:val="auto"/>
                    </w:rPr>
                  </w:pPr>
                  <w:r>
                    <w:rPr>
                      <w:rFonts w:hint="eastAsia"/>
                      <w:color w:val="auto"/>
                      <w:lang w:val="en-US" w:eastAsia="zh-CN"/>
                    </w:rPr>
                    <w:t>47.72</w:t>
                  </w:r>
                </w:p>
              </w:tc>
              <w:tc>
                <w:tcPr>
                  <w:tcW w:w="836" w:type="dxa"/>
                  <w:tcBorders>
                    <w:tl2br w:val="nil"/>
                    <w:tr2bl w:val="nil"/>
                  </w:tcBorders>
                  <w:shd w:val="clear" w:color="auto" w:fill="auto"/>
                  <w:noWrap/>
                  <w:vAlign w:val="center"/>
                </w:tcPr>
                <w:p w14:paraId="4E5FBD9A">
                  <w:pPr>
                    <w:pStyle w:val="37"/>
                    <w:bidi w:val="0"/>
                    <w:rPr>
                      <w:rFonts w:hint="eastAsia"/>
                      <w:color w:val="auto"/>
                    </w:rPr>
                  </w:pPr>
                  <w:r>
                    <w:rPr>
                      <w:rFonts w:hint="eastAsia"/>
                      <w:color w:val="auto"/>
                      <w:lang w:val="en-US" w:eastAsia="zh-CN"/>
                    </w:rPr>
                    <w:t>45.93</w:t>
                  </w:r>
                </w:p>
              </w:tc>
              <w:tc>
                <w:tcPr>
                  <w:tcW w:w="836" w:type="dxa"/>
                  <w:tcBorders>
                    <w:tl2br w:val="nil"/>
                    <w:tr2bl w:val="nil"/>
                  </w:tcBorders>
                  <w:shd w:val="clear" w:color="auto" w:fill="auto"/>
                  <w:noWrap/>
                  <w:vAlign w:val="center"/>
                </w:tcPr>
                <w:p w14:paraId="31925071">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2D780866">
                  <w:pPr>
                    <w:pStyle w:val="37"/>
                    <w:bidi w:val="0"/>
                    <w:rPr>
                      <w:rFonts w:hint="eastAsia"/>
                      <w:color w:val="auto"/>
                    </w:rPr>
                  </w:pPr>
                  <w:r>
                    <w:rPr>
                      <w:rFonts w:hint="eastAsia"/>
                      <w:color w:val="auto"/>
                      <w:lang w:val="en-US" w:eastAsia="zh-CN"/>
                    </w:rPr>
                    <w:t>46.45</w:t>
                  </w:r>
                </w:p>
              </w:tc>
            </w:tr>
            <w:tr w14:paraId="73CED5F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3CB9601E">
                  <w:pPr>
                    <w:pStyle w:val="37"/>
                    <w:bidi w:val="0"/>
                    <w:rPr>
                      <w:rFonts w:hint="eastAsia"/>
                      <w:color w:val="auto"/>
                    </w:rPr>
                  </w:pPr>
                  <w:r>
                    <w:rPr>
                      <w:rFonts w:hint="eastAsia"/>
                      <w:color w:val="auto"/>
                      <w:lang w:val="en-US" w:eastAsia="zh-CN"/>
                    </w:rPr>
                    <w:t>350</w:t>
                  </w:r>
                </w:p>
              </w:tc>
              <w:tc>
                <w:tcPr>
                  <w:tcW w:w="771" w:type="dxa"/>
                  <w:tcBorders>
                    <w:tl2br w:val="nil"/>
                    <w:tr2bl w:val="nil"/>
                  </w:tcBorders>
                  <w:shd w:val="clear" w:color="auto" w:fill="auto"/>
                  <w:noWrap/>
                  <w:vAlign w:val="center"/>
                </w:tcPr>
                <w:p w14:paraId="66F6E8FD">
                  <w:pPr>
                    <w:pStyle w:val="37"/>
                    <w:bidi w:val="0"/>
                    <w:rPr>
                      <w:rFonts w:hint="eastAsia"/>
                      <w:color w:val="auto"/>
                    </w:rPr>
                  </w:pPr>
                  <w:r>
                    <w:rPr>
                      <w:rFonts w:hint="eastAsia"/>
                      <w:color w:val="auto"/>
                      <w:lang w:val="en-US" w:eastAsia="zh-CN"/>
                    </w:rPr>
                    <w:t>-181.2</w:t>
                  </w:r>
                </w:p>
              </w:tc>
              <w:tc>
                <w:tcPr>
                  <w:tcW w:w="837" w:type="dxa"/>
                  <w:tcBorders>
                    <w:tl2br w:val="nil"/>
                    <w:tr2bl w:val="nil"/>
                  </w:tcBorders>
                  <w:shd w:val="clear" w:color="auto" w:fill="auto"/>
                  <w:noWrap/>
                  <w:vAlign w:val="center"/>
                </w:tcPr>
                <w:p w14:paraId="12A58E93">
                  <w:pPr>
                    <w:pStyle w:val="37"/>
                    <w:bidi w:val="0"/>
                    <w:rPr>
                      <w:rFonts w:hint="eastAsia"/>
                      <w:color w:val="auto"/>
                    </w:rPr>
                  </w:pPr>
                  <w:r>
                    <w:rPr>
                      <w:rFonts w:hint="eastAsia"/>
                      <w:color w:val="auto"/>
                      <w:lang w:val="en-US" w:eastAsia="zh-CN"/>
                    </w:rPr>
                    <w:t>-301.4</w:t>
                  </w:r>
                </w:p>
              </w:tc>
              <w:tc>
                <w:tcPr>
                  <w:tcW w:w="821" w:type="dxa"/>
                  <w:tcBorders>
                    <w:tl2br w:val="nil"/>
                    <w:tr2bl w:val="nil"/>
                  </w:tcBorders>
                  <w:shd w:val="clear" w:color="auto" w:fill="auto"/>
                  <w:noWrap/>
                  <w:vAlign w:val="center"/>
                </w:tcPr>
                <w:p w14:paraId="2C8537DA">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67074B87">
                  <w:pPr>
                    <w:pStyle w:val="37"/>
                    <w:bidi w:val="0"/>
                    <w:rPr>
                      <w:rFonts w:hint="eastAsia"/>
                      <w:color w:val="auto"/>
                    </w:rPr>
                  </w:pPr>
                  <w:r>
                    <w:rPr>
                      <w:rFonts w:hint="eastAsia"/>
                      <w:color w:val="auto"/>
                      <w:lang w:val="en-US" w:eastAsia="zh-CN"/>
                    </w:rPr>
                    <w:t>44.66</w:t>
                  </w:r>
                </w:p>
              </w:tc>
              <w:tc>
                <w:tcPr>
                  <w:tcW w:w="836" w:type="dxa"/>
                  <w:tcBorders>
                    <w:tl2br w:val="nil"/>
                    <w:tr2bl w:val="nil"/>
                  </w:tcBorders>
                  <w:shd w:val="clear" w:color="auto" w:fill="auto"/>
                  <w:noWrap/>
                  <w:vAlign w:val="center"/>
                </w:tcPr>
                <w:p w14:paraId="5D01A05E">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2026BCFA">
                  <w:pPr>
                    <w:pStyle w:val="37"/>
                    <w:bidi w:val="0"/>
                    <w:rPr>
                      <w:rFonts w:hint="eastAsia"/>
                      <w:color w:val="auto"/>
                    </w:rPr>
                  </w:pPr>
                  <w:r>
                    <w:rPr>
                      <w:rFonts w:hint="eastAsia"/>
                      <w:color w:val="auto"/>
                      <w:lang w:val="en-US" w:eastAsia="zh-CN"/>
                    </w:rPr>
                    <w:t>46.92</w:t>
                  </w:r>
                </w:p>
              </w:tc>
              <w:tc>
                <w:tcPr>
                  <w:tcW w:w="836" w:type="dxa"/>
                  <w:tcBorders>
                    <w:tl2br w:val="nil"/>
                    <w:tr2bl w:val="nil"/>
                  </w:tcBorders>
                  <w:shd w:val="clear" w:color="auto" w:fill="auto"/>
                  <w:noWrap/>
                  <w:vAlign w:val="center"/>
                </w:tcPr>
                <w:p w14:paraId="527FAD0A">
                  <w:pPr>
                    <w:pStyle w:val="37"/>
                    <w:bidi w:val="0"/>
                    <w:rPr>
                      <w:rFonts w:hint="eastAsia"/>
                      <w:color w:val="auto"/>
                    </w:rPr>
                  </w:pPr>
                  <w:r>
                    <w:rPr>
                      <w:rFonts w:hint="eastAsia"/>
                      <w:color w:val="auto"/>
                      <w:lang w:val="en-US" w:eastAsia="zh-CN"/>
                    </w:rPr>
                    <w:t>44.66</w:t>
                  </w:r>
                </w:p>
              </w:tc>
              <w:tc>
                <w:tcPr>
                  <w:tcW w:w="836" w:type="dxa"/>
                  <w:tcBorders>
                    <w:tl2br w:val="nil"/>
                    <w:tr2bl w:val="nil"/>
                  </w:tcBorders>
                  <w:shd w:val="clear" w:color="auto" w:fill="auto"/>
                  <w:noWrap/>
                  <w:vAlign w:val="center"/>
                </w:tcPr>
                <w:p w14:paraId="53D609B1">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02635F33">
                  <w:pPr>
                    <w:pStyle w:val="37"/>
                    <w:bidi w:val="0"/>
                    <w:rPr>
                      <w:rFonts w:hint="eastAsia"/>
                      <w:color w:val="auto"/>
                    </w:rPr>
                  </w:pPr>
                  <w:r>
                    <w:rPr>
                      <w:rFonts w:hint="eastAsia"/>
                      <w:color w:val="auto"/>
                      <w:lang w:val="en-US" w:eastAsia="zh-CN"/>
                    </w:rPr>
                    <w:t>45.35</w:t>
                  </w:r>
                </w:p>
              </w:tc>
            </w:tr>
            <w:tr w14:paraId="3D7CD10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0D038ED8">
                  <w:pPr>
                    <w:pStyle w:val="37"/>
                    <w:bidi w:val="0"/>
                    <w:rPr>
                      <w:rFonts w:hint="eastAsia"/>
                      <w:color w:val="auto"/>
                    </w:rPr>
                  </w:pPr>
                  <w:r>
                    <w:rPr>
                      <w:rFonts w:hint="eastAsia"/>
                      <w:color w:val="auto"/>
                      <w:lang w:val="en-US" w:eastAsia="zh-CN"/>
                    </w:rPr>
                    <w:t>400</w:t>
                  </w:r>
                </w:p>
              </w:tc>
              <w:tc>
                <w:tcPr>
                  <w:tcW w:w="771" w:type="dxa"/>
                  <w:tcBorders>
                    <w:tl2br w:val="nil"/>
                    <w:tr2bl w:val="nil"/>
                  </w:tcBorders>
                  <w:shd w:val="clear" w:color="auto" w:fill="auto"/>
                  <w:noWrap/>
                  <w:vAlign w:val="center"/>
                </w:tcPr>
                <w:p w14:paraId="5530A7FB">
                  <w:pPr>
                    <w:pStyle w:val="37"/>
                    <w:bidi w:val="0"/>
                    <w:rPr>
                      <w:rFonts w:hint="eastAsia"/>
                      <w:color w:val="auto"/>
                    </w:rPr>
                  </w:pPr>
                  <w:r>
                    <w:rPr>
                      <w:rFonts w:hint="eastAsia"/>
                      <w:color w:val="auto"/>
                      <w:lang w:val="en-US" w:eastAsia="zh-CN"/>
                    </w:rPr>
                    <w:t>-207.9</w:t>
                  </w:r>
                </w:p>
              </w:tc>
              <w:tc>
                <w:tcPr>
                  <w:tcW w:w="837" w:type="dxa"/>
                  <w:tcBorders>
                    <w:tl2br w:val="nil"/>
                    <w:tr2bl w:val="nil"/>
                  </w:tcBorders>
                  <w:shd w:val="clear" w:color="auto" w:fill="auto"/>
                  <w:noWrap/>
                  <w:vAlign w:val="center"/>
                </w:tcPr>
                <w:p w14:paraId="240CCE54">
                  <w:pPr>
                    <w:pStyle w:val="37"/>
                    <w:bidi w:val="0"/>
                    <w:rPr>
                      <w:rFonts w:hint="eastAsia"/>
                      <w:color w:val="auto"/>
                    </w:rPr>
                  </w:pPr>
                  <w:r>
                    <w:rPr>
                      <w:rFonts w:hint="eastAsia"/>
                      <w:color w:val="auto"/>
                      <w:lang w:val="en-US" w:eastAsia="zh-CN"/>
                    </w:rPr>
                    <w:t>-343.7</w:t>
                  </w:r>
                </w:p>
              </w:tc>
              <w:tc>
                <w:tcPr>
                  <w:tcW w:w="821" w:type="dxa"/>
                  <w:tcBorders>
                    <w:tl2br w:val="nil"/>
                    <w:tr2bl w:val="nil"/>
                  </w:tcBorders>
                  <w:shd w:val="clear" w:color="auto" w:fill="auto"/>
                  <w:noWrap/>
                  <w:vAlign w:val="center"/>
                </w:tcPr>
                <w:p w14:paraId="1EA571A4">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757025AB">
                  <w:pPr>
                    <w:pStyle w:val="37"/>
                    <w:bidi w:val="0"/>
                    <w:rPr>
                      <w:rFonts w:hint="eastAsia"/>
                      <w:color w:val="auto"/>
                    </w:rPr>
                  </w:pPr>
                  <w:r>
                    <w:rPr>
                      <w:rFonts w:hint="eastAsia"/>
                      <w:color w:val="auto"/>
                      <w:lang w:val="en-US" w:eastAsia="zh-CN"/>
                    </w:rPr>
                    <w:t>43.52</w:t>
                  </w:r>
                </w:p>
              </w:tc>
              <w:tc>
                <w:tcPr>
                  <w:tcW w:w="836" w:type="dxa"/>
                  <w:tcBorders>
                    <w:tl2br w:val="nil"/>
                    <w:tr2bl w:val="nil"/>
                  </w:tcBorders>
                  <w:shd w:val="clear" w:color="auto" w:fill="auto"/>
                  <w:noWrap/>
                  <w:vAlign w:val="center"/>
                </w:tcPr>
                <w:p w14:paraId="3D4F9F9A">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1EB2DF1B">
                  <w:pPr>
                    <w:pStyle w:val="37"/>
                    <w:bidi w:val="0"/>
                    <w:rPr>
                      <w:rFonts w:hint="eastAsia"/>
                      <w:color w:val="auto"/>
                    </w:rPr>
                  </w:pPr>
                  <w:r>
                    <w:rPr>
                      <w:rFonts w:hint="eastAsia"/>
                      <w:color w:val="auto"/>
                      <w:lang w:val="en-US" w:eastAsia="zh-CN"/>
                    </w:rPr>
                    <w:t>46.28</w:t>
                  </w:r>
                </w:p>
              </w:tc>
              <w:tc>
                <w:tcPr>
                  <w:tcW w:w="836" w:type="dxa"/>
                  <w:tcBorders>
                    <w:tl2br w:val="nil"/>
                    <w:tr2bl w:val="nil"/>
                  </w:tcBorders>
                  <w:shd w:val="clear" w:color="auto" w:fill="auto"/>
                  <w:noWrap/>
                  <w:vAlign w:val="center"/>
                </w:tcPr>
                <w:p w14:paraId="288D38A9">
                  <w:pPr>
                    <w:pStyle w:val="37"/>
                    <w:bidi w:val="0"/>
                    <w:rPr>
                      <w:rFonts w:hint="eastAsia"/>
                      <w:color w:val="auto"/>
                    </w:rPr>
                  </w:pPr>
                  <w:r>
                    <w:rPr>
                      <w:rFonts w:hint="eastAsia"/>
                      <w:color w:val="auto"/>
                      <w:lang w:val="en-US" w:eastAsia="zh-CN"/>
                    </w:rPr>
                    <w:t>43.52</w:t>
                  </w:r>
                </w:p>
              </w:tc>
              <w:tc>
                <w:tcPr>
                  <w:tcW w:w="836" w:type="dxa"/>
                  <w:tcBorders>
                    <w:tl2br w:val="nil"/>
                    <w:tr2bl w:val="nil"/>
                  </w:tcBorders>
                  <w:shd w:val="clear" w:color="auto" w:fill="auto"/>
                  <w:noWrap/>
                  <w:vAlign w:val="center"/>
                </w:tcPr>
                <w:p w14:paraId="095DA61F">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34820293">
                  <w:pPr>
                    <w:pStyle w:val="37"/>
                    <w:bidi w:val="0"/>
                    <w:rPr>
                      <w:rFonts w:hint="eastAsia"/>
                      <w:color w:val="auto"/>
                    </w:rPr>
                  </w:pPr>
                  <w:r>
                    <w:rPr>
                      <w:rFonts w:hint="eastAsia"/>
                      <w:color w:val="auto"/>
                      <w:lang w:val="en-US" w:eastAsia="zh-CN"/>
                    </w:rPr>
                    <w:t>44.39</w:t>
                  </w:r>
                </w:p>
              </w:tc>
            </w:tr>
            <w:tr w14:paraId="0E802C8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7A71FCED">
                  <w:pPr>
                    <w:pStyle w:val="37"/>
                    <w:bidi w:val="0"/>
                    <w:rPr>
                      <w:rFonts w:hint="eastAsia"/>
                      <w:color w:val="auto"/>
                    </w:rPr>
                  </w:pPr>
                  <w:r>
                    <w:rPr>
                      <w:rFonts w:hint="eastAsia"/>
                      <w:color w:val="auto"/>
                      <w:lang w:val="en-US" w:eastAsia="zh-CN"/>
                    </w:rPr>
                    <w:t>450</w:t>
                  </w:r>
                </w:p>
              </w:tc>
              <w:tc>
                <w:tcPr>
                  <w:tcW w:w="771" w:type="dxa"/>
                  <w:tcBorders>
                    <w:tl2br w:val="nil"/>
                    <w:tr2bl w:val="nil"/>
                  </w:tcBorders>
                  <w:shd w:val="clear" w:color="auto" w:fill="auto"/>
                  <w:noWrap/>
                  <w:vAlign w:val="center"/>
                </w:tcPr>
                <w:p w14:paraId="3DCDA31B">
                  <w:pPr>
                    <w:pStyle w:val="37"/>
                    <w:bidi w:val="0"/>
                    <w:rPr>
                      <w:rFonts w:hint="eastAsia"/>
                      <w:color w:val="auto"/>
                    </w:rPr>
                  </w:pPr>
                  <w:r>
                    <w:rPr>
                      <w:rFonts w:hint="eastAsia"/>
                      <w:color w:val="auto"/>
                      <w:lang w:val="en-US" w:eastAsia="zh-CN"/>
                    </w:rPr>
                    <w:t>-234.5</w:t>
                  </w:r>
                </w:p>
              </w:tc>
              <w:tc>
                <w:tcPr>
                  <w:tcW w:w="837" w:type="dxa"/>
                  <w:tcBorders>
                    <w:tl2br w:val="nil"/>
                    <w:tr2bl w:val="nil"/>
                  </w:tcBorders>
                  <w:shd w:val="clear" w:color="auto" w:fill="auto"/>
                  <w:noWrap/>
                  <w:vAlign w:val="center"/>
                </w:tcPr>
                <w:p w14:paraId="04AC604E">
                  <w:pPr>
                    <w:pStyle w:val="37"/>
                    <w:bidi w:val="0"/>
                    <w:rPr>
                      <w:rFonts w:hint="eastAsia"/>
                      <w:color w:val="auto"/>
                    </w:rPr>
                  </w:pPr>
                  <w:r>
                    <w:rPr>
                      <w:rFonts w:hint="eastAsia"/>
                      <w:color w:val="auto"/>
                      <w:lang w:val="en-US" w:eastAsia="zh-CN"/>
                    </w:rPr>
                    <w:t>-386.0</w:t>
                  </w:r>
                </w:p>
              </w:tc>
              <w:tc>
                <w:tcPr>
                  <w:tcW w:w="821" w:type="dxa"/>
                  <w:tcBorders>
                    <w:tl2br w:val="nil"/>
                    <w:tr2bl w:val="nil"/>
                  </w:tcBorders>
                  <w:shd w:val="clear" w:color="auto" w:fill="auto"/>
                  <w:noWrap/>
                  <w:vAlign w:val="center"/>
                </w:tcPr>
                <w:p w14:paraId="5C8E67EE">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5EB0E964">
                  <w:pPr>
                    <w:pStyle w:val="37"/>
                    <w:bidi w:val="0"/>
                    <w:rPr>
                      <w:rFonts w:hint="eastAsia"/>
                      <w:color w:val="auto"/>
                    </w:rPr>
                  </w:pPr>
                  <w:r>
                    <w:rPr>
                      <w:rFonts w:hint="eastAsia"/>
                      <w:color w:val="auto"/>
                      <w:lang w:val="en-US" w:eastAsia="zh-CN"/>
                    </w:rPr>
                    <w:t>42.24</w:t>
                  </w:r>
                </w:p>
              </w:tc>
              <w:tc>
                <w:tcPr>
                  <w:tcW w:w="836" w:type="dxa"/>
                  <w:tcBorders>
                    <w:tl2br w:val="nil"/>
                    <w:tr2bl w:val="nil"/>
                  </w:tcBorders>
                  <w:shd w:val="clear" w:color="auto" w:fill="auto"/>
                  <w:noWrap/>
                  <w:vAlign w:val="center"/>
                </w:tcPr>
                <w:p w14:paraId="2180C611">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5A6AEBBC">
                  <w:pPr>
                    <w:pStyle w:val="37"/>
                    <w:bidi w:val="0"/>
                    <w:rPr>
                      <w:rFonts w:hint="eastAsia"/>
                      <w:color w:val="auto"/>
                    </w:rPr>
                  </w:pPr>
                  <w:r>
                    <w:rPr>
                      <w:rFonts w:hint="eastAsia"/>
                      <w:color w:val="auto"/>
                      <w:lang w:val="en-US" w:eastAsia="zh-CN"/>
                    </w:rPr>
                    <w:t>45.65</w:t>
                  </w:r>
                </w:p>
              </w:tc>
              <w:tc>
                <w:tcPr>
                  <w:tcW w:w="836" w:type="dxa"/>
                  <w:tcBorders>
                    <w:tl2br w:val="nil"/>
                    <w:tr2bl w:val="nil"/>
                  </w:tcBorders>
                  <w:shd w:val="clear" w:color="auto" w:fill="auto"/>
                  <w:noWrap/>
                  <w:vAlign w:val="center"/>
                </w:tcPr>
                <w:p w14:paraId="41D97C4C">
                  <w:pPr>
                    <w:pStyle w:val="37"/>
                    <w:bidi w:val="0"/>
                    <w:rPr>
                      <w:rFonts w:hint="eastAsia"/>
                      <w:color w:val="auto"/>
                    </w:rPr>
                  </w:pPr>
                  <w:r>
                    <w:rPr>
                      <w:rFonts w:hint="eastAsia"/>
                      <w:color w:val="auto"/>
                      <w:lang w:val="en-US" w:eastAsia="zh-CN"/>
                    </w:rPr>
                    <w:t>42.24</w:t>
                  </w:r>
                </w:p>
              </w:tc>
              <w:tc>
                <w:tcPr>
                  <w:tcW w:w="836" w:type="dxa"/>
                  <w:tcBorders>
                    <w:tl2br w:val="nil"/>
                    <w:tr2bl w:val="nil"/>
                  </w:tcBorders>
                  <w:shd w:val="clear" w:color="auto" w:fill="auto"/>
                  <w:noWrap/>
                  <w:vAlign w:val="center"/>
                </w:tcPr>
                <w:p w14:paraId="3E7DD212">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63EDF3AF">
                  <w:pPr>
                    <w:pStyle w:val="37"/>
                    <w:bidi w:val="0"/>
                    <w:rPr>
                      <w:rFonts w:hint="eastAsia"/>
                      <w:color w:val="auto"/>
                    </w:rPr>
                  </w:pPr>
                  <w:r>
                    <w:rPr>
                      <w:rFonts w:hint="eastAsia"/>
                      <w:color w:val="auto"/>
                      <w:lang w:val="en-US" w:eastAsia="zh-CN"/>
                    </w:rPr>
                    <w:t>43.38</w:t>
                  </w:r>
                </w:p>
              </w:tc>
            </w:tr>
            <w:tr w14:paraId="2BDEF7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7EE33F1A">
                  <w:pPr>
                    <w:pStyle w:val="37"/>
                    <w:bidi w:val="0"/>
                    <w:rPr>
                      <w:rFonts w:hint="eastAsia"/>
                      <w:color w:val="auto"/>
                    </w:rPr>
                  </w:pPr>
                  <w:r>
                    <w:rPr>
                      <w:rFonts w:hint="eastAsia"/>
                      <w:color w:val="auto"/>
                      <w:lang w:val="en-US" w:eastAsia="zh-CN"/>
                    </w:rPr>
                    <w:t>500</w:t>
                  </w:r>
                </w:p>
              </w:tc>
              <w:tc>
                <w:tcPr>
                  <w:tcW w:w="771" w:type="dxa"/>
                  <w:tcBorders>
                    <w:tl2br w:val="nil"/>
                    <w:tr2bl w:val="nil"/>
                  </w:tcBorders>
                  <w:shd w:val="clear" w:color="auto" w:fill="auto"/>
                  <w:noWrap/>
                  <w:vAlign w:val="center"/>
                </w:tcPr>
                <w:p w14:paraId="4630F2FB">
                  <w:pPr>
                    <w:pStyle w:val="37"/>
                    <w:bidi w:val="0"/>
                    <w:rPr>
                      <w:rFonts w:hint="eastAsia"/>
                      <w:color w:val="auto"/>
                    </w:rPr>
                  </w:pPr>
                  <w:r>
                    <w:rPr>
                      <w:rFonts w:hint="eastAsia"/>
                      <w:color w:val="auto"/>
                      <w:lang w:val="en-US" w:eastAsia="zh-CN"/>
                    </w:rPr>
                    <w:t>-261.2</w:t>
                  </w:r>
                </w:p>
              </w:tc>
              <w:tc>
                <w:tcPr>
                  <w:tcW w:w="837" w:type="dxa"/>
                  <w:tcBorders>
                    <w:tl2br w:val="nil"/>
                    <w:tr2bl w:val="nil"/>
                  </w:tcBorders>
                  <w:shd w:val="clear" w:color="auto" w:fill="auto"/>
                  <w:noWrap/>
                  <w:vAlign w:val="center"/>
                </w:tcPr>
                <w:p w14:paraId="78FD0F66">
                  <w:pPr>
                    <w:pStyle w:val="37"/>
                    <w:bidi w:val="0"/>
                    <w:rPr>
                      <w:rFonts w:hint="eastAsia"/>
                      <w:color w:val="auto"/>
                    </w:rPr>
                  </w:pPr>
                  <w:r>
                    <w:rPr>
                      <w:rFonts w:hint="eastAsia"/>
                      <w:color w:val="auto"/>
                      <w:lang w:val="en-US" w:eastAsia="zh-CN"/>
                    </w:rPr>
                    <w:t>-428.3</w:t>
                  </w:r>
                </w:p>
              </w:tc>
              <w:tc>
                <w:tcPr>
                  <w:tcW w:w="821" w:type="dxa"/>
                  <w:tcBorders>
                    <w:tl2br w:val="nil"/>
                    <w:tr2bl w:val="nil"/>
                  </w:tcBorders>
                  <w:shd w:val="clear" w:color="auto" w:fill="auto"/>
                  <w:noWrap/>
                  <w:vAlign w:val="center"/>
                </w:tcPr>
                <w:p w14:paraId="79EC445A">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66FFE999">
                  <w:pPr>
                    <w:pStyle w:val="37"/>
                    <w:bidi w:val="0"/>
                    <w:rPr>
                      <w:rFonts w:hint="eastAsia"/>
                      <w:color w:val="auto"/>
                    </w:rPr>
                  </w:pPr>
                  <w:r>
                    <w:rPr>
                      <w:rFonts w:hint="eastAsia"/>
                      <w:color w:val="auto"/>
                      <w:lang w:val="en-US" w:eastAsia="zh-CN"/>
                    </w:rPr>
                    <w:t>40.86</w:t>
                  </w:r>
                </w:p>
              </w:tc>
              <w:tc>
                <w:tcPr>
                  <w:tcW w:w="836" w:type="dxa"/>
                  <w:tcBorders>
                    <w:tl2br w:val="nil"/>
                    <w:tr2bl w:val="nil"/>
                  </w:tcBorders>
                  <w:shd w:val="clear" w:color="auto" w:fill="auto"/>
                  <w:noWrap/>
                  <w:vAlign w:val="center"/>
                </w:tcPr>
                <w:p w14:paraId="5CB22CF1">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39A18CA5">
                  <w:pPr>
                    <w:pStyle w:val="37"/>
                    <w:bidi w:val="0"/>
                    <w:rPr>
                      <w:rFonts w:hint="eastAsia"/>
                      <w:color w:val="auto"/>
                    </w:rPr>
                  </w:pPr>
                  <w:r>
                    <w:rPr>
                      <w:rFonts w:hint="eastAsia"/>
                      <w:color w:val="auto"/>
                      <w:lang w:val="en-US" w:eastAsia="zh-CN"/>
                    </w:rPr>
                    <w:t>45.07</w:t>
                  </w:r>
                </w:p>
              </w:tc>
              <w:tc>
                <w:tcPr>
                  <w:tcW w:w="836" w:type="dxa"/>
                  <w:tcBorders>
                    <w:tl2br w:val="nil"/>
                    <w:tr2bl w:val="nil"/>
                  </w:tcBorders>
                  <w:shd w:val="clear" w:color="auto" w:fill="auto"/>
                  <w:noWrap/>
                  <w:vAlign w:val="center"/>
                </w:tcPr>
                <w:p w14:paraId="53D10EA5">
                  <w:pPr>
                    <w:pStyle w:val="37"/>
                    <w:bidi w:val="0"/>
                    <w:rPr>
                      <w:rFonts w:hint="eastAsia"/>
                      <w:color w:val="auto"/>
                    </w:rPr>
                  </w:pPr>
                  <w:r>
                    <w:rPr>
                      <w:rFonts w:hint="eastAsia"/>
                      <w:color w:val="auto"/>
                      <w:lang w:val="en-US" w:eastAsia="zh-CN"/>
                    </w:rPr>
                    <w:t>40.86</w:t>
                  </w:r>
                </w:p>
              </w:tc>
              <w:tc>
                <w:tcPr>
                  <w:tcW w:w="836" w:type="dxa"/>
                  <w:tcBorders>
                    <w:tl2br w:val="nil"/>
                    <w:tr2bl w:val="nil"/>
                  </w:tcBorders>
                  <w:shd w:val="clear" w:color="auto" w:fill="auto"/>
                  <w:noWrap/>
                  <w:vAlign w:val="center"/>
                </w:tcPr>
                <w:p w14:paraId="4257AE57">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21C61FF6">
                  <w:pPr>
                    <w:pStyle w:val="37"/>
                    <w:bidi w:val="0"/>
                    <w:rPr>
                      <w:rFonts w:hint="eastAsia"/>
                      <w:color w:val="auto"/>
                    </w:rPr>
                  </w:pPr>
                  <w:r>
                    <w:rPr>
                      <w:rFonts w:hint="eastAsia"/>
                      <w:color w:val="auto"/>
                      <w:lang w:val="en-US" w:eastAsia="zh-CN"/>
                    </w:rPr>
                    <w:t>42.36</w:t>
                  </w:r>
                </w:p>
              </w:tc>
            </w:tr>
            <w:tr w14:paraId="31CFA67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0BF4376C">
                  <w:pPr>
                    <w:pStyle w:val="37"/>
                    <w:bidi w:val="0"/>
                    <w:rPr>
                      <w:rFonts w:hint="eastAsia"/>
                      <w:color w:val="auto"/>
                    </w:rPr>
                  </w:pPr>
                  <w:r>
                    <w:rPr>
                      <w:rFonts w:hint="eastAsia"/>
                      <w:color w:val="auto"/>
                      <w:lang w:val="en-US" w:eastAsia="zh-CN"/>
                    </w:rPr>
                    <w:t>550</w:t>
                  </w:r>
                </w:p>
              </w:tc>
              <w:tc>
                <w:tcPr>
                  <w:tcW w:w="771" w:type="dxa"/>
                  <w:tcBorders>
                    <w:tl2br w:val="nil"/>
                    <w:tr2bl w:val="nil"/>
                  </w:tcBorders>
                  <w:shd w:val="clear" w:color="auto" w:fill="auto"/>
                  <w:noWrap/>
                  <w:vAlign w:val="center"/>
                </w:tcPr>
                <w:p w14:paraId="27E88131">
                  <w:pPr>
                    <w:pStyle w:val="37"/>
                    <w:bidi w:val="0"/>
                    <w:rPr>
                      <w:rFonts w:hint="eastAsia"/>
                      <w:color w:val="auto"/>
                    </w:rPr>
                  </w:pPr>
                  <w:r>
                    <w:rPr>
                      <w:rFonts w:hint="eastAsia"/>
                      <w:color w:val="auto"/>
                      <w:lang w:val="en-US" w:eastAsia="zh-CN"/>
                    </w:rPr>
                    <w:t>-287.8</w:t>
                  </w:r>
                </w:p>
              </w:tc>
              <w:tc>
                <w:tcPr>
                  <w:tcW w:w="837" w:type="dxa"/>
                  <w:tcBorders>
                    <w:tl2br w:val="nil"/>
                    <w:tr2bl w:val="nil"/>
                  </w:tcBorders>
                  <w:shd w:val="clear" w:color="auto" w:fill="auto"/>
                  <w:noWrap/>
                  <w:vAlign w:val="center"/>
                </w:tcPr>
                <w:p w14:paraId="39D07044">
                  <w:pPr>
                    <w:pStyle w:val="37"/>
                    <w:bidi w:val="0"/>
                    <w:rPr>
                      <w:rFonts w:hint="eastAsia"/>
                      <w:color w:val="auto"/>
                    </w:rPr>
                  </w:pPr>
                  <w:r>
                    <w:rPr>
                      <w:rFonts w:hint="eastAsia"/>
                      <w:color w:val="auto"/>
                      <w:lang w:val="en-US" w:eastAsia="zh-CN"/>
                    </w:rPr>
                    <w:t>-470.6</w:t>
                  </w:r>
                </w:p>
              </w:tc>
              <w:tc>
                <w:tcPr>
                  <w:tcW w:w="821" w:type="dxa"/>
                  <w:tcBorders>
                    <w:tl2br w:val="nil"/>
                    <w:tr2bl w:val="nil"/>
                  </w:tcBorders>
                  <w:shd w:val="clear" w:color="auto" w:fill="auto"/>
                  <w:noWrap/>
                  <w:vAlign w:val="center"/>
                </w:tcPr>
                <w:p w14:paraId="117F36DB">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2AC5BB40">
                  <w:pPr>
                    <w:pStyle w:val="37"/>
                    <w:bidi w:val="0"/>
                    <w:rPr>
                      <w:rFonts w:hint="eastAsia"/>
                      <w:color w:val="auto"/>
                    </w:rPr>
                  </w:pPr>
                  <w:r>
                    <w:rPr>
                      <w:rFonts w:hint="eastAsia"/>
                      <w:color w:val="auto"/>
                      <w:lang w:val="en-US" w:eastAsia="zh-CN"/>
                    </w:rPr>
                    <w:t>39.62</w:t>
                  </w:r>
                </w:p>
              </w:tc>
              <w:tc>
                <w:tcPr>
                  <w:tcW w:w="836" w:type="dxa"/>
                  <w:tcBorders>
                    <w:tl2br w:val="nil"/>
                    <w:tr2bl w:val="nil"/>
                  </w:tcBorders>
                  <w:shd w:val="clear" w:color="auto" w:fill="auto"/>
                  <w:noWrap/>
                  <w:vAlign w:val="center"/>
                </w:tcPr>
                <w:p w14:paraId="3C72CBBC">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0ECE4431">
                  <w:pPr>
                    <w:pStyle w:val="37"/>
                    <w:bidi w:val="0"/>
                    <w:rPr>
                      <w:rFonts w:hint="eastAsia"/>
                      <w:color w:val="auto"/>
                    </w:rPr>
                  </w:pPr>
                  <w:r>
                    <w:rPr>
                      <w:rFonts w:hint="eastAsia"/>
                      <w:color w:val="auto"/>
                      <w:lang w:val="en-US" w:eastAsia="zh-CN"/>
                    </w:rPr>
                    <w:t>44.64</w:t>
                  </w:r>
                </w:p>
              </w:tc>
              <w:tc>
                <w:tcPr>
                  <w:tcW w:w="836" w:type="dxa"/>
                  <w:tcBorders>
                    <w:tl2br w:val="nil"/>
                    <w:tr2bl w:val="nil"/>
                  </w:tcBorders>
                  <w:shd w:val="clear" w:color="auto" w:fill="auto"/>
                  <w:noWrap/>
                  <w:vAlign w:val="center"/>
                </w:tcPr>
                <w:p w14:paraId="4C023D3D">
                  <w:pPr>
                    <w:pStyle w:val="37"/>
                    <w:bidi w:val="0"/>
                    <w:rPr>
                      <w:rFonts w:hint="eastAsia"/>
                      <w:color w:val="auto"/>
                    </w:rPr>
                  </w:pPr>
                  <w:r>
                    <w:rPr>
                      <w:rFonts w:hint="eastAsia"/>
                      <w:color w:val="auto"/>
                      <w:lang w:val="en-US" w:eastAsia="zh-CN"/>
                    </w:rPr>
                    <w:t>39.62</w:t>
                  </w:r>
                </w:p>
              </w:tc>
              <w:tc>
                <w:tcPr>
                  <w:tcW w:w="836" w:type="dxa"/>
                  <w:tcBorders>
                    <w:tl2br w:val="nil"/>
                    <w:tr2bl w:val="nil"/>
                  </w:tcBorders>
                  <w:shd w:val="clear" w:color="auto" w:fill="auto"/>
                  <w:noWrap/>
                  <w:vAlign w:val="center"/>
                </w:tcPr>
                <w:p w14:paraId="4AAB832F">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0F688243">
                  <w:pPr>
                    <w:pStyle w:val="37"/>
                    <w:bidi w:val="0"/>
                    <w:rPr>
                      <w:rFonts w:hint="eastAsia"/>
                      <w:color w:val="auto"/>
                    </w:rPr>
                  </w:pPr>
                  <w:r>
                    <w:rPr>
                      <w:rFonts w:hint="eastAsia"/>
                      <w:color w:val="auto"/>
                      <w:lang w:val="en-US" w:eastAsia="zh-CN"/>
                    </w:rPr>
                    <w:t>41.52</w:t>
                  </w:r>
                </w:p>
              </w:tc>
            </w:tr>
            <w:tr w14:paraId="7025F2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78B7CCAA">
                  <w:pPr>
                    <w:pStyle w:val="37"/>
                    <w:bidi w:val="0"/>
                    <w:rPr>
                      <w:rFonts w:hint="eastAsia"/>
                      <w:color w:val="auto"/>
                    </w:rPr>
                  </w:pPr>
                  <w:r>
                    <w:rPr>
                      <w:rFonts w:hint="eastAsia"/>
                      <w:color w:val="auto"/>
                      <w:lang w:val="en-US" w:eastAsia="zh-CN"/>
                    </w:rPr>
                    <w:t>600</w:t>
                  </w:r>
                </w:p>
              </w:tc>
              <w:tc>
                <w:tcPr>
                  <w:tcW w:w="771" w:type="dxa"/>
                  <w:tcBorders>
                    <w:tl2br w:val="nil"/>
                    <w:tr2bl w:val="nil"/>
                  </w:tcBorders>
                  <w:shd w:val="clear" w:color="auto" w:fill="auto"/>
                  <w:noWrap/>
                  <w:vAlign w:val="center"/>
                </w:tcPr>
                <w:p w14:paraId="10556727">
                  <w:pPr>
                    <w:pStyle w:val="37"/>
                    <w:bidi w:val="0"/>
                    <w:rPr>
                      <w:rFonts w:hint="eastAsia"/>
                      <w:color w:val="auto"/>
                    </w:rPr>
                  </w:pPr>
                  <w:r>
                    <w:rPr>
                      <w:rFonts w:hint="eastAsia"/>
                      <w:color w:val="auto"/>
                      <w:lang w:val="en-US" w:eastAsia="zh-CN"/>
                    </w:rPr>
                    <w:t>-314.4</w:t>
                  </w:r>
                </w:p>
              </w:tc>
              <w:tc>
                <w:tcPr>
                  <w:tcW w:w="837" w:type="dxa"/>
                  <w:tcBorders>
                    <w:tl2br w:val="nil"/>
                    <w:tr2bl w:val="nil"/>
                  </w:tcBorders>
                  <w:shd w:val="clear" w:color="auto" w:fill="auto"/>
                  <w:noWrap/>
                  <w:vAlign w:val="center"/>
                </w:tcPr>
                <w:p w14:paraId="2F1C914F">
                  <w:pPr>
                    <w:pStyle w:val="37"/>
                    <w:bidi w:val="0"/>
                    <w:rPr>
                      <w:rFonts w:hint="eastAsia"/>
                      <w:color w:val="auto"/>
                    </w:rPr>
                  </w:pPr>
                  <w:r>
                    <w:rPr>
                      <w:rFonts w:hint="eastAsia"/>
                      <w:color w:val="auto"/>
                      <w:lang w:val="en-US" w:eastAsia="zh-CN"/>
                    </w:rPr>
                    <w:t>-512.9</w:t>
                  </w:r>
                </w:p>
              </w:tc>
              <w:tc>
                <w:tcPr>
                  <w:tcW w:w="821" w:type="dxa"/>
                  <w:tcBorders>
                    <w:tl2br w:val="nil"/>
                    <w:tr2bl w:val="nil"/>
                  </w:tcBorders>
                  <w:shd w:val="clear" w:color="auto" w:fill="auto"/>
                  <w:noWrap/>
                  <w:vAlign w:val="center"/>
                </w:tcPr>
                <w:p w14:paraId="1AADF7A3">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20056FD8">
                  <w:pPr>
                    <w:pStyle w:val="37"/>
                    <w:bidi w:val="0"/>
                    <w:rPr>
                      <w:rFonts w:hint="eastAsia"/>
                      <w:color w:val="auto"/>
                    </w:rPr>
                  </w:pPr>
                  <w:r>
                    <w:rPr>
                      <w:rFonts w:hint="eastAsia"/>
                      <w:color w:val="auto"/>
                      <w:lang w:val="en-US" w:eastAsia="zh-CN"/>
                    </w:rPr>
                    <w:t>38.5</w:t>
                  </w:r>
                </w:p>
              </w:tc>
              <w:tc>
                <w:tcPr>
                  <w:tcW w:w="836" w:type="dxa"/>
                  <w:tcBorders>
                    <w:tl2br w:val="nil"/>
                    <w:tr2bl w:val="nil"/>
                  </w:tcBorders>
                  <w:shd w:val="clear" w:color="auto" w:fill="auto"/>
                  <w:noWrap/>
                  <w:vAlign w:val="center"/>
                </w:tcPr>
                <w:p w14:paraId="70779056">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4EE317CC">
                  <w:pPr>
                    <w:pStyle w:val="37"/>
                    <w:bidi w:val="0"/>
                    <w:rPr>
                      <w:rFonts w:hint="eastAsia"/>
                      <w:color w:val="auto"/>
                    </w:rPr>
                  </w:pPr>
                  <w:r>
                    <w:rPr>
                      <w:rFonts w:hint="eastAsia"/>
                      <w:color w:val="auto"/>
                      <w:lang w:val="en-US" w:eastAsia="zh-CN"/>
                    </w:rPr>
                    <w:t>44.32</w:t>
                  </w:r>
                </w:p>
              </w:tc>
              <w:tc>
                <w:tcPr>
                  <w:tcW w:w="836" w:type="dxa"/>
                  <w:tcBorders>
                    <w:tl2br w:val="nil"/>
                    <w:tr2bl w:val="nil"/>
                  </w:tcBorders>
                  <w:shd w:val="clear" w:color="auto" w:fill="auto"/>
                  <w:noWrap/>
                  <w:vAlign w:val="center"/>
                </w:tcPr>
                <w:p w14:paraId="68D8DE8A">
                  <w:pPr>
                    <w:pStyle w:val="37"/>
                    <w:bidi w:val="0"/>
                    <w:rPr>
                      <w:rFonts w:hint="eastAsia"/>
                      <w:color w:val="auto"/>
                    </w:rPr>
                  </w:pPr>
                  <w:r>
                    <w:rPr>
                      <w:rFonts w:hint="eastAsia"/>
                      <w:color w:val="auto"/>
                      <w:lang w:val="en-US" w:eastAsia="zh-CN"/>
                    </w:rPr>
                    <w:t>38.5</w:t>
                  </w:r>
                </w:p>
              </w:tc>
              <w:tc>
                <w:tcPr>
                  <w:tcW w:w="836" w:type="dxa"/>
                  <w:tcBorders>
                    <w:tl2br w:val="nil"/>
                    <w:tr2bl w:val="nil"/>
                  </w:tcBorders>
                  <w:shd w:val="clear" w:color="auto" w:fill="auto"/>
                  <w:noWrap/>
                  <w:vAlign w:val="center"/>
                </w:tcPr>
                <w:p w14:paraId="6062882B">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477BB698">
                  <w:pPr>
                    <w:pStyle w:val="37"/>
                    <w:bidi w:val="0"/>
                    <w:rPr>
                      <w:rFonts w:hint="eastAsia"/>
                      <w:color w:val="auto"/>
                    </w:rPr>
                  </w:pPr>
                  <w:r>
                    <w:rPr>
                      <w:rFonts w:hint="eastAsia"/>
                      <w:color w:val="auto"/>
                      <w:lang w:val="en-US" w:eastAsia="zh-CN"/>
                    </w:rPr>
                    <w:t>40.82</w:t>
                  </w:r>
                </w:p>
              </w:tc>
            </w:tr>
            <w:tr w14:paraId="096251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4912E0B6">
                  <w:pPr>
                    <w:pStyle w:val="37"/>
                    <w:bidi w:val="0"/>
                    <w:rPr>
                      <w:rFonts w:hint="eastAsia"/>
                      <w:color w:val="auto"/>
                    </w:rPr>
                  </w:pPr>
                  <w:r>
                    <w:rPr>
                      <w:rFonts w:hint="eastAsia"/>
                      <w:color w:val="auto"/>
                      <w:lang w:val="en-US" w:eastAsia="zh-CN"/>
                    </w:rPr>
                    <w:t>650</w:t>
                  </w:r>
                </w:p>
              </w:tc>
              <w:tc>
                <w:tcPr>
                  <w:tcW w:w="771" w:type="dxa"/>
                  <w:tcBorders>
                    <w:tl2br w:val="nil"/>
                    <w:tr2bl w:val="nil"/>
                  </w:tcBorders>
                  <w:shd w:val="clear" w:color="auto" w:fill="auto"/>
                  <w:noWrap/>
                  <w:vAlign w:val="center"/>
                </w:tcPr>
                <w:p w14:paraId="37458F6B">
                  <w:pPr>
                    <w:pStyle w:val="37"/>
                    <w:bidi w:val="0"/>
                    <w:rPr>
                      <w:rFonts w:hint="eastAsia"/>
                      <w:color w:val="auto"/>
                    </w:rPr>
                  </w:pPr>
                  <w:r>
                    <w:rPr>
                      <w:rFonts w:hint="eastAsia"/>
                      <w:color w:val="auto"/>
                      <w:lang w:val="en-US" w:eastAsia="zh-CN"/>
                    </w:rPr>
                    <w:t>-341.1</w:t>
                  </w:r>
                </w:p>
              </w:tc>
              <w:tc>
                <w:tcPr>
                  <w:tcW w:w="837" w:type="dxa"/>
                  <w:tcBorders>
                    <w:tl2br w:val="nil"/>
                    <w:tr2bl w:val="nil"/>
                  </w:tcBorders>
                  <w:shd w:val="clear" w:color="auto" w:fill="auto"/>
                  <w:noWrap/>
                  <w:vAlign w:val="center"/>
                </w:tcPr>
                <w:p w14:paraId="60B9ECF6">
                  <w:pPr>
                    <w:pStyle w:val="37"/>
                    <w:bidi w:val="0"/>
                    <w:rPr>
                      <w:rFonts w:hint="eastAsia"/>
                      <w:color w:val="auto"/>
                    </w:rPr>
                  </w:pPr>
                  <w:r>
                    <w:rPr>
                      <w:rFonts w:hint="eastAsia"/>
                      <w:color w:val="auto"/>
                      <w:lang w:val="en-US" w:eastAsia="zh-CN"/>
                    </w:rPr>
                    <w:t>-555.3</w:t>
                  </w:r>
                </w:p>
              </w:tc>
              <w:tc>
                <w:tcPr>
                  <w:tcW w:w="821" w:type="dxa"/>
                  <w:tcBorders>
                    <w:tl2br w:val="nil"/>
                    <w:tr2bl w:val="nil"/>
                  </w:tcBorders>
                  <w:shd w:val="clear" w:color="auto" w:fill="auto"/>
                  <w:noWrap/>
                  <w:vAlign w:val="center"/>
                </w:tcPr>
                <w:p w14:paraId="7A6BE0A1">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70D62259">
                  <w:pPr>
                    <w:pStyle w:val="37"/>
                    <w:bidi w:val="0"/>
                    <w:rPr>
                      <w:rFonts w:hint="eastAsia"/>
                      <w:color w:val="auto"/>
                    </w:rPr>
                  </w:pPr>
                  <w:r>
                    <w:rPr>
                      <w:rFonts w:hint="eastAsia"/>
                      <w:color w:val="auto"/>
                      <w:lang w:val="en-US" w:eastAsia="zh-CN"/>
                    </w:rPr>
                    <w:t>37.46</w:t>
                  </w:r>
                </w:p>
              </w:tc>
              <w:tc>
                <w:tcPr>
                  <w:tcW w:w="836" w:type="dxa"/>
                  <w:tcBorders>
                    <w:tl2br w:val="nil"/>
                    <w:tr2bl w:val="nil"/>
                  </w:tcBorders>
                  <w:shd w:val="clear" w:color="auto" w:fill="auto"/>
                  <w:noWrap/>
                  <w:vAlign w:val="center"/>
                </w:tcPr>
                <w:p w14:paraId="288D4FFB">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5AD917ED">
                  <w:pPr>
                    <w:pStyle w:val="37"/>
                    <w:bidi w:val="0"/>
                    <w:rPr>
                      <w:rFonts w:hint="eastAsia"/>
                      <w:color w:val="auto"/>
                    </w:rPr>
                  </w:pPr>
                  <w:r>
                    <w:rPr>
                      <w:rFonts w:hint="eastAsia"/>
                      <w:color w:val="auto"/>
                      <w:lang w:val="en-US" w:eastAsia="zh-CN"/>
                    </w:rPr>
                    <w:t>44.07</w:t>
                  </w:r>
                </w:p>
              </w:tc>
              <w:tc>
                <w:tcPr>
                  <w:tcW w:w="836" w:type="dxa"/>
                  <w:tcBorders>
                    <w:tl2br w:val="nil"/>
                    <w:tr2bl w:val="nil"/>
                  </w:tcBorders>
                  <w:shd w:val="clear" w:color="auto" w:fill="auto"/>
                  <w:noWrap/>
                  <w:vAlign w:val="center"/>
                </w:tcPr>
                <w:p w14:paraId="36B40DE6">
                  <w:pPr>
                    <w:pStyle w:val="37"/>
                    <w:bidi w:val="0"/>
                    <w:rPr>
                      <w:rFonts w:hint="eastAsia"/>
                      <w:color w:val="auto"/>
                    </w:rPr>
                  </w:pPr>
                  <w:r>
                    <w:rPr>
                      <w:rFonts w:hint="eastAsia"/>
                      <w:color w:val="auto"/>
                      <w:lang w:val="en-US" w:eastAsia="zh-CN"/>
                    </w:rPr>
                    <w:t>37.46</w:t>
                  </w:r>
                </w:p>
              </w:tc>
              <w:tc>
                <w:tcPr>
                  <w:tcW w:w="836" w:type="dxa"/>
                  <w:tcBorders>
                    <w:tl2br w:val="nil"/>
                    <w:tr2bl w:val="nil"/>
                  </w:tcBorders>
                  <w:shd w:val="clear" w:color="auto" w:fill="auto"/>
                  <w:noWrap/>
                  <w:vAlign w:val="center"/>
                </w:tcPr>
                <w:p w14:paraId="07D6BB86">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6E42B977">
                  <w:pPr>
                    <w:pStyle w:val="37"/>
                    <w:bidi w:val="0"/>
                    <w:rPr>
                      <w:rFonts w:hint="eastAsia"/>
                      <w:color w:val="auto"/>
                    </w:rPr>
                  </w:pPr>
                  <w:r>
                    <w:rPr>
                      <w:rFonts w:hint="eastAsia"/>
                      <w:color w:val="auto"/>
                      <w:lang w:val="en-US" w:eastAsia="zh-CN"/>
                    </w:rPr>
                    <w:t>40.25</w:t>
                  </w:r>
                </w:p>
              </w:tc>
            </w:tr>
            <w:tr w14:paraId="0B2582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jc w:val="center"/>
              </w:trPr>
              <w:tc>
                <w:tcPr>
                  <w:tcW w:w="749" w:type="dxa"/>
                  <w:tcBorders>
                    <w:tl2br w:val="nil"/>
                    <w:tr2bl w:val="nil"/>
                  </w:tcBorders>
                  <w:shd w:val="clear" w:color="auto" w:fill="auto"/>
                  <w:noWrap/>
                  <w:vAlign w:val="center"/>
                </w:tcPr>
                <w:p w14:paraId="46477E98">
                  <w:pPr>
                    <w:pStyle w:val="37"/>
                    <w:bidi w:val="0"/>
                    <w:rPr>
                      <w:rFonts w:hint="eastAsia"/>
                      <w:color w:val="auto"/>
                    </w:rPr>
                  </w:pPr>
                  <w:r>
                    <w:rPr>
                      <w:rFonts w:hint="eastAsia"/>
                      <w:color w:val="auto"/>
                      <w:lang w:val="en-US" w:eastAsia="zh-CN"/>
                    </w:rPr>
                    <w:t>700</w:t>
                  </w:r>
                </w:p>
              </w:tc>
              <w:tc>
                <w:tcPr>
                  <w:tcW w:w="771" w:type="dxa"/>
                  <w:tcBorders>
                    <w:tl2br w:val="nil"/>
                    <w:tr2bl w:val="nil"/>
                  </w:tcBorders>
                  <w:shd w:val="clear" w:color="auto" w:fill="auto"/>
                  <w:noWrap/>
                  <w:vAlign w:val="center"/>
                </w:tcPr>
                <w:p w14:paraId="07481283">
                  <w:pPr>
                    <w:pStyle w:val="37"/>
                    <w:bidi w:val="0"/>
                    <w:rPr>
                      <w:rFonts w:hint="eastAsia"/>
                      <w:color w:val="auto"/>
                    </w:rPr>
                  </w:pPr>
                  <w:r>
                    <w:rPr>
                      <w:rFonts w:hint="eastAsia"/>
                      <w:color w:val="auto"/>
                      <w:lang w:val="en-US" w:eastAsia="zh-CN"/>
                    </w:rPr>
                    <w:t>-367.7</w:t>
                  </w:r>
                </w:p>
              </w:tc>
              <w:tc>
                <w:tcPr>
                  <w:tcW w:w="837" w:type="dxa"/>
                  <w:tcBorders>
                    <w:tl2br w:val="nil"/>
                    <w:tr2bl w:val="nil"/>
                  </w:tcBorders>
                  <w:shd w:val="clear" w:color="auto" w:fill="auto"/>
                  <w:noWrap/>
                  <w:vAlign w:val="center"/>
                </w:tcPr>
                <w:p w14:paraId="08EA841C">
                  <w:pPr>
                    <w:pStyle w:val="37"/>
                    <w:bidi w:val="0"/>
                    <w:rPr>
                      <w:rFonts w:hint="eastAsia"/>
                      <w:color w:val="auto"/>
                    </w:rPr>
                  </w:pPr>
                  <w:r>
                    <w:rPr>
                      <w:rFonts w:hint="eastAsia"/>
                      <w:color w:val="auto"/>
                      <w:lang w:val="en-US" w:eastAsia="zh-CN"/>
                    </w:rPr>
                    <w:t>-597.6</w:t>
                  </w:r>
                </w:p>
              </w:tc>
              <w:tc>
                <w:tcPr>
                  <w:tcW w:w="821" w:type="dxa"/>
                  <w:tcBorders>
                    <w:tl2br w:val="nil"/>
                    <w:tr2bl w:val="nil"/>
                  </w:tcBorders>
                  <w:shd w:val="clear" w:color="auto" w:fill="auto"/>
                  <w:noWrap/>
                  <w:vAlign w:val="center"/>
                </w:tcPr>
                <w:p w14:paraId="1FA22A26">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1C58B349">
                  <w:pPr>
                    <w:pStyle w:val="37"/>
                    <w:bidi w:val="0"/>
                    <w:rPr>
                      <w:rFonts w:hint="eastAsia"/>
                      <w:color w:val="auto"/>
                    </w:rPr>
                  </w:pPr>
                  <w:r>
                    <w:rPr>
                      <w:rFonts w:hint="eastAsia"/>
                      <w:color w:val="auto"/>
                      <w:lang w:val="en-US" w:eastAsia="zh-CN"/>
                    </w:rPr>
                    <w:t>36.5</w:t>
                  </w:r>
                </w:p>
              </w:tc>
              <w:tc>
                <w:tcPr>
                  <w:tcW w:w="836" w:type="dxa"/>
                  <w:tcBorders>
                    <w:tl2br w:val="nil"/>
                    <w:tr2bl w:val="nil"/>
                  </w:tcBorders>
                  <w:shd w:val="clear" w:color="auto" w:fill="auto"/>
                  <w:noWrap/>
                  <w:vAlign w:val="center"/>
                </w:tcPr>
                <w:p w14:paraId="3DA2506E">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0A2DA4A5">
                  <w:pPr>
                    <w:pStyle w:val="37"/>
                    <w:bidi w:val="0"/>
                    <w:rPr>
                      <w:rFonts w:hint="eastAsia"/>
                      <w:color w:val="auto"/>
                    </w:rPr>
                  </w:pPr>
                  <w:r>
                    <w:rPr>
                      <w:rFonts w:hint="eastAsia"/>
                      <w:color w:val="auto"/>
                      <w:lang w:val="en-US" w:eastAsia="zh-CN"/>
                    </w:rPr>
                    <w:t>43.88</w:t>
                  </w:r>
                </w:p>
              </w:tc>
              <w:tc>
                <w:tcPr>
                  <w:tcW w:w="836" w:type="dxa"/>
                  <w:tcBorders>
                    <w:tl2br w:val="nil"/>
                    <w:tr2bl w:val="nil"/>
                  </w:tcBorders>
                  <w:shd w:val="clear" w:color="auto" w:fill="auto"/>
                  <w:noWrap/>
                  <w:vAlign w:val="center"/>
                </w:tcPr>
                <w:p w14:paraId="0114D218">
                  <w:pPr>
                    <w:pStyle w:val="37"/>
                    <w:bidi w:val="0"/>
                    <w:rPr>
                      <w:rFonts w:hint="eastAsia"/>
                      <w:color w:val="auto"/>
                    </w:rPr>
                  </w:pPr>
                  <w:r>
                    <w:rPr>
                      <w:rFonts w:hint="eastAsia"/>
                      <w:color w:val="auto"/>
                      <w:lang w:val="en-US" w:eastAsia="zh-CN"/>
                    </w:rPr>
                    <w:t>36.5</w:t>
                  </w:r>
                </w:p>
              </w:tc>
              <w:tc>
                <w:tcPr>
                  <w:tcW w:w="836" w:type="dxa"/>
                  <w:tcBorders>
                    <w:tl2br w:val="nil"/>
                    <w:tr2bl w:val="nil"/>
                  </w:tcBorders>
                  <w:shd w:val="clear" w:color="auto" w:fill="auto"/>
                  <w:noWrap/>
                  <w:vAlign w:val="center"/>
                </w:tcPr>
                <w:p w14:paraId="68A4FBD5">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051A8F6B">
                  <w:pPr>
                    <w:pStyle w:val="37"/>
                    <w:bidi w:val="0"/>
                    <w:rPr>
                      <w:rFonts w:hint="eastAsia"/>
                      <w:color w:val="auto"/>
                    </w:rPr>
                  </w:pPr>
                  <w:r>
                    <w:rPr>
                      <w:rFonts w:hint="eastAsia"/>
                      <w:color w:val="auto"/>
                      <w:lang w:val="en-US" w:eastAsia="zh-CN"/>
                    </w:rPr>
                    <w:t>39.77</w:t>
                  </w:r>
                </w:p>
              </w:tc>
            </w:tr>
            <w:tr w14:paraId="750EA62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106" w:hRule="atLeast"/>
                <w:jc w:val="center"/>
              </w:trPr>
              <w:tc>
                <w:tcPr>
                  <w:tcW w:w="749" w:type="dxa"/>
                  <w:tcBorders>
                    <w:tl2br w:val="nil"/>
                    <w:tr2bl w:val="nil"/>
                  </w:tcBorders>
                  <w:shd w:val="clear" w:color="auto" w:fill="auto"/>
                  <w:noWrap/>
                  <w:vAlign w:val="center"/>
                </w:tcPr>
                <w:p w14:paraId="0B140BDB">
                  <w:pPr>
                    <w:pStyle w:val="37"/>
                    <w:bidi w:val="0"/>
                    <w:rPr>
                      <w:rFonts w:hint="eastAsia"/>
                      <w:color w:val="auto"/>
                      <w:lang w:val="en-US" w:eastAsia="zh-CN"/>
                    </w:rPr>
                  </w:pPr>
                  <w:r>
                    <w:rPr>
                      <w:rFonts w:hint="eastAsia"/>
                      <w:color w:val="auto"/>
                      <w:lang w:val="en-US" w:eastAsia="zh-CN"/>
                    </w:rPr>
                    <w:t>叠水箐</w:t>
                  </w:r>
                </w:p>
                <w:p w14:paraId="62465201">
                  <w:pPr>
                    <w:pStyle w:val="37"/>
                    <w:bidi w:val="0"/>
                    <w:rPr>
                      <w:rFonts w:hint="default"/>
                      <w:color w:val="auto"/>
                      <w:lang w:val="en-US" w:eastAsia="zh-CN"/>
                    </w:rPr>
                  </w:pPr>
                  <w:r>
                    <w:rPr>
                      <w:rFonts w:hint="eastAsia"/>
                      <w:color w:val="auto"/>
                      <w:lang w:val="en-US" w:eastAsia="zh-CN"/>
                    </w:rPr>
                    <w:t>650m</w:t>
                  </w:r>
                </w:p>
              </w:tc>
              <w:tc>
                <w:tcPr>
                  <w:tcW w:w="771" w:type="dxa"/>
                  <w:tcBorders>
                    <w:tl2br w:val="nil"/>
                    <w:tr2bl w:val="nil"/>
                  </w:tcBorders>
                  <w:shd w:val="clear" w:color="auto" w:fill="auto"/>
                  <w:noWrap/>
                  <w:vAlign w:val="center"/>
                </w:tcPr>
                <w:p w14:paraId="079739A1">
                  <w:pPr>
                    <w:pStyle w:val="37"/>
                    <w:bidi w:val="0"/>
                    <w:rPr>
                      <w:rFonts w:hint="eastAsia"/>
                      <w:color w:val="auto"/>
                    </w:rPr>
                  </w:pPr>
                  <w:r>
                    <w:rPr>
                      <w:rFonts w:hint="eastAsia"/>
                      <w:color w:val="auto"/>
                      <w:lang w:val="en-US" w:eastAsia="zh-CN"/>
                    </w:rPr>
                    <w:t>-331.5</w:t>
                  </w:r>
                </w:p>
              </w:tc>
              <w:tc>
                <w:tcPr>
                  <w:tcW w:w="837" w:type="dxa"/>
                  <w:tcBorders>
                    <w:tl2br w:val="nil"/>
                    <w:tr2bl w:val="nil"/>
                  </w:tcBorders>
                  <w:shd w:val="clear" w:color="auto" w:fill="auto"/>
                  <w:noWrap/>
                  <w:vAlign w:val="center"/>
                </w:tcPr>
                <w:p w14:paraId="48D75D17">
                  <w:pPr>
                    <w:pStyle w:val="37"/>
                    <w:bidi w:val="0"/>
                    <w:rPr>
                      <w:rFonts w:hint="eastAsia"/>
                      <w:color w:val="auto"/>
                    </w:rPr>
                  </w:pPr>
                  <w:r>
                    <w:rPr>
                      <w:rFonts w:hint="eastAsia"/>
                      <w:color w:val="auto"/>
                      <w:lang w:val="en-US" w:eastAsia="zh-CN"/>
                    </w:rPr>
                    <w:t>-566.2</w:t>
                  </w:r>
                </w:p>
              </w:tc>
              <w:tc>
                <w:tcPr>
                  <w:tcW w:w="821" w:type="dxa"/>
                  <w:tcBorders>
                    <w:tl2br w:val="nil"/>
                    <w:tr2bl w:val="nil"/>
                  </w:tcBorders>
                  <w:shd w:val="clear" w:color="auto" w:fill="auto"/>
                  <w:noWrap/>
                  <w:vAlign w:val="center"/>
                </w:tcPr>
                <w:p w14:paraId="48EF1D05">
                  <w:pPr>
                    <w:pStyle w:val="37"/>
                    <w:bidi w:val="0"/>
                    <w:rPr>
                      <w:rFonts w:hint="eastAsia"/>
                      <w:color w:val="auto"/>
                    </w:rPr>
                  </w:pPr>
                  <w:r>
                    <w:rPr>
                      <w:rFonts w:hint="eastAsia"/>
                      <w:color w:val="auto"/>
                      <w:lang w:val="en-US" w:eastAsia="zh-CN"/>
                    </w:rPr>
                    <w:t>1.2</w:t>
                  </w:r>
                </w:p>
              </w:tc>
              <w:tc>
                <w:tcPr>
                  <w:tcW w:w="940" w:type="dxa"/>
                  <w:tcBorders>
                    <w:tl2br w:val="nil"/>
                    <w:tr2bl w:val="nil"/>
                  </w:tcBorders>
                  <w:shd w:val="clear" w:color="auto" w:fill="auto"/>
                  <w:noWrap/>
                  <w:vAlign w:val="center"/>
                </w:tcPr>
                <w:p w14:paraId="1CFEE522">
                  <w:pPr>
                    <w:pStyle w:val="37"/>
                    <w:bidi w:val="0"/>
                    <w:rPr>
                      <w:rFonts w:hint="eastAsia"/>
                      <w:color w:val="auto"/>
                    </w:rPr>
                  </w:pPr>
                  <w:r>
                    <w:rPr>
                      <w:rFonts w:hint="eastAsia"/>
                      <w:color w:val="auto"/>
                      <w:lang w:val="en-US" w:eastAsia="zh-CN"/>
                    </w:rPr>
                    <w:t>38.67</w:t>
                  </w:r>
                </w:p>
              </w:tc>
              <w:tc>
                <w:tcPr>
                  <w:tcW w:w="836" w:type="dxa"/>
                  <w:tcBorders>
                    <w:tl2br w:val="nil"/>
                    <w:tr2bl w:val="nil"/>
                  </w:tcBorders>
                  <w:shd w:val="clear" w:color="auto" w:fill="auto"/>
                  <w:noWrap/>
                  <w:vAlign w:val="center"/>
                </w:tcPr>
                <w:p w14:paraId="2369AD9C">
                  <w:pPr>
                    <w:pStyle w:val="37"/>
                    <w:bidi w:val="0"/>
                    <w:rPr>
                      <w:rFonts w:hint="eastAsia"/>
                      <w:color w:val="auto"/>
                    </w:rPr>
                  </w:pPr>
                  <w:r>
                    <w:rPr>
                      <w:rFonts w:hint="eastAsia"/>
                      <w:color w:val="auto"/>
                      <w:lang w:val="en-US" w:eastAsia="zh-CN"/>
                    </w:rPr>
                    <w:t>43</w:t>
                  </w:r>
                </w:p>
              </w:tc>
              <w:tc>
                <w:tcPr>
                  <w:tcW w:w="836" w:type="dxa"/>
                  <w:tcBorders>
                    <w:tl2br w:val="nil"/>
                    <w:tr2bl w:val="nil"/>
                  </w:tcBorders>
                  <w:shd w:val="clear" w:color="auto" w:fill="auto"/>
                  <w:noWrap/>
                  <w:vAlign w:val="center"/>
                </w:tcPr>
                <w:p w14:paraId="137ADF44">
                  <w:pPr>
                    <w:pStyle w:val="37"/>
                    <w:bidi w:val="0"/>
                    <w:rPr>
                      <w:rFonts w:hint="eastAsia"/>
                      <w:color w:val="auto"/>
                    </w:rPr>
                  </w:pPr>
                  <w:r>
                    <w:rPr>
                      <w:rFonts w:hint="eastAsia"/>
                      <w:color w:val="auto"/>
                      <w:lang w:val="en-US" w:eastAsia="zh-CN"/>
                    </w:rPr>
                    <w:t>44.36</w:t>
                  </w:r>
                </w:p>
              </w:tc>
              <w:tc>
                <w:tcPr>
                  <w:tcW w:w="836" w:type="dxa"/>
                  <w:tcBorders>
                    <w:tl2br w:val="nil"/>
                    <w:tr2bl w:val="nil"/>
                  </w:tcBorders>
                  <w:shd w:val="clear" w:color="auto" w:fill="auto"/>
                  <w:noWrap/>
                  <w:vAlign w:val="center"/>
                </w:tcPr>
                <w:p w14:paraId="780941CB">
                  <w:pPr>
                    <w:pStyle w:val="37"/>
                    <w:bidi w:val="0"/>
                    <w:rPr>
                      <w:rFonts w:hint="eastAsia"/>
                      <w:color w:val="auto"/>
                    </w:rPr>
                  </w:pPr>
                  <w:r>
                    <w:rPr>
                      <w:rFonts w:hint="eastAsia"/>
                      <w:color w:val="auto"/>
                      <w:lang w:val="en-US" w:eastAsia="zh-CN"/>
                    </w:rPr>
                    <w:t>38.67</w:t>
                  </w:r>
                </w:p>
              </w:tc>
              <w:tc>
                <w:tcPr>
                  <w:tcW w:w="836" w:type="dxa"/>
                  <w:tcBorders>
                    <w:tl2br w:val="nil"/>
                    <w:tr2bl w:val="nil"/>
                  </w:tcBorders>
                  <w:shd w:val="clear" w:color="auto" w:fill="auto"/>
                  <w:noWrap/>
                  <w:vAlign w:val="center"/>
                </w:tcPr>
                <w:p w14:paraId="2581E22B">
                  <w:pPr>
                    <w:pStyle w:val="37"/>
                    <w:bidi w:val="0"/>
                    <w:rPr>
                      <w:rFonts w:hint="eastAsia"/>
                      <w:color w:val="auto"/>
                    </w:rPr>
                  </w:pPr>
                  <w:r>
                    <w:rPr>
                      <w:rFonts w:hint="eastAsia"/>
                      <w:color w:val="auto"/>
                      <w:lang w:val="en-US" w:eastAsia="zh-CN"/>
                    </w:rPr>
                    <w:t>37</w:t>
                  </w:r>
                </w:p>
              </w:tc>
              <w:tc>
                <w:tcPr>
                  <w:tcW w:w="836" w:type="dxa"/>
                  <w:tcBorders>
                    <w:tl2br w:val="nil"/>
                    <w:tr2bl w:val="nil"/>
                  </w:tcBorders>
                  <w:shd w:val="clear" w:color="auto" w:fill="auto"/>
                  <w:noWrap/>
                  <w:vAlign w:val="center"/>
                </w:tcPr>
                <w:p w14:paraId="2D989245">
                  <w:pPr>
                    <w:pStyle w:val="37"/>
                    <w:bidi w:val="0"/>
                    <w:rPr>
                      <w:rFonts w:hint="eastAsia"/>
                      <w:color w:val="auto"/>
                    </w:rPr>
                  </w:pPr>
                  <w:r>
                    <w:rPr>
                      <w:rFonts w:hint="eastAsia"/>
                      <w:color w:val="auto"/>
                      <w:lang w:val="en-US" w:eastAsia="zh-CN"/>
                    </w:rPr>
                    <w:t>40.93</w:t>
                  </w:r>
                </w:p>
              </w:tc>
            </w:tr>
          </w:tbl>
          <w:p w14:paraId="3205B910">
            <w:pPr>
              <w:pStyle w:val="37"/>
              <w:bidi w:val="0"/>
              <w:rPr>
                <w:rFonts w:hint="default"/>
                <w:color w:val="auto"/>
                <w:lang w:val="en-US" w:eastAsia="zh-CN"/>
              </w:rPr>
            </w:pPr>
            <w:r>
              <w:rPr>
                <w:rFonts w:hint="eastAsia"/>
                <w:color w:val="auto"/>
                <w:lang w:val="en-US" w:eastAsia="zh-CN"/>
              </w:rPr>
              <w:t>注：不考虑地形高差带来的衰减</w:t>
            </w:r>
          </w:p>
          <w:p w14:paraId="4251471F">
            <w:pPr>
              <w:pStyle w:val="37"/>
              <w:bidi w:val="0"/>
              <w:rPr>
                <w:rFonts w:hint="eastAsia"/>
                <w:color w:val="auto"/>
              </w:rPr>
            </w:pPr>
          </w:p>
          <w:p w14:paraId="7636224E">
            <w:pPr>
              <w:pStyle w:val="27"/>
              <w:bidi w:val="0"/>
              <w:rPr>
                <w:rFonts w:hint="eastAsia"/>
                <w:color w:val="auto"/>
              </w:rPr>
            </w:pPr>
            <w:r>
              <w:rPr>
                <w:color w:val="auto"/>
              </w:rPr>
              <w:drawing>
                <wp:inline distT="0" distB="0" distL="114300" distR="114300">
                  <wp:extent cx="5271135" cy="4613275"/>
                  <wp:effectExtent l="0" t="0" r="5715" b="15875"/>
                  <wp:docPr id="1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7"/>
                          <pic:cNvPicPr>
                            <a:picLocks noChangeAspect="1"/>
                          </pic:cNvPicPr>
                        </pic:nvPicPr>
                        <pic:blipFill>
                          <a:blip r:embed="rId42"/>
                          <a:stretch>
                            <a:fillRect/>
                          </a:stretch>
                        </pic:blipFill>
                        <pic:spPr>
                          <a:xfrm>
                            <a:off x="0" y="0"/>
                            <a:ext cx="5271135" cy="4613275"/>
                          </a:xfrm>
                          <a:prstGeom prst="rect">
                            <a:avLst/>
                          </a:prstGeom>
                          <a:noFill/>
                          <a:ln>
                            <a:noFill/>
                          </a:ln>
                        </pic:spPr>
                      </pic:pic>
                    </a:graphicData>
                  </a:graphic>
                </wp:inline>
              </w:drawing>
            </w:r>
          </w:p>
          <w:p w14:paraId="10088A76">
            <w:pPr>
              <w:pStyle w:val="27"/>
              <w:bidi w:val="0"/>
              <w:rPr>
                <w:rFonts w:hint="default"/>
                <w:color w:val="auto"/>
                <w:lang w:val="en-US" w:eastAsia="zh-CN"/>
              </w:rPr>
            </w:pPr>
            <w:r>
              <w:rPr>
                <w:rFonts w:hint="eastAsia"/>
                <w:color w:val="auto"/>
                <w:lang w:val="en-US" w:eastAsia="zh-CN"/>
              </w:rPr>
              <w:t>图4-5  风机噪声等声值线图  单位：</w:t>
            </w:r>
            <w:r>
              <w:rPr>
                <w:rFonts w:hint="default"/>
                <w:color w:val="auto"/>
                <w:lang w:val="en-US" w:eastAsia="zh-CN"/>
              </w:rPr>
              <w:t>dB</w:t>
            </w:r>
            <w:r>
              <w:rPr>
                <w:rFonts w:hint="eastAsia"/>
                <w:color w:val="auto"/>
                <w:lang w:val="en-US" w:eastAsia="zh-CN"/>
              </w:rPr>
              <w:t>（</w:t>
            </w:r>
            <w:r>
              <w:rPr>
                <w:rFonts w:hint="default"/>
                <w:color w:val="auto"/>
                <w:lang w:val="en-US" w:eastAsia="zh-CN"/>
              </w:rPr>
              <w:t>A</w:t>
            </w:r>
            <w:r>
              <w:rPr>
                <w:rFonts w:hint="eastAsia"/>
                <w:color w:val="auto"/>
                <w:lang w:val="en-US" w:eastAsia="zh-CN"/>
              </w:rPr>
              <w:t>）</w:t>
            </w:r>
          </w:p>
          <w:p w14:paraId="412B97FA">
            <w:pPr>
              <w:bidi w:val="0"/>
              <w:rPr>
                <w:rFonts w:hint="eastAsia"/>
                <w:color w:val="auto"/>
              </w:rPr>
            </w:pPr>
            <w:r>
              <w:rPr>
                <w:rFonts w:hint="eastAsia"/>
                <w:color w:val="auto"/>
              </w:rPr>
              <w:t>根据上述预测结果可以得出，在风速大和发电效率高的情况下，在距离风机</w:t>
            </w:r>
            <w:r>
              <w:rPr>
                <w:rFonts w:hint="eastAsia"/>
                <w:color w:val="auto"/>
                <w:lang w:val="en-US" w:eastAsia="zh-CN"/>
              </w:rPr>
              <w:t>4</w:t>
            </w:r>
            <w:r>
              <w:rPr>
                <w:rFonts w:hint="eastAsia"/>
                <w:color w:val="auto"/>
              </w:rPr>
              <w:t>00m以外，噪声声压级可降至45dB以下，根据现场调查，距离本工程风力发电机组</w:t>
            </w:r>
            <w:r>
              <w:rPr>
                <w:rFonts w:hint="eastAsia"/>
                <w:color w:val="auto"/>
                <w:lang w:val="en-US" w:eastAsia="zh-CN"/>
              </w:rPr>
              <w:t>4</w:t>
            </w:r>
            <w:r>
              <w:rPr>
                <w:rFonts w:hint="eastAsia"/>
                <w:color w:val="auto"/>
              </w:rPr>
              <w:t>00m范围内无声环境敏感点。为保护周边居民不受风机噪声影响，有关规划</w:t>
            </w:r>
            <w:r>
              <w:rPr>
                <w:rFonts w:hint="eastAsia"/>
                <w:color w:val="auto"/>
                <w:lang w:eastAsia="zh-CN"/>
              </w:rPr>
              <w:t>、</w:t>
            </w:r>
            <w:r>
              <w:rPr>
                <w:rFonts w:hint="eastAsia"/>
                <w:color w:val="auto"/>
              </w:rPr>
              <w:t>建设部门今后在</w:t>
            </w:r>
            <w:r>
              <w:rPr>
                <w:rFonts w:hint="eastAsia"/>
                <w:color w:val="auto"/>
                <w:lang w:eastAsia="zh-CN"/>
              </w:rPr>
              <w:t>风机平台</w:t>
            </w:r>
            <w:r>
              <w:rPr>
                <w:rFonts w:hint="eastAsia"/>
                <w:color w:val="auto"/>
              </w:rPr>
              <w:t>周边</w:t>
            </w:r>
            <w:r>
              <w:rPr>
                <w:rFonts w:hint="eastAsia"/>
                <w:b w:val="0"/>
                <w:bCs w:val="0"/>
                <w:color w:val="auto"/>
                <w:lang w:val="en-US" w:eastAsia="zh-CN"/>
              </w:rPr>
              <w:t>5</w:t>
            </w:r>
            <w:r>
              <w:rPr>
                <w:rFonts w:hint="eastAsia"/>
                <w:b w:val="0"/>
                <w:bCs w:val="0"/>
                <w:color w:val="auto"/>
              </w:rPr>
              <w:t>00m</w:t>
            </w:r>
            <w:r>
              <w:rPr>
                <w:rFonts w:hint="eastAsia"/>
                <w:color w:val="auto"/>
              </w:rPr>
              <w:t>的范围内不宜布置对噪声敏感的建筑。</w:t>
            </w:r>
          </w:p>
          <w:p w14:paraId="6B967A24">
            <w:pPr>
              <w:bidi w:val="0"/>
              <w:rPr>
                <w:rFonts w:hint="eastAsia"/>
                <w:color w:val="auto"/>
                <w:lang w:val="en-US" w:eastAsia="zh-CN"/>
              </w:rPr>
            </w:pPr>
            <w:r>
              <w:rPr>
                <w:rFonts w:hint="eastAsia"/>
                <w:color w:val="auto"/>
                <w:lang w:val="en-US" w:eastAsia="zh-CN"/>
              </w:rPr>
              <w:t>在距离风机650m处叠水箐设置一个预测点，依据预测结果，项目运营期叠水箐处声环境质量能达到</w:t>
            </w:r>
            <w:r>
              <w:rPr>
                <w:rFonts w:ascii="Times New Roman" w:hAnsi="Times New Roman" w:eastAsia="宋体" w:cs="Times New Roman"/>
                <w:caps w:val="0"/>
                <w:color w:val="auto"/>
                <w:kern w:val="0"/>
                <w:sz w:val="24"/>
                <w:highlight w:val="none"/>
              </w:rPr>
              <w:t>《声环境质量标准》（GB3096-2008）</w:t>
            </w:r>
            <w:r>
              <w:rPr>
                <w:rFonts w:hint="eastAsia"/>
                <w:color w:val="auto"/>
                <w:lang w:val="en-US" w:eastAsia="zh-CN"/>
              </w:rPr>
              <w:t>1类标准。</w:t>
            </w:r>
          </w:p>
          <w:p w14:paraId="0760C53F">
            <w:pPr>
              <w:bidi w:val="0"/>
              <w:rPr>
                <w:rFonts w:hint="default"/>
                <w:color w:val="auto"/>
                <w:lang w:val="en-US" w:eastAsia="zh-CN"/>
              </w:rPr>
            </w:pPr>
            <w:r>
              <w:rPr>
                <w:rFonts w:hint="eastAsia"/>
                <w:color w:val="auto"/>
                <w:lang w:val="en-US" w:eastAsia="zh-CN"/>
              </w:rPr>
              <w:t>西泽风电场（一期）工程于2024年8月22日开展了验收检测，本次引用西泽风电场（一期）周边声环境敏感点小海德村的数据对叠水箐的预测结果进行复核。</w:t>
            </w:r>
          </w:p>
          <w:p w14:paraId="14CEBE69">
            <w:pPr>
              <w:pStyle w:val="27"/>
              <w:bidi w:val="0"/>
              <w:rPr>
                <w:rFonts w:hint="default"/>
                <w:color w:val="auto"/>
                <w:lang w:val="en-US" w:eastAsia="zh-CN"/>
              </w:rPr>
            </w:pPr>
            <w:r>
              <w:rPr>
                <w:rFonts w:hint="eastAsia"/>
                <w:color w:val="auto"/>
                <w:lang w:val="en-US" w:eastAsia="zh-CN"/>
              </w:rPr>
              <w:t>表4-4  项目声环境保护目标类比分析表</w:t>
            </w:r>
          </w:p>
          <w:tbl>
            <w:tblPr>
              <w:tblStyle w:val="21"/>
              <w:tblW w:w="8198"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655"/>
              <w:gridCol w:w="2078"/>
              <w:gridCol w:w="2023"/>
              <w:gridCol w:w="2442"/>
            </w:tblGrid>
            <w:tr w14:paraId="0DE94D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655" w:type="dxa"/>
                  <w:tcBorders>
                    <w:tl2br w:val="nil"/>
                    <w:tr2bl w:val="nil"/>
                  </w:tcBorders>
                  <w:vAlign w:val="center"/>
                </w:tcPr>
                <w:p w14:paraId="6691C8DE">
                  <w:pPr>
                    <w:pStyle w:val="37"/>
                    <w:bidi w:val="0"/>
                    <w:rPr>
                      <w:rFonts w:hint="default"/>
                      <w:color w:val="auto"/>
                      <w:vertAlign w:val="baseline"/>
                      <w:lang w:val="en-US" w:eastAsia="zh-CN"/>
                    </w:rPr>
                  </w:pPr>
                  <w:r>
                    <w:rPr>
                      <w:rFonts w:hint="eastAsia"/>
                      <w:color w:val="auto"/>
                      <w:lang w:val="en-US" w:eastAsia="zh-CN"/>
                    </w:rPr>
                    <w:t>项目</w:t>
                  </w:r>
                </w:p>
              </w:tc>
              <w:tc>
                <w:tcPr>
                  <w:tcW w:w="2078" w:type="dxa"/>
                  <w:tcBorders>
                    <w:tl2br w:val="nil"/>
                    <w:tr2bl w:val="nil"/>
                  </w:tcBorders>
                  <w:vAlign w:val="center"/>
                </w:tcPr>
                <w:p w14:paraId="77AB1C1E">
                  <w:pPr>
                    <w:pStyle w:val="37"/>
                    <w:bidi w:val="0"/>
                    <w:rPr>
                      <w:rFonts w:hint="eastAsia"/>
                      <w:color w:val="auto"/>
                      <w:lang w:val="en-US" w:eastAsia="zh-CN"/>
                    </w:rPr>
                  </w:pPr>
                  <w:r>
                    <w:rPr>
                      <w:rFonts w:hint="eastAsia"/>
                      <w:color w:val="auto"/>
                      <w:lang w:val="en-US" w:eastAsia="zh-CN"/>
                    </w:rPr>
                    <w:t>本项目</w:t>
                  </w:r>
                </w:p>
                <w:p w14:paraId="5C6FA4D8">
                  <w:pPr>
                    <w:pStyle w:val="37"/>
                    <w:bidi w:val="0"/>
                    <w:rPr>
                      <w:rFonts w:hint="default"/>
                      <w:color w:val="auto"/>
                      <w:vertAlign w:val="baseline"/>
                      <w:lang w:val="en-US" w:eastAsia="zh-CN"/>
                    </w:rPr>
                  </w:pPr>
                  <w:r>
                    <w:rPr>
                      <w:rFonts w:hint="eastAsia"/>
                      <w:color w:val="auto"/>
                      <w:lang w:val="en-US" w:eastAsia="zh-CN"/>
                    </w:rPr>
                    <w:t>（叠水箐）</w:t>
                  </w:r>
                </w:p>
              </w:tc>
              <w:tc>
                <w:tcPr>
                  <w:tcW w:w="2023" w:type="dxa"/>
                  <w:tcBorders>
                    <w:tl2br w:val="nil"/>
                    <w:tr2bl w:val="nil"/>
                  </w:tcBorders>
                  <w:vAlign w:val="center"/>
                </w:tcPr>
                <w:p w14:paraId="1CC9D50E">
                  <w:pPr>
                    <w:pStyle w:val="37"/>
                    <w:bidi w:val="0"/>
                    <w:rPr>
                      <w:rFonts w:hint="eastAsia"/>
                      <w:color w:val="auto"/>
                      <w:lang w:val="en-US" w:eastAsia="zh-CN"/>
                    </w:rPr>
                  </w:pPr>
                  <w:r>
                    <w:rPr>
                      <w:rFonts w:hint="eastAsia"/>
                      <w:color w:val="auto"/>
                      <w:lang w:val="en-US" w:eastAsia="zh-CN"/>
                    </w:rPr>
                    <w:t>西泽风电场（一期）</w:t>
                  </w:r>
                </w:p>
                <w:p w14:paraId="5A06724C">
                  <w:pPr>
                    <w:pStyle w:val="37"/>
                    <w:bidi w:val="0"/>
                    <w:rPr>
                      <w:rFonts w:hint="default"/>
                      <w:color w:val="auto"/>
                      <w:vertAlign w:val="baseline"/>
                      <w:lang w:val="en-US" w:eastAsia="zh-CN"/>
                    </w:rPr>
                  </w:pPr>
                  <w:r>
                    <w:rPr>
                      <w:rFonts w:hint="eastAsia"/>
                      <w:color w:val="auto"/>
                      <w:lang w:val="en-US" w:eastAsia="zh-CN"/>
                    </w:rPr>
                    <w:t>（小海德村）</w:t>
                  </w:r>
                </w:p>
              </w:tc>
              <w:tc>
                <w:tcPr>
                  <w:tcW w:w="2442" w:type="dxa"/>
                  <w:tcBorders>
                    <w:tl2br w:val="nil"/>
                    <w:tr2bl w:val="nil"/>
                  </w:tcBorders>
                  <w:vAlign w:val="center"/>
                </w:tcPr>
                <w:p w14:paraId="4BEEA354">
                  <w:pPr>
                    <w:pStyle w:val="37"/>
                    <w:bidi w:val="0"/>
                    <w:rPr>
                      <w:rFonts w:hint="default"/>
                      <w:color w:val="auto"/>
                      <w:vertAlign w:val="baseline"/>
                      <w:lang w:val="en-US" w:eastAsia="zh-CN"/>
                    </w:rPr>
                  </w:pPr>
                  <w:r>
                    <w:rPr>
                      <w:rFonts w:hint="eastAsia"/>
                      <w:color w:val="auto"/>
                      <w:lang w:val="en-US" w:eastAsia="zh-CN"/>
                    </w:rPr>
                    <w:t>类比可行性</w:t>
                  </w:r>
                </w:p>
              </w:tc>
            </w:tr>
            <w:tr w14:paraId="3EA833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1655" w:type="dxa"/>
                  <w:tcBorders>
                    <w:tl2br w:val="nil"/>
                    <w:tr2bl w:val="nil"/>
                  </w:tcBorders>
                  <w:vAlign w:val="center"/>
                </w:tcPr>
                <w:p w14:paraId="6C2B4859">
                  <w:pPr>
                    <w:pStyle w:val="37"/>
                    <w:bidi w:val="0"/>
                    <w:rPr>
                      <w:rFonts w:hint="default"/>
                      <w:color w:val="auto"/>
                      <w:lang w:val="en-US" w:eastAsia="zh-CN"/>
                    </w:rPr>
                  </w:pPr>
                  <w:r>
                    <w:rPr>
                      <w:rFonts w:hint="eastAsia"/>
                      <w:color w:val="auto"/>
                      <w:lang w:val="en-US" w:eastAsia="zh-CN"/>
                    </w:rPr>
                    <w:t>风机基础参数</w:t>
                  </w:r>
                </w:p>
              </w:tc>
              <w:tc>
                <w:tcPr>
                  <w:tcW w:w="2078" w:type="dxa"/>
                  <w:tcBorders>
                    <w:tl2br w:val="nil"/>
                    <w:tr2bl w:val="nil"/>
                  </w:tcBorders>
                  <w:vAlign w:val="center"/>
                </w:tcPr>
                <w:p w14:paraId="76B93949">
                  <w:pPr>
                    <w:pStyle w:val="37"/>
                    <w:bidi w:val="0"/>
                    <w:rPr>
                      <w:rFonts w:hint="default"/>
                      <w:color w:val="auto"/>
                      <w:lang w:val="en-US" w:eastAsia="zh-CN"/>
                    </w:rPr>
                  </w:pPr>
                  <w:r>
                    <w:rPr>
                      <w:rFonts w:hint="eastAsia"/>
                      <w:color w:val="auto"/>
                      <w:lang w:val="en-US" w:eastAsia="zh-CN"/>
                    </w:rPr>
                    <w:t>轮毂高125m，风轮直径220m的7.5MW风机</w:t>
                  </w:r>
                </w:p>
              </w:tc>
              <w:tc>
                <w:tcPr>
                  <w:tcW w:w="2023" w:type="dxa"/>
                  <w:tcBorders>
                    <w:tl2br w:val="nil"/>
                    <w:tr2bl w:val="nil"/>
                  </w:tcBorders>
                  <w:vAlign w:val="center"/>
                </w:tcPr>
                <w:p w14:paraId="283346A5">
                  <w:pPr>
                    <w:pStyle w:val="37"/>
                    <w:bidi w:val="0"/>
                    <w:rPr>
                      <w:rFonts w:hint="eastAsia"/>
                      <w:color w:val="auto"/>
                      <w:lang w:val="en-US" w:eastAsia="zh-CN"/>
                    </w:rPr>
                  </w:pPr>
                  <w:r>
                    <w:rPr>
                      <w:rFonts w:hint="eastAsia"/>
                      <w:color w:val="auto"/>
                      <w:lang w:val="en-US" w:eastAsia="zh-CN"/>
                    </w:rPr>
                    <w:t>高120m，风轮直径182m的6.7MW风机</w:t>
                  </w:r>
                </w:p>
              </w:tc>
              <w:tc>
                <w:tcPr>
                  <w:tcW w:w="2442" w:type="dxa"/>
                  <w:tcBorders>
                    <w:tl2br w:val="nil"/>
                    <w:tr2bl w:val="nil"/>
                  </w:tcBorders>
                  <w:vAlign w:val="center"/>
                </w:tcPr>
                <w:p w14:paraId="3D5B8852">
                  <w:pPr>
                    <w:pStyle w:val="37"/>
                    <w:bidi w:val="0"/>
                    <w:rPr>
                      <w:rFonts w:hint="default"/>
                      <w:color w:val="auto"/>
                      <w:lang w:val="en-US" w:eastAsia="zh-CN"/>
                    </w:rPr>
                  </w:pPr>
                  <w:r>
                    <w:rPr>
                      <w:rFonts w:hint="eastAsia"/>
                      <w:color w:val="auto"/>
                      <w:lang w:val="en-US" w:eastAsia="zh-CN"/>
                    </w:rPr>
                    <w:t>本项目风机功率和风机机轮直径略大于对比对象，轮毂高度略高于类比对象，整体可类比</w:t>
                  </w:r>
                </w:p>
              </w:tc>
            </w:tr>
            <w:tr w14:paraId="198A63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655" w:type="dxa"/>
                  <w:tcBorders>
                    <w:tl2br w:val="nil"/>
                    <w:tr2bl w:val="nil"/>
                  </w:tcBorders>
                  <w:vAlign w:val="center"/>
                </w:tcPr>
                <w:p w14:paraId="32A34371">
                  <w:pPr>
                    <w:pStyle w:val="37"/>
                    <w:bidi w:val="0"/>
                    <w:rPr>
                      <w:rFonts w:hint="default"/>
                      <w:color w:val="auto"/>
                      <w:vertAlign w:val="baseline"/>
                      <w:lang w:val="en-US" w:eastAsia="zh-CN"/>
                    </w:rPr>
                  </w:pPr>
                  <w:r>
                    <w:rPr>
                      <w:rFonts w:hint="eastAsia"/>
                      <w:color w:val="auto"/>
                      <w:lang w:val="en-US" w:eastAsia="zh-CN"/>
                    </w:rPr>
                    <w:t>风机声源源强</w:t>
                  </w:r>
                </w:p>
              </w:tc>
              <w:tc>
                <w:tcPr>
                  <w:tcW w:w="2078" w:type="dxa"/>
                  <w:tcBorders>
                    <w:tl2br w:val="nil"/>
                    <w:tr2bl w:val="nil"/>
                  </w:tcBorders>
                  <w:vAlign w:val="center"/>
                </w:tcPr>
                <w:p w14:paraId="5506352D">
                  <w:pPr>
                    <w:pStyle w:val="37"/>
                    <w:bidi w:val="0"/>
                    <w:rPr>
                      <w:rFonts w:hint="default"/>
                      <w:color w:val="auto"/>
                      <w:vertAlign w:val="baseline"/>
                      <w:lang w:val="en-US" w:eastAsia="zh-CN"/>
                    </w:rPr>
                  </w:pPr>
                  <w:r>
                    <w:rPr>
                      <w:rFonts w:hint="eastAsia"/>
                      <w:color w:val="auto"/>
                      <w:lang w:val="en-US" w:eastAsia="zh-CN"/>
                    </w:rPr>
                    <w:t>105dB（A）</w:t>
                  </w:r>
                </w:p>
              </w:tc>
              <w:tc>
                <w:tcPr>
                  <w:tcW w:w="2023" w:type="dxa"/>
                  <w:tcBorders>
                    <w:tl2br w:val="nil"/>
                    <w:tr2bl w:val="nil"/>
                  </w:tcBorders>
                  <w:vAlign w:val="center"/>
                </w:tcPr>
                <w:p w14:paraId="7C8F3A31">
                  <w:pPr>
                    <w:pStyle w:val="37"/>
                    <w:bidi w:val="0"/>
                    <w:rPr>
                      <w:rFonts w:hint="eastAsia"/>
                      <w:color w:val="auto"/>
                      <w:vertAlign w:val="baseline"/>
                      <w:lang w:val="en-US" w:eastAsia="zh-CN"/>
                    </w:rPr>
                  </w:pPr>
                  <w:r>
                    <w:rPr>
                      <w:rFonts w:hint="eastAsia"/>
                      <w:color w:val="auto"/>
                      <w:lang w:val="en-US" w:eastAsia="zh-CN"/>
                    </w:rPr>
                    <w:t>103dB（A）</w:t>
                  </w:r>
                </w:p>
              </w:tc>
              <w:tc>
                <w:tcPr>
                  <w:tcW w:w="2442" w:type="dxa"/>
                  <w:tcBorders>
                    <w:tl2br w:val="nil"/>
                    <w:tr2bl w:val="nil"/>
                  </w:tcBorders>
                  <w:vAlign w:val="center"/>
                </w:tcPr>
                <w:p w14:paraId="16A8B012">
                  <w:pPr>
                    <w:pStyle w:val="37"/>
                    <w:bidi w:val="0"/>
                    <w:rPr>
                      <w:rFonts w:hint="default"/>
                      <w:color w:val="auto"/>
                      <w:vertAlign w:val="baseline"/>
                      <w:lang w:val="en-US" w:eastAsia="zh-CN"/>
                    </w:rPr>
                  </w:pPr>
                  <w:r>
                    <w:rPr>
                      <w:rFonts w:hint="eastAsia"/>
                      <w:color w:val="auto"/>
                      <w:lang w:val="en-US" w:eastAsia="zh-CN"/>
                    </w:rPr>
                    <w:t>两个项目源强相差不大，整体可类比</w:t>
                  </w:r>
                </w:p>
              </w:tc>
            </w:tr>
            <w:tr w14:paraId="0C8ABD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655" w:type="dxa"/>
                  <w:tcBorders>
                    <w:tl2br w:val="nil"/>
                    <w:tr2bl w:val="nil"/>
                  </w:tcBorders>
                  <w:vAlign w:val="center"/>
                </w:tcPr>
                <w:p w14:paraId="64EFE74C">
                  <w:pPr>
                    <w:pStyle w:val="37"/>
                    <w:bidi w:val="0"/>
                    <w:rPr>
                      <w:rFonts w:hint="default"/>
                      <w:color w:val="auto"/>
                      <w:vertAlign w:val="baseline"/>
                      <w:lang w:val="en-US" w:eastAsia="zh-CN"/>
                    </w:rPr>
                  </w:pPr>
                  <w:r>
                    <w:rPr>
                      <w:rFonts w:hint="eastAsia"/>
                      <w:color w:val="auto"/>
                      <w:lang w:val="en-US" w:eastAsia="zh-CN"/>
                    </w:rPr>
                    <w:t>与风机的距离</w:t>
                  </w:r>
                </w:p>
              </w:tc>
              <w:tc>
                <w:tcPr>
                  <w:tcW w:w="2078" w:type="dxa"/>
                  <w:tcBorders>
                    <w:tl2br w:val="nil"/>
                    <w:tr2bl w:val="nil"/>
                  </w:tcBorders>
                  <w:vAlign w:val="center"/>
                </w:tcPr>
                <w:p w14:paraId="7F2F01C4">
                  <w:pPr>
                    <w:pStyle w:val="37"/>
                    <w:bidi w:val="0"/>
                    <w:rPr>
                      <w:rFonts w:hint="default"/>
                      <w:color w:val="auto"/>
                      <w:vertAlign w:val="baseline"/>
                      <w:lang w:val="en-US" w:eastAsia="zh-CN"/>
                    </w:rPr>
                  </w:pPr>
                  <w:r>
                    <w:rPr>
                      <w:rFonts w:hint="eastAsia"/>
                      <w:color w:val="auto"/>
                      <w:lang w:val="en-US" w:eastAsia="zh-CN"/>
                    </w:rPr>
                    <w:t>650m</w:t>
                  </w:r>
                </w:p>
              </w:tc>
              <w:tc>
                <w:tcPr>
                  <w:tcW w:w="2023" w:type="dxa"/>
                  <w:tcBorders>
                    <w:tl2br w:val="nil"/>
                    <w:tr2bl w:val="nil"/>
                  </w:tcBorders>
                  <w:vAlign w:val="center"/>
                </w:tcPr>
                <w:p w14:paraId="527591DA">
                  <w:pPr>
                    <w:pStyle w:val="37"/>
                    <w:bidi w:val="0"/>
                    <w:rPr>
                      <w:rFonts w:hint="default"/>
                      <w:color w:val="auto"/>
                      <w:vertAlign w:val="baseline"/>
                      <w:lang w:val="en-US" w:eastAsia="zh-CN"/>
                    </w:rPr>
                  </w:pPr>
                  <w:r>
                    <w:rPr>
                      <w:rFonts w:hint="eastAsia"/>
                      <w:color w:val="auto"/>
                      <w:lang w:val="en-US" w:eastAsia="zh-CN"/>
                    </w:rPr>
                    <w:t>462m</w:t>
                  </w:r>
                </w:p>
              </w:tc>
              <w:tc>
                <w:tcPr>
                  <w:tcW w:w="2442" w:type="dxa"/>
                  <w:tcBorders>
                    <w:tl2br w:val="nil"/>
                    <w:tr2bl w:val="nil"/>
                  </w:tcBorders>
                  <w:vAlign w:val="center"/>
                </w:tcPr>
                <w:p w14:paraId="11F3A9AE">
                  <w:pPr>
                    <w:pStyle w:val="37"/>
                    <w:bidi w:val="0"/>
                    <w:rPr>
                      <w:rFonts w:hint="eastAsia"/>
                      <w:color w:val="auto"/>
                      <w:vertAlign w:val="baseline"/>
                      <w:lang w:val="en-US" w:eastAsia="zh-CN"/>
                    </w:rPr>
                  </w:pPr>
                  <w:r>
                    <w:rPr>
                      <w:rFonts w:hint="eastAsia"/>
                      <w:color w:val="auto"/>
                      <w:lang w:val="en-US" w:eastAsia="zh-CN"/>
                    </w:rPr>
                    <w:t>本项目高程差更大，影响更小，整体可类比</w:t>
                  </w:r>
                </w:p>
              </w:tc>
            </w:tr>
            <w:tr w14:paraId="576189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655" w:type="dxa"/>
                  <w:tcBorders>
                    <w:tl2br w:val="nil"/>
                    <w:tr2bl w:val="nil"/>
                  </w:tcBorders>
                  <w:vAlign w:val="center"/>
                </w:tcPr>
                <w:p w14:paraId="549BEB8D">
                  <w:pPr>
                    <w:pStyle w:val="37"/>
                    <w:bidi w:val="0"/>
                    <w:rPr>
                      <w:rFonts w:hint="default"/>
                      <w:color w:val="auto"/>
                      <w:vertAlign w:val="baseline"/>
                      <w:lang w:val="en-US" w:eastAsia="zh-CN"/>
                    </w:rPr>
                  </w:pPr>
                  <w:r>
                    <w:rPr>
                      <w:rFonts w:hint="eastAsia"/>
                      <w:color w:val="auto"/>
                      <w:lang w:val="en-US" w:eastAsia="zh-CN"/>
                    </w:rPr>
                    <w:t>与风机的高程差距</w:t>
                  </w:r>
                </w:p>
              </w:tc>
              <w:tc>
                <w:tcPr>
                  <w:tcW w:w="2078" w:type="dxa"/>
                  <w:tcBorders>
                    <w:tl2br w:val="nil"/>
                    <w:tr2bl w:val="nil"/>
                  </w:tcBorders>
                  <w:vAlign w:val="center"/>
                </w:tcPr>
                <w:p w14:paraId="730E37F4">
                  <w:pPr>
                    <w:pStyle w:val="37"/>
                    <w:bidi w:val="0"/>
                    <w:rPr>
                      <w:rFonts w:hint="default"/>
                      <w:color w:val="auto"/>
                      <w:vertAlign w:val="baseline"/>
                      <w:lang w:val="en-US" w:eastAsia="zh-CN"/>
                    </w:rPr>
                  </w:pPr>
                  <w:r>
                    <w:rPr>
                      <w:rFonts w:hint="eastAsia"/>
                      <w:color w:val="auto"/>
                      <w:lang w:val="en-US" w:eastAsia="zh-CN"/>
                    </w:rPr>
                    <w:t>106m</w:t>
                  </w:r>
                </w:p>
              </w:tc>
              <w:tc>
                <w:tcPr>
                  <w:tcW w:w="2023" w:type="dxa"/>
                  <w:tcBorders>
                    <w:tl2br w:val="nil"/>
                    <w:tr2bl w:val="nil"/>
                  </w:tcBorders>
                  <w:vAlign w:val="center"/>
                </w:tcPr>
                <w:p w14:paraId="7D378B71">
                  <w:pPr>
                    <w:pStyle w:val="37"/>
                    <w:bidi w:val="0"/>
                    <w:rPr>
                      <w:rFonts w:hint="default"/>
                      <w:color w:val="auto"/>
                      <w:vertAlign w:val="baseline"/>
                      <w:lang w:val="en-US" w:eastAsia="zh-CN"/>
                    </w:rPr>
                  </w:pPr>
                  <w:r>
                    <w:rPr>
                      <w:rFonts w:hint="eastAsia"/>
                      <w:color w:val="auto"/>
                      <w:lang w:val="en-US" w:eastAsia="zh-CN"/>
                    </w:rPr>
                    <w:t>91m</w:t>
                  </w:r>
                </w:p>
              </w:tc>
              <w:tc>
                <w:tcPr>
                  <w:tcW w:w="2442" w:type="dxa"/>
                  <w:tcBorders>
                    <w:tl2br w:val="nil"/>
                    <w:tr2bl w:val="nil"/>
                  </w:tcBorders>
                  <w:vAlign w:val="center"/>
                </w:tcPr>
                <w:p w14:paraId="079E89A6">
                  <w:pPr>
                    <w:pStyle w:val="37"/>
                    <w:bidi w:val="0"/>
                    <w:rPr>
                      <w:rFonts w:hint="default"/>
                      <w:color w:val="auto"/>
                      <w:vertAlign w:val="baseline"/>
                      <w:lang w:val="en-US" w:eastAsia="zh-CN"/>
                    </w:rPr>
                  </w:pPr>
                  <w:r>
                    <w:rPr>
                      <w:rFonts w:hint="eastAsia"/>
                      <w:color w:val="auto"/>
                      <w:lang w:val="en-US" w:eastAsia="zh-CN"/>
                    </w:rPr>
                    <w:t>本项目高程差更大，影响更小，整体可类比</w:t>
                  </w:r>
                </w:p>
              </w:tc>
            </w:tr>
            <w:tr w14:paraId="2078F7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44" w:hRule="atLeast"/>
                <w:jc w:val="center"/>
              </w:trPr>
              <w:tc>
                <w:tcPr>
                  <w:tcW w:w="1655" w:type="dxa"/>
                  <w:tcBorders>
                    <w:tl2br w:val="nil"/>
                    <w:tr2bl w:val="nil"/>
                  </w:tcBorders>
                  <w:vAlign w:val="center"/>
                </w:tcPr>
                <w:p w14:paraId="1899667B">
                  <w:pPr>
                    <w:pStyle w:val="37"/>
                    <w:bidi w:val="0"/>
                    <w:rPr>
                      <w:rFonts w:hint="default"/>
                      <w:color w:val="auto"/>
                      <w:lang w:val="en-US" w:eastAsia="zh-CN"/>
                    </w:rPr>
                  </w:pPr>
                  <w:r>
                    <w:rPr>
                      <w:rFonts w:hint="eastAsia"/>
                      <w:color w:val="auto"/>
                      <w:lang w:val="en-US" w:eastAsia="zh-CN"/>
                    </w:rPr>
                    <w:t>与风机的坡向关系</w:t>
                  </w:r>
                </w:p>
              </w:tc>
              <w:tc>
                <w:tcPr>
                  <w:tcW w:w="2078" w:type="dxa"/>
                  <w:tcBorders>
                    <w:tl2br w:val="nil"/>
                    <w:tr2bl w:val="nil"/>
                  </w:tcBorders>
                  <w:vAlign w:val="center"/>
                </w:tcPr>
                <w:p w14:paraId="64A1439C">
                  <w:pPr>
                    <w:pStyle w:val="37"/>
                    <w:bidi w:val="0"/>
                    <w:rPr>
                      <w:rFonts w:hint="default"/>
                      <w:color w:val="auto"/>
                      <w:lang w:val="en-US" w:eastAsia="zh-CN"/>
                    </w:rPr>
                  </w:pPr>
                  <w:r>
                    <w:rPr>
                      <w:rFonts w:hint="eastAsia"/>
                      <w:color w:val="auto"/>
                      <w:lang w:val="en-US" w:eastAsia="zh-CN"/>
                    </w:rPr>
                    <w:t>风机180°，村庄位于风机背坡向，中间有山峰阻隔</w:t>
                  </w:r>
                </w:p>
              </w:tc>
              <w:tc>
                <w:tcPr>
                  <w:tcW w:w="2023" w:type="dxa"/>
                  <w:tcBorders>
                    <w:tl2br w:val="nil"/>
                    <w:tr2bl w:val="nil"/>
                  </w:tcBorders>
                  <w:vAlign w:val="center"/>
                </w:tcPr>
                <w:p w14:paraId="3D9ACCD2">
                  <w:pPr>
                    <w:pStyle w:val="37"/>
                    <w:bidi w:val="0"/>
                    <w:rPr>
                      <w:rFonts w:hint="eastAsia"/>
                      <w:color w:val="auto"/>
                      <w:lang w:val="en-US" w:eastAsia="zh-CN"/>
                    </w:rPr>
                  </w:pPr>
                  <w:r>
                    <w:rPr>
                      <w:rFonts w:hint="eastAsia"/>
                      <w:color w:val="auto"/>
                      <w:lang w:val="en-US" w:eastAsia="zh-CN"/>
                    </w:rPr>
                    <w:t>风机150°，村庄位于风机背坡向，中间有山峰阻隔</w:t>
                  </w:r>
                </w:p>
              </w:tc>
              <w:tc>
                <w:tcPr>
                  <w:tcW w:w="2442" w:type="dxa"/>
                  <w:tcBorders>
                    <w:tl2br w:val="nil"/>
                    <w:tr2bl w:val="nil"/>
                  </w:tcBorders>
                  <w:vAlign w:val="center"/>
                </w:tcPr>
                <w:p w14:paraId="48E53702">
                  <w:pPr>
                    <w:pStyle w:val="37"/>
                    <w:bidi w:val="0"/>
                    <w:rPr>
                      <w:rFonts w:hint="default"/>
                      <w:color w:val="auto"/>
                      <w:lang w:val="en-US" w:eastAsia="zh-CN"/>
                    </w:rPr>
                  </w:pPr>
                  <w:r>
                    <w:rPr>
                      <w:rFonts w:hint="eastAsia"/>
                      <w:color w:val="auto"/>
                      <w:lang w:val="en-US" w:eastAsia="zh-CN"/>
                    </w:rPr>
                    <w:t>两个项目坡向和中间的地形条件类似，可类比</w:t>
                  </w:r>
                </w:p>
              </w:tc>
            </w:tr>
            <w:tr w14:paraId="25EA5B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655" w:type="dxa"/>
                  <w:tcBorders>
                    <w:tl2br w:val="nil"/>
                    <w:tr2bl w:val="nil"/>
                  </w:tcBorders>
                  <w:vAlign w:val="center"/>
                </w:tcPr>
                <w:p w14:paraId="027F2FA2">
                  <w:pPr>
                    <w:pStyle w:val="37"/>
                    <w:bidi w:val="0"/>
                    <w:rPr>
                      <w:rFonts w:hint="default"/>
                      <w:color w:val="auto"/>
                      <w:vertAlign w:val="baseline"/>
                      <w:lang w:val="en-US" w:eastAsia="zh-CN"/>
                    </w:rPr>
                  </w:pPr>
                  <w:r>
                    <w:rPr>
                      <w:rFonts w:hint="eastAsia"/>
                      <w:color w:val="auto"/>
                      <w:lang w:val="en-US" w:eastAsia="zh-CN"/>
                    </w:rPr>
                    <w:t>周边环境</w:t>
                  </w:r>
                </w:p>
              </w:tc>
              <w:tc>
                <w:tcPr>
                  <w:tcW w:w="2078" w:type="dxa"/>
                  <w:tcBorders>
                    <w:tl2br w:val="nil"/>
                    <w:tr2bl w:val="nil"/>
                  </w:tcBorders>
                  <w:vAlign w:val="center"/>
                </w:tcPr>
                <w:p w14:paraId="486C2343">
                  <w:pPr>
                    <w:pStyle w:val="37"/>
                    <w:bidi w:val="0"/>
                    <w:rPr>
                      <w:rFonts w:hint="default"/>
                      <w:color w:val="auto"/>
                      <w:vertAlign w:val="baseline"/>
                      <w:lang w:val="en-US" w:eastAsia="zh-CN"/>
                    </w:rPr>
                  </w:pPr>
                  <w:r>
                    <w:rPr>
                      <w:rFonts w:hint="eastAsia"/>
                      <w:color w:val="auto"/>
                      <w:lang w:val="en-US" w:eastAsia="zh-CN"/>
                    </w:rPr>
                    <w:t>林地、农田</w:t>
                  </w:r>
                </w:p>
              </w:tc>
              <w:tc>
                <w:tcPr>
                  <w:tcW w:w="2023" w:type="dxa"/>
                  <w:tcBorders>
                    <w:tl2br w:val="nil"/>
                    <w:tr2bl w:val="nil"/>
                  </w:tcBorders>
                  <w:vAlign w:val="center"/>
                </w:tcPr>
                <w:p w14:paraId="3C7F77BD">
                  <w:pPr>
                    <w:pStyle w:val="37"/>
                    <w:bidi w:val="0"/>
                    <w:rPr>
                      <w:rFonts w:hint="eastAsia"/>
                      <w:color w:val="auto"/>
                      <w:vertAlign w:val="baseline"/>
                      <w:lang w:val="en-US" w:eastAsia="zh-CN"/>
                    </w:rPr>
                  </w:pPr>
                  <w:r>
                    <w:rPr>
                      <w:rFonts w:hint="eastAsia"/>
                      <w:color w:val="auto"/>
                      <w:lang w:val="en-US" w:eastAsia="zh-CN"/>
                    </w:rPr>
                    <w:t>林地、农田</w:t>
                  </w:r>
                </w:p>
              </w:tc>
              <w:tc>
                <w:tcPr>
                  <w:tcW w:w="2442" w:type="dxa"/>
                  <w:tcBorders>
                    <w:tl2br w:val="nil"/>
                    <w:tr2bl w:val="nil"/>
                  </w:tcBorders>
                  <w:vAlign w:val="center"/>
                </w:tcPr>
                <w:p w14:paraId="50A104BB">
                  <w:pPr>
                    <w:pStyle w:val="37"/>
                    <w:bidi w:val="0"/>
                    <w:rPr>
                      <w:rFonts w:hint="default"/>
                      <w:color w:val="auto"/>
                      <w:vertAlign w:val="baseline"/>
                      <w:lang w:val="en-US" w:eastAsia="zh-CN"/>
                    </w:rPr>
                  </w:pPr>
                  <w:r>
                    <w:rPr>
                      <w:rFonts w:hint="eastAsia"/>
                      <w:color w:val="auto"/>
                      <w:lang w:val="en-US" w:eastAsia="zh-CN"/>
                    </w:rPr>
                    <w:t>环境相似，可类比</w:t>
                  </w:r>
                </w:p>
              </w:tc>
            </w:tr>
          </w:tbl>
          <w:p w14:paraId="0B31C3DF">
            <w:pPr>
              <w:pStyle w:val="37"/>
              <w:bidi w:val="0"/>
              <w:rPr>
                <w:rFonts w:hint="eastAsia"/>
                <w:color w:val="auto"/>
                <w:lang w:val="en-US" w:eastAsia="zh-CN"/>
              </w:rPr>
            </w:pPr>
          </w:p>
          <w:p w14:paraId="712CEF8B">
            <w:pPr>
              <w:bidi w:val="0"/>
              <w:rPr>
                <w:rFonts w:hint="eastAsia"/>
                <w:color w:val="auto"/>
                <w:lang w:val="en-US" w:eastAsia="zh-CN"/>
              </w:rPr>
            </w:pPr>
            <w:r>
              <w:rPr>
                <w:rFonts w:hint="eastAsia"/>
                <w:color w:val="auto"/>
                <w:lang w:val="en-US" w:eastAsia="zh-CN"/>
              </w:rPr>
              <w:t>根据《西泽风电场项目竣工环境保护验收监测报告》，小海德村监测结果如下表。</w:t>
            </w:r>
          </w:p>
          <w:p w14:paraId="11080A95">
            <w:pPr>
              <w:pStyle w:val="27"/>
              <w:bidi w:val="0"/>
              <w:rPr>
                <w:rFonts w:hint="default"/>
                <w:color w:val="auto"/>
                <w:lang w:val="en-US" w:eastAsia="zh-CN"/>
              </w:rPr>
            </w:pPr>
            <w:r>
              <w:rPr>
                <w:rFonts w:hint="eastAsia"/>
                <w:color w:val="auto"/>
                <w:lang w:val="en-US" w:eastAsia="zh-CN"/>
              </w:rPr>
              <w:t>表4-5  小海德村声环境监测结果</w:t>
            </w:r>
          </w:p>
          <w:tbl>
            <w:tblPr>
              <w:tblStyle w:val="20"/>
              <w:tblW w:w="4997"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633"/>
              <w:gridCol w:w="1633"/>
              <w:gridCol w:w="1634"/>
              <w:gridCol w:w="1634"/>
              <w:gridCol w:w="1634"/>
            </w:tblGrid>
            <w:tr w14:paraId="49B3095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23" w:hRule="atLeast"/>
                <w:jc w:val="center"/>
              </w:trPr>
              <w:tc>
                <w:tcPr>
                  <w:tcW w:w="1000" w:type="pct"/>
                  <w:tcBorders>
                    <w:tl2br w:val="nil"/>
                    <w:tr2bl w:val="nil"/>
                  </w:tcBorders>
                  <w:shd w:val="clear" w:color="auto" w:fill="auto"/>
                  <w:noWrap/>
                  <w:vAlign w:val="center"/>
                </w:tcPr>
                <w:p w14:paraId="1A9D890C">
                  <w:pPr>
                    <w:pStyle w:val="37"/>
                    <w:bidi w:val="0"/>
                    <w:rPr>
                      <w:rFonts w:hint="eastAsia"/>
                      <w:color w:val="auto"/>
                    </w:rPr>
                  </w:pPr>
                  <w:r>
                    <w:rPr>
                      <w:rFonts w:hint="eastAsia"/>
                      <w:color w:val="auto"/>
                      <w:lang w:val="en-US" w:eastAsia="zh-CN"/>
                    </w:rPr>
                    <w:t>日期</w:t>
                  </w:r>
                </w:p>
              </w:tc>
              <w:tc>
                <w:tcPr>
                  <w:tcW w:w="1000" w:type="pct"/>
                  <w:tcBorders>
                    <w:tl2br w:val="nil"/>
                    <w:tr2bl w:val="nil"/>
                  </w:tcBorders>
                  <w:shd w:val="clear" w:color="auto" w:fill="auto"/>
                  <w:noWrap/>
                  <w:vAlign w:val="center"/>
                </w:tcPr>
                <w:p w14:paraId="64AADEA6">
                  <w:pPr>
                    <w:pStyle w:val="37"/>
                    <w:bidi w:val="0"/>
                    <w:rPr>
                      <w:rFonts w:hint="eastAsia"/>
                      <w:color w:val="auto"/>
                    </w:rPr>
                  </w:pPr>
                  <w:r>
                    <w:rPr>
                      <w:rFonts w:hint="eastAsia"/>
                      <w:color w:val="auto"/>
                      <w:lang w:val="en-US" w:eastAsia="zh-CN"/>
                    </w:rPr>
                    <w:t>时间</w:t>
                  </w:r>
                </w:p>
              </w:tc>
              <w:tc>
                <w:tcPr>
                  <w:tcW w:w="1000" w:type="pct"/>
                  <w:tcBorders>
                    <w:tl2br w:val="nil"/>
                    <w:tr2bl w:val="nil"/>
                  </w:tcBorders>
                  <w:shd w:val="clear" w:color="auto" w:fill="auto"/>
                  <w:noWrap/>
                  <w:vAlign w:val="center"/>
                </w:tcPr>
                <w:p w14:paraId="1C887D3C">
                  <w:pPr>
                    <w:pStyle w:val="37"/>
                    <w:bidi w:val="0"/>
                    <w:rPr>
                      <w:rFonts w:hint="eastAsia"/>
                      <w:color w:val="auto"/>
                    </w:rPr>
                  </w:pPr>
                  <w:r>
                    <w:rPr>
                      <w:rFonts w:hint="eastAsia"/>
                      <w:color w:val="auto"/>
                      <w:lang w:val="en-US" w:eastAsia="zh-CN"/>
                    </w:rPr>
                    <w:t>监测值</w:t>
                  </w:r>
                </w:p>
              </w:tc>
              <w:tc>
                <w:tcPr>
                  <w:tcW w:w="1000" w:type="pct"/>
                  <w:tcBorders>
                    <w:tl2br w:val="nil"/>
                    <w:tr2bl w:val="nil"/>
                  </w:tcBorders>
                  <w:shd w:val="clear" w:color="auto" w:fill="auto"/>
                  <w:noWrap/>
                  <w:vAlign w:val="center"/>
                </w:tcPr>
                <w:p w14:paraId="45011541">
                  <w:pPr>
                    <w:pStyle w:val="37"/>
                    <w:bidi w:val="0"/>
                    <w:rPr>
                      <w:rFonts w:hint="eastAsia"/>
                      <w:color w:val="auto"/>
                    </w:rPr>
                  </w:pPr>
                  <w:r>
                    <w:rPr>
                      <w:rFonts w:hint="eastAsia"/>
                      <w:color w:val="auto"/>
                      <w:lang w:val="en-US" w:eastAsia="zh-CN"/>
                    </w:rPr>
                    <w:t>标准值</w:t>
                  </w:r>
                </w:p>
              </w:tc>
              <w:tc>
                <w:tcPr>
                  <w:tcW w:w="1000" w:type="pct"/>
                  <w:tcBorders>
                    <w:tl2br w:val="nil"/>
                    <w:tr2bl w:val="nil"/>
                  </w:tcBorders>
                  <w:shd w:val="clear" w:color="auto" w:fill="auto"/>
                  <w:noWrap/>
                  <w:vAlign w:val="center"/>
                </w:tcPr>
                <w:p w14:paraId="0C1A7183">
                  <w:pPr>
                    <w:pStyle w:val="37"/>
                    <w:bidi w:val="0"/>
                    <w:rPr>
                      <w:rFonts w:hint="eastAsia"/>
                      <w:color w:val="auto"/>
                    </w:rPr>
                  </w:pPr>
                  <w:r>
                    <w:rPr>
                      <w:rFonts w:hint="eastAsia"/>
                      <w:color w:val="auto"/>
                      <w:lang w:val="en-US" w:eastAsia="zh-CN"/>
                    </w:rPr>
                    <w:t>达标判定</w:t>
                  </w:r>
                </w:p>
              </w:tc>
            </w:tr>
            <w:tr w14:paraId="0758722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00" w:type="pct"/>
                  <w:tcBorders>
                    <w:tl2br w:val="nil"/>
                    <w:tr2bl w:val="nil"/>
                  </w:tcBorders>
                  <w:shd w:val="clear" w:color="auto" w:fill="auto"/>
                  <w:vAlign w:val="center"/>
                </w:tcPr>
                <w:p w14:paraId="4E7CDF97">
                  <w:pPr>
                    <w:pStyle w:val="37"/>
                    <w:bidi w:val="0"/>
                    <w:rPr>
                      <w:rFonts w:hint="default"/>
                      <w:color w:val="auto"/>
                    </w:rPr>
                  </w:pPr>
                  <w:r>
                    <w:rPr>
                      <w:rFonts w:hint="default"/>
                      <w:color w:val="auto"/>
                      <w:lang w:val="en-US" w:eastAsia="zh-CN"/>
                    </w:rPr>
                    <w:t>2024/8/20</w:t>
                  </w:r>
                </w:p>
              </w:tc>
              <w:tc>
                <w:tcPr>
                  <w:tcW w:w="1000" w:type="pct"/>
                  <w:tcBorders>
                    <w:tl2br w:val="nil"/>
                    <w:tr2bl w:val="nil"/>
                  </w:tcBorders>
                  <w:shd w:val="clear" w:color="auto" w:fill="auto"/>
                  <w:vAlign w:val="center"/>
                </w:tcPr>
                <w:p w14:paraId="3941CB98">
                  <w:pPr>
                    <w:pStyle w:val="37"/>
                    <w:bidi w:val="0"/>
                    <w:rPr>
                      <w:rFonts w:hint="eastAsia"/>
                      <w:color w:val="auto"/>
                    </w:rPr>
                  </w:pPr>
                  <w:r>
                    <w:rPr>
                      <w:rFonts w:hint="eastAsia"/>
                      <w:color w:val="auto"/>
                      <w:lang w:val="en-US" w:eastAsia="zh-CN"/>
                    </w:rPr>
                    <w:t>昼间</w:t>
                  </w:r>
                </w:p>
              </w:tc>
              <w:tc>
                <w:tcPr>
                  <w:tcW w:w="1000" w:type="pct"/>
                  <w:tcBorders>
                    <w:tl2br w:val="nil"/>
                    <w:tr2bl w:val="nil"/>
                  </w:tcBorders>
                  <w:shd w:val="clear" w:color="auto" w:fill="auto"/>
                  <w:vAlign w:val="center"/>
                </w:tcPr>
                <w:p w14:paraId="1BF27527">
                  <w:pPr>
                    <w:pStyle w:val="37"/>
                    <w:bidi w:val="0"/>
                    <w:rPr>
                      <w:rFonts w:hint="default"/>
                      <w:color w:val="auto"/>
                    </w:rPr>
                  </w:pPr>
                  <w:r>
                    <w:rPr>
                      <w:rFonts w:hint="default"/>
                      <w:color w:val="auto"/>
                      <w:lang w:val="en-US" w:eastAsia="zh-CN"/>
                    </w:rPr>
                    <w:t>49</w:t>
                  </w:r>
                </w:p>
              </w:tc>
              <w:tc>
                <w:tcPr>
                  <w:tcW w:w="1000" w:type="pct"/>
                  <w:tcBorders>
                    <w:tl2br w:val="nil"/>
                    <w:tr2bl w:val="nil"/>
                  </w:tcBorders>
                  <w:shd w:val="clear" w:color="auto" w:fill="auto"/>
                  <w:vAlign w:val="center"/>
                </w:tcPr>
                <w:p w14:paraId="46AA09DD">
                  <w:pPr>
                    <w:pStyle w:val="37"/>
                    <w:bidi w:val="0"/>
                    <w:rPr>
                      <w:rFonts w:hint="default"/>
                      <w:color w:val="auto"/>
                    </w:rPr>
                  </w:pPr>
                  <w:r>
                    <w:rPr>
                      <w:rFonts w:hint="default"/>
                      <w:color w:val="auto"/>
                      <w:lang w:val="en-US" w:eastAsia="zh-CN"/>
                    </w:rPr>
                    <w:t>55</w:t>
                  </w:r>
                </w:p>
              </w:tc>
              <w:tc>
                <w:tcPr>
                  <w:tcW w:w="1000" w:type="pct"/>
                  <w:tcBorders>
                    <w:tl2br w:val="nil"/>
                    <w:tr2bl w:val="nil"/>
                  </w:tcBorders>
                  <w:shd w:val="clear" w:color="auto" w:fill="auto"/>
                  <w:vAlign w:val="center"/>
                </w:tcPr>
                <w:p w14:paraId="0BDFC6C1">
                  <w:pPr>
                    <w:pStyle w:val="37"/>
                    <w:bidi w:val="0"/>
                    <w:rPr>
                      <w:rFonts w:hint="eastAsia"/>
                      <w:color w:val="auto"/>
                    </w:rPr>
                  </w:pPr>
                  <w:r>
                    <w:rPr>
                      <w:rFonts w:hint="eastAsia"/>
                      <w:color w:val="auto"/>
                      <w:lang w:val="en-US" w:eastAsia="zh-CN"/>
                    </w:rPr>
                    <w:t>达标</w:t>
                  </w:r>
                </w:p>
              </w:tc>
            </w:tr>
            <w:tr w14:paraId="01BFFD8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1000" w:type="pct"/>
                  <w:tcBorders>
                    <w:tl2br w:val="nil"/>
                    <w:tr2bl w:val="nil"/>
                  </w:tcBorders>
                  <w:shd w:val="clear" w:color="auto" w:fill="auto"/>
                  <w:vAlign w:val="center"/>
                </w:tcPr>
                <w:p w14:paraId="4BBD865F">
                  <w:pPr>
                    <w:pStyle w:val="37"/>
                    <w:bidi w:val="0"/>
                    <w:rPr>
                      <w:rFonts w:hint="default"/>
                      <w:color w:val="auto"/>
                    </w:rPr>
                  </w:pPr>
                  <w:r>
                    <w:rPr>
                      <w:rFonts w:hint="default"/>
                      <w:color w:val="auto"/>
                      <w:lang w:val="en-US" w:eastAsia="zh-CN"/>
                    </w:rPr>
                    <w:t>2024/8/21</w:t>
                  </w:r>
                </w:p>
              </w:tc>
              <w:tc>
                <w:tcPr>
                  <w:tcW w:w="1000" w:type="pct"/>
                  <w:tcBorders>
                    <w:tl2br w:val="nil"/>
                    <w:tr2bl w:val="nil"/>
                  </w:tcBorders>
                  <w:shd w:val="clear" w:color="auto" w:fill="auto"/>
                  <w:vAlign w:val="center"/>
                </w:tcPr>
                <w:p w14:paraId="5CD87A0F">
                  <w:pPr>
                    <w:pStyle w:val="37"/>
                    <w:bidi w:val="0"/>
                    <w:rPr>
                      <w:rFonts w:hint="eastAsia"/>
                      <w:color w:val="auto"/>
                    </w:rPr>
                  </w:pPr>
                  <w:r>
                    <w:rPr>
                      <w:rFonts w:hint="eastAsia"/>
                      <w:color w:val="auto"/>
                      <w:lang w:val="en-US" w:eastAsia="zh-CN"/>
                    </w:rPr>
                    <w:t>昼间</w:t>
                  </w:r>
                </w:p>
              </w:tc>
              <w:tc>
                <w:tcPr>
                  <w:tcW w:w="1000" w:type="pct"/>
                  <w:tcBorders>
                    <w:tl2br w:val="nil"/>
                    <w:tr2bl w:val="nil"/>
                  </w:tcBorders>
                  <w:shd w:val="clear" w:color="auto" w:fill="auto"/>
                  <w:vAlign w:val="center"/>
                </w:tcPr>
                <w:p w14:paraId="4AEFBE77">
                  <w:pPr>
                    <w:pStyle w:val="37"/>
                    <w:bidi w:val="0"/>
                    <w:rPr>
                      <w:rFonts w:hint="default"/>
                      <w:color w:val="auto"/>
                    </w:rPr>
                  </w:pPr>
                  <w:r>
                    <w:rPr>
                      <w:rFonts w:hint="default"/>
                      <w:color w:val="auto"/>
                      <w:lang w:val="en-US" w:eastAsia="zh-CN"/>
                    </w:rPr>
                    <w:t>52</w:t>
                  </w:r>
                </w:p>
              </w:tc>
              <w:tc>
                <w:tcPr>
                  <w:tcW w:w="1000" w:type="pct"/>
                  <w:tcBorders>
                    <w:tl2br w:val="nil"/>
                    <w:tr2bl w:val="nil"/>
                  </w:tcBorders>
                  <w:shd w:val="clear" w:color="auto" w:fill="auto"/>
                  <w:vAlign w:val="center"/>
                </w:tcPr>
                <w:p w14:paraId="56D39E25">
                  <w:pPr>
                    <w:pStyle w:val="37"/>
                    <w:bidi w:val="0"/>
                    <w:rPr>
                      <w:rFonts w:hint="default"/>
                      <w:color w:val="auto"/>
                    </w:rPr>
                  </w:pPr>
                  <w:r>
                    <w:rPr>
                      <w:rFonts w:hint="default"/>
                      <w:color w:val="auto"/>
                      <w:lang w:val="en-US" w:eastAsia="zh-CN"/>
                    </w:rPr>
                    <w:t>55</w:t>
                  </w:r>
                </w:p>
              </w:tc>
              <w:tc>
                <w:tcPr>
                  <w:tcW w:w="1000" w:type="pct"/>
                  <w:tcBorders>
                    <w:tl2br w:val="nil"/>
                    <w:tr2bl w:val="nil"/>
                  </w:tcBorders>
                  <w:shd w:val="clear" w:color="auto" w:fill="auto"/>
                  <w:vAlign w:val="center"/>
                </w:tcPr>
                <w:p w14:paraId="222B1555">
                  <w:pPr>
                    <w:pStyle w:val="37"/>
                    <w:bidi w:val="0"/>
                    <w:rPr>
                      <w:rFonts w:hint="eastAsia"/>
                      <w:color w:val="auto"/>
                    </w:rPr>
                  </w:pPr>
                  <w:r>
                    <w:rPr>
                      <w:rFonts w:hint="eastAsia"/>
                      <w:color w:val="auto"/>
                      <w:lang w:val="en-US" w:eastAsia="zh-CN"/>
                    </w:rPr>
                    <w:t>达标</w:t>
                  </w:r>
                </w:p>
              </w:tc>
            </w:tr>
            <w:tr w14:paraId="1634D9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000" w:type="pct"/>
                  <w:tcBorders>
                    <w:tl2br w:val="nil"/>
                    <w:tr2bl w:val="nil"/>
                  </w:tcBorders>
                  <w:shd w:val="clear" w:color="auto" w:fill="auto"/>
                  <w:vAlign w:val="center"/>
                </w:tcPr>
                <w:p w14:paraId="64B7ED68">
                  <w:pPr>
                    <w:pStyle w:val="37"/>
                    <w:bidi w:val="0"/>
                    <w:rPr>
                      <w:rFonts w:hint="default"/>
                      <w:color w:val="auto"/>
                    </w:rPr>
                  </w:pPr>
                  <w:r>
                    <w:rPr>
                      <w:rFonts w:hint="default"/>
                      <w:color w:val="auto"/>
                      <w:lang w:val="en-US" w:eastAsia="zh-CN"/>
                    </w:rPr>
                    <w:t>2024/8/21</w:t>
                  </w:r>
                </w:p>
              </w:tc>
              <w:tc>
                <w:tcPr>
                  <w:tcW w:w="1000" w:type="pct"/>
                  <w:tcBorders>
                    <w:tl2br w:val="nil"/>
                    <w:tr2bl w:val="nil"/>
                  </w:tcBorders>
                  <w:shd w:val="clear" w:color="auto" w:fill="auto"/>
                  <w:vAlign w:val="center"/>
                </w:tcPr>
                <w:p w14:paraId="4A1AE270">
                  <w:pPr>
                    <w:pStyle w:val="37"/>
                    <w:bidi w:val="0"/>
                    <w:rPr>
                      <w:rFonts w:hint="eastAsia"/>
                      <w:color w:val="auto"/>
                    </w:rPr>
                  </w:pPr>
                  <w:r>
                    <w:rPr>
                      <w:rFonts w:hint="eastAsia"/>
                      <w:color w:val="auto"/>
                      <w:lang w:val="en-US" w:eastAsia="zh-CN"/>
                    </w:rPr>
                    <w:t>夜间</w:t>
                  </w:r>
                </w:p>
              </w:tc>
              <w:tc>
                <w:tcPr>
                  <w:tcW w:w="1000" w:type="pct"/>
                  <w:tcBorders>
                    <w:tl2br w:val="nil"/>
                    <w:tr2bl w:val="nil"/>
                  </w:tcBorders>
                  <w:shd w:val="clear" w:color="auto" w:fill="auto"/>
                  <w:vAlign w:val="center"/>
                </w:tcPr>
                <w:p w14:paraId="75A82E06">
                  <w:pPr>
                    <w:pStyle w:val="37"/>
                    <w:bidi w:val="0"/>
                    <w:rPr>
                      <w:rFonts w:hint="default"/>
                      <w:color w:val="auto"/>
                    </w:rPr>
                  </w:pPr>
                  <w:r>
                    <w:rPr>
                      <w:rFonts w:hint="default"/>
                      <w:color w:val="auto"/>
                      <w:lang w:val="en-US" w:eastAsia="zh-CN"/>
                    </w:rPr>
                    <w:t>43</w:t>
                  </w:r>
                </w:p>
              </w:tc>
              <w:tc>
                <w:tcPr>
                  <w:tcW w:w="1000" w:type="pct"/>
                  <w:tcBorders>
                    <w:tl2br w:val="nil"/>
                    <w:tr2bl w:val="nil"/>
                  </w:tcBorders>
                  <w:shd w:val="clear" w:color="auto" w:fill="auto"/>
                  <w:vAlign w:val="center"/>
                </w:tcPr>
                <w:p w14:paraId="75512E2B">
                  <w:pPr>
                    <w:pStyle w:val="37"/>
                    <w:bidi w:val="0"/>
                    <w:rPr>
                      <w:rFonts w:hint="default"/>
                      <w:color w:val="auto"/>
                    </w:rPr>
                  </w:pPr>
                  <w:r>
                    <w:rPr>
                      <w:rFonts w:hint="default"/>
                      <w:color w:val="auto"/>
                      <w:lang w:val="en-US" w:eastAsia="zh-CN"/>
                    </w:rPr>
                    <w:t>45</w:t>
                  </w:r>
                </w:p>
              </w:tc>
              <w:tc>
                <w:tcPr>
                  <w:tcW w:w="1000" w:type="pct"/>
                  <w:tcBorders>
                    <w:tl2br w:val="nil"/>
                    <w:tr2bl w:val="nil"/>
                  </w:tcBorders>
                  <w:shd w:val="clear" w:color="auto" w:fill="auto"/>
                  <w:vAlign w:val="center"/>
                </w:tcPr>
                <w:p w14:paraId="74ACCD1E">
                  <w:pPr>
                    <w:pStyle w:val="37"/>
                    <w:bidi w:val="0"/>
                    <w:rPr>
                      <w:rFonts w:hint="eastAsia"/>
                      <w:color w:val="auto"/>
                    </w:rPr>
                  </w:pPr>
                  <w:r>
                    <w:rPr>
                      <w:rFonts w:hint="eastAsia"/>
                      <w:color w:val="auto"/>
                      <w:lang w:val="en-US" w:eastAsia="zh-CN"/>
                    </w:rPr>
                    <w:t>达标</w:t>
                  </w:r>
                </w:p>
              </w:tc>
            </w:tr>
            <w:tr w14:paraId="4E29B2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jc w:val="center"/>
              </w:trPr>
              <w:tc>
                <w:tcPr>
                  <w:tcW w:w="1000" w:type="pct"/>
                  <w:tcBorders>
                    <w:tl2br w:val="nil"/>
                    <w:tr2bl w:val="nil"/>
                  </w:tcBorders>
                  <w:shd w:val="clear" w:color="auto" w:fill="auto"/>
                  <w:vAlign w:val="center"/>
                </w:tcPr>
                <w:p w14:paraId="66D0AAA0">
                  <w:pPr>
                    <w:pStyle w:val="37"/>
                    <w:bidi w:val="0"/>
                    <w:rPr>
                      <w:rFonts w:hint="default"/>
                      <w:color w:val="auto"/>
                    </w:rPr>
                  </w:pPr>
                  <w:r>
                    <w:rPr>
                      <w:rFonts w:hint="default"/>
                      <w:color w:val="auto"/>
                      <w:lang w:val="en-US" w:eastAsia="zh-CN"/>
                    </w:rPr>
                    <w:t>2024/8/22</w:t>
                  </w:r>
                </w:p>
              </w:tc>
              <w:tc>
                <w:tcPr>
                  <w:tcW w:w="1000" w:type="pct"/>
                  <w:tcBorders>
                    <w:tl2br w:val="nil"/>
                    <w:tr2bl w:val="nil"/>
                  </w:tcBorders>
                  <w:shd w:val="clear" w:color="auto" w:fill="auto"/>
                  <w:vAlign w:val="center"/>
                </w:tcPr>
                <w:p w14:paraId="61B65930">
                  <w:pPr>
                    <w:pStyle w:val="37"/>
                    <w:bidi w:val="0"/>
                    <w:rPr>
                      <w:rFonts w:hint="eastAsia"/>
                      <w:color w:val="auto"/>
                    </w:rPr>
                  </w:pPr>
                  <w:r>
                    <w:rPr>
                      <w:rFonts w:hint="eastAsia"/>
                      <w:color w:val="auto"/>
                      <w:lang w:val="en-US" w:eastAsia="zh-CN"/>
                    </w:rPr>
                    <w:t>夜间</w:t>
                  </w:r>
                </w:p>
              </w:tc>
              <w:tc>
                <w:tcPr>
                  <w:tcW w:w="1000" w:type="pct"/>
                  <w:tcBorders>
                    <w:tl2br w:val="nil"/>
                    <w:tr2bl w:val="nil"/>
                  </w:tcBorders>
                  <w:shd w:val="clear" w:color="auto" w:fill="auto"/>
                  <w:vAlign w:val="center"/>
                </w:tcPr>
                <w:p w14:paraId="0F9CF528">
                  <w:pPr>
                    <w:pStyle w:val="37"/>
                    <w:bidi w:val="0"/>
                    <w:rPr>
                      <w:rFonts w:hint="default"/>
                      <w:color w:val="auto"/>
                    </w:rPr>
                  </w:pPr>
                  <w:r>
                    <w:rPr>
                      <w:rFonts w:hint="default"/>
                      <w:color w:val="auto"/>
                      <w:lang w:val="en-US" w:eastAsia="zh-CN"/>
                    </w:rPr>
                    <w:t>43</w:t>
                  </w:r>
                </w:p>
              </w:tc>
              <w:tc>
                <w:tcPr>
                  <w:tcW w:w="1000" w:type="pct"/>
                  <w:tcBorders>
                    <w:tl2br w:val="nil"/>
                    <w:tr2bl w:val="nil"/>
                  </w:tcBorders>
                  <w:shd w:val="clear" w:color="auto" w:fill="auto"/>
                  <w:vAlign w:val="center"/>
                </w:tcPr>
                <w:p w14:paraId="63E675A6">
                  <w:pPr>
                    <w:pStyle w:val="37"/>
                    <w:bidi w:val="0"/>
                    <w:rPr>
                      <w:rFonts w:hint="default"/>
                      <w:color w:val="auto"/>
                    </w:rPr>
                  </w:pPr>
                  <w:r>
                    <w:rPr>
                      <w:rFonts w:hint="default"/>
                      <w:color w:val="auto"/>
                      <w:lang w:val="en-US" w:eastAsia="zh-CN"/>
                    </w:rPr>
                    <w:t>45</w:t>
                  </w:r>
                </w:p>
              </w:tc>
              <w:tc>
                <w:tcPr>
                  <w:tcW w:w="1000" w:type="pct"/>
                  <w:tcBorders>
                    <w:tl2br w:val="nil"/>
                    <w:tr2bl w:val="nil"/>
                  </w:tcBorders>
                  <w:shd w:val="clear" w:color="auto" w:fill="auto"/>
                  <w:vAlign w:val="center"/>
                </w:tcPr>
                <w:p w14:paraId="74458D82">
                  <w:pPr>
                    <w:pStyle w:val="37"/>
                    <w:bidi w:val="0"/>
                    <w:rPr>
                      <w:rFonts w:hint="eastAsia"/>
                      <w:color w:val="auto"/>
                    </w:rPr>
                  </w:pPr>
                  <w:r>
                    <w:rPr>
                      <w:rFonts w:hint="eastAsia"/>
                      <w:color w:val="auto"/>
                      <w:lang w:val="en-US" w:eastAsia="zh-CN"/>
                    </w:rPr>
                    <w:t>达标</w:t>
                  </w:r>
                </w:p>
              </w:tc>
            </w:tr>
          </w:tbl>
          <w:p w14:paraId="089C84EC">
            <w:pPr>
              <w:bidi w:val="0"/>
              <w:rPr>
                <w:rFonts w:hint="eastAsia"/>
                <w:color w:val="auto"/>
                <w:lang w:val="en-US" w:eastAsia="zh-CN"/>
              </w:rPr>
            </w:pPr>
          </w:p>
          <w:p w14:paraId="765A1460">
            <w:pPr>
              <w:bidi w:val="0"/>
              <w:rPr>
                <w:rFonts w:hint="default"/>
                <w:color w:val="auto"/>
                <w:lang w:val="en-US" w:eastAsia="zh-CN"/>
              </w:rPr>
            </w:pPr>
            <w:r>
              <w:rPr>
                <w:rFonts w:hint="eastAsia"/>
                <w:color w:val="auto"/>
                <w:lang w:val="en-US" w:eastAsia="zh-CN"/>
              </w:rPr>
              <w:t>经类比分析，叠水箐预测结果可行，项目运营期叠水箐处声环境质量能达到</w:t>
            </w:r>
            <w:r>
              <w:rPr>
                <w:rFonts w:ascii="Times New Roman" w:hAnsi="Times New Roman" w:eastAsia="宋体" w:cs="Times New Roman"/>
                <w:caps w:val="0"/>
                <w:color w:val="auto"/>
                <w:kern w:val="0"/>
                <w:sz w:val="24"/>
                <w:highlight w:val="none"/>
              </w:rPr>
              <w:t>《声环境质量标准》（GB3096-2008）</w:t>
            </w:r>
            <w:r>
              <w:rPr>
                <w:rFonts w:hint="eastAsia"/>
                <w:color w:val="auto"/>
                <w:lang w:val="en-US" w:eastAsia="zh-CN"/>
              </w:rPr>
              <w:t>1类标准。</w:t>
            </w:r>
          </w:p>
          <w:p w14:paraId="32D803C6">
            <w:pPr>
              <w:bidi w:val="0"/>
              <w:rPr>
                <w:rFonts w:hint="eastAsia"/>
                <w:color w:val="auto"/>
              </w:rPr>
            </w:pPr>
            <w:r>
              <w:rPr>
                <w:rFonts w:hint="eastAsia"/>
                <w:color w:val="auto"/>
              </w:rPr>
              <w:t>建设单位应预留噪声治理经费，在竣工环境保护验收和运营过程中对距风机点位</w:t>
            </w:r>
            <w:r>
              <w:rPr>
                <w:rFonts w:hint="eastAsia"/>
                <w:color w:val="auto"/>
                <w:lang w:val="en-US" w:eastAsia="zh-CN"/>
              </w:rPr>
              <w:t>7</w:t>
            </w:r>
            <w:r>
              <w:rPr>
                <w:rFonts w:hint="eastAsia"/>
                <w:color w:val="auto"/>
              </w:rPr>
              <w:t>00m范围内的居民点进行声环境质量监测，若出现超标，应采取以下措施：</w:t>
            </w:r>
          </w:p>
          <w:p w14:paraId="61AF3906">
            <w:pPr>
              <w:bidi w:val="0"/>
              <w:rPr>
                <w:rFonts w:hint="eastAsia"/>
                <w:color w:val="auto"/>
              </w:rPr>
            </w:pPr>
            <w:r>
              <w:rPr>
                <w:rFonts w:hint="eastAsia"/>
                <w:color w:val="auto"/>
              </w:rPr>
              <w:t>（1）加装锯齿尾缘</w:t>
            </w:r>
          </w:p>
          <w:p w14:paraId="2635438F">
            <w:pPr>
              <w:bidi w:val="0"/>
              <w:rPr>
                <w:rFonts w:hint="eastAsia"/>
                <w:color w:val="auto"/>
              </w:rPr>
            </w:pPr>
            <w:r>
              <w:rPr>
                <w:rFonts w:hint="eastAsia"/>
                <w:color w:val="auto"/>
              </w:rPr>
              <w:t>在风力发电机的叶片尾缘加装锯齿尾缘，尾缘锯齿会使流动在尾缘处形成一列反向旋转的涡对，改变了尾涡结构，减弱了下游尾迹区的展向相关性，减小了噪声的远场辐射。</w:t>
            </w:r>
          </w:p>
          <w:p w14:paraId="6B68A939">
            <w:pPr>
              <w:bidi w:val="0"/>
              <w:rPr>
                <w:rFonts w:hint="eastAsia"/>
                <w:color w:val="auto"/>
              </w:rPr>
            </w:pPr>
            <w:r>
              <w:rPr>
                <w:rFonts w:hint="eastAsia"/>
                <w:color w:val="auto"/>
              </w:rPr>
              <w:t>（2）降噪运行模式</w:t>
            </w:r>
          </w:p>
          <w:p w14:paraId="0485B57E">
            <w:pPr>
              <w:bidi w:val="0"/>
              <w:rPr>
                <w:rFonts w:hint="eastAsia"/>
                <w:color w:val="auto"/>
              </w:rPr>
            </w:pPr>
            <w:r>
              <w:rPr>
                <w:rFonts w:hint="eastAsia"/>
                <w:color w:val="auto"/>
              </w:rPr>
              <w:t>对机位在</w:t>
            </w:r>
            <w:r>
              <w:rPr>
                <w:rFonts w:hint="eastAsia"/>
                <w:color w:val="auto"/>
                <w:lang w:eastAsia="zh-CN"/>
              </w:rPr>
              <w:t>某个</w:t>
            </w:r>
            <w:r>
              <w:rPr>
                <w:rFonts w:hint="eastAsia"/>
                <w:color w:val="auto"/>
              </w:rPr>
              <w:t>时间段（尤其夜间）、风向段、风速段实施停机或减速或偏航（减小切入角）操作，减速某个风向上特殊风况对风机的影响，降低风机的载荷，以降低发电量为代价，确保气动噪声的降低。</w:t>
            </w:r>
          </w:p>
          <w:p w14:paraId="497424B8">
            <w:pPr>
              <w:bidi w:val="0"/>
              <w:rPr>
                <w:rFonts w:hint="eastAsia"/>
                <w:color w:val="auto"/>
              </w:rPr>
            </w:pPr>
            <w:r>
              <w:rPr>
                <w:rFonts w:hint="eastAsia"/>
                <w:color w:val="auto"/>
              </w:rPr>
              <w:t>（3）从</w:t>
            </w:r>
            <w:r>
              <w:rPr>
                <w:rFonts w:hint="eastAsia"/>
                <w:color w:val="auto"/>
                <w:lang w:eastAsia="zh-CN"/>
              </w:rPr>
              <w:t>噪声</w:t>
            </w:r>
            <w:r>
              <w:rPr>
                <w:rFonts w:hint="eastAsia"/>
                <w:color w:val="auto"/>
              </w:rPr>
              <w:t>的声源处进行降噪</w:t>
            </w:r>
          </w:p>
          <w:p w14:paraId="75E28F15">
            <w:pPr>
              <w:bidi w:val="0"/>
              <w:rPr>
                <w:rFonts w:hint="eastAsia"/>
                <w:color w:val="auto"/>
              </w:rPr>
            </w:pPr>
            <w:r>
              <w:rPr>
                <w:rFonts w:hint="eastAsia"/>
                <w:color w:val="auto"/>
              </w:rPr>
              <w:t>1）加工工艺和运营维护的精益管理</w:t>
            </w:r>
          </w:p>
          <w:p w14:paraId="7CCCF332">
            <w:pPr>
              <w:bidi w:val="0"/>
              <w:rPr>
                <w:rFonts w:hint="eastAsia"/>
                <w:color w:val="auto"/>
              </w:rPr>
            </w:pPr>
            <w:r>
              <w:rPr>
                <w:rFonts w:hint="eastAsia"/>
                <w:color w:val="auto"/>
              </w:rPr>
              <w:t>提高加工工艺和安装精度，同时做好运营维护管理，使齿轮和轴承保持良好的润滑。在风力发电机安装和运行过程中，由于安装精度或者运营维护的欠缺，齿轮和轴承的摩擦会产生铁屑增加摩擦系数，进而提高噪音分贝。</w:t>
            </w:r>
          </w:p>
          <w:p w14:paraId="193797BE">
            <w:pPr>
              <w:bidi w:val="0"/>
              <w:rPr>
                <w:rFonts w:hint="eastAsia"/>
                <w:color w:val="auto"/>
              </w:rPr>
            </w:pPr>
            <w:r>
              <w:rPr>
                <w:rFonts w:hint="eastAsia"/>
                <w:color w:val="auto"/>
              </w:rPr>
              <w:t>2）采用弹性连接</w:t>
            </w:r>
          </w:p>
          <w:p w14:paraId="2E32CB2D">
            <w:pPr>
              <w:bidi w:val="0"/>
              <w:rPr>
                <w:rFonts w:hint="eastAsia"/>
                <w:color w:val="auto"/>
              </w:rPr>
            </w:pPr>
            <w:r>
              <w:rPr>
                <w:rFonts w:hint="eastAsia"/>
                <w:color w:val="auto"/>
              </w:rPr>
              <w:t>为减小机械部件的振动，可在接近力源的地方切断振动传递的途径，如用弹性连接替代刚性连接。</w:t>
            </w:r>
          </w:p>
          <w:p w14:paraId="2F8B5200">
            <w:pPr>
              <w:bidi w:val="0"/>
              <w:rPr>
                <w:rFonts w:hint="eastAsia"/>
                <w:color w:val="auto"/>
              </w:rPr>
            </w:pPr>
            <w:r>
              <w:rPr>
                <w:rFonts w:hint="eastAsia"/>
                <w:color w:val="auto"/>
              </w:rPr>
              <w:t>3）采用高阻尼材料或增加消音装置</w:t>
            </w:r>
          </w:p>
          <w:p w14:paraId="3D9DAD53">
            <w:pPr>
              <w:bidi w:val="0"/>
              <w:rPr>
                <w:rFonts w:hint="eastAsia"/>
                <w:color w:val="auto"/>
              </w:rPr>
            </w:pPr>
            <w:r>
              <w:rPr>
                <w:rFonts w:hint="eastAsia"/>
                <w:color w:val="auto"/>
              </w:rPr>
              <w:t>采用高阻尼材料吸收机械部位的振动能，以降低振动</w:t>
            </w:r>
            <w:r>
              <w:rPr>
                <w:rFonts w:hint="eastAsia"/>
                <w:color w:val="auto"/>
                <w:lang w:eastAsia="zh-CN"/>
              </w:rPr>
              <w:t>噪声</w:t>
            </w:r>
            <w:r>
              <w:rPr>
                <w:rFonts w:hint="eastAsia"/>
                <w:color w:val="auto"/>
              </w:rPr>
              <w:t>，如：</w:t>
            </w:r>
          </w:p>
          <w:p w14:paraId="31EF6047">
            <w:pPr>
              <w:bidi w:val="0"/>
              <w:rPr>
                <w:rFonts w:hint="eastAsia"/>
                <w:color w:val="auto"/>
              </w:rPr>
            </w:pPr>
            <w:r>
              <w:rPr>
                <w:rFonts w:hint="eastAsia"/>
                <w:color w:val="auto"/>
              </w:rPr>
              <w:t>◆机舱外壳采用高阻尼和更加吸音的材料；</w:t>
            </w:r>
          </w:p>
          <w:p w14:paraId="7D347C11">
            <w:pPr>
              <w:bidi w:val="0"/>
              <w:rPr>
                <w:rFonts w:hint="eastAsia"/>
                <w:color w:val="auto"/>
              </w:rPr>
            </w:pPr>
            <w:r>
              <w:rPr>
                <w:rFonts w:hint="eastAsia"/>
                <w:color w:val="auto"/>
              </w:rPr>
              <w:t>◆在发电机散热风扇及变流器散热器等辅助设备处安装消音装置；</w:t>
            </w:r>
          </w:p>
          <w:p w14:paraId="3E1298EE">
            <w:pPr>
              <w:bidi w:val="0"/>
              <w:rPr>
                <w:rFonts w:hint="eastAsia"/>
                <w:color w:val="auto"/>
              </w:rPr>
            </w:pPr>
            <w:r>
              <w:rPr>
                <w:rFonts w:hint="eastAsia"/>
                <w:color w:val="auto"/>
              </w:rPr>
              <w:t>（4）从</w:t>
            </w:r>
            <w:r>
              <w:rPr>
                <w:rFonts w:hint="eastAsia"/>
                <w:color w:val="auto"/>
                <w:lang w:eastAsia="zh-CN"/>
              </w:rPr>
              <w:t>噪声</w:t>
            </w:r>
            <w:r>
              <w:rPr>
                <w:rFonts w:hint="eastAsia"/>
                <w:color w:val="auto"/>
              </w:rPr>
              <w:t>的接收处进行降噪</w:t>
            </w:r>
          </w:p>
          <w:p w14:paraId="47E84AAC">
            <w:pPr>
              <w:bidi w:val="0"/>
              <w:rPr>
                <w:b/>
                <w:bCs/>
                <w:color w:val="auto"/>
                <w:sz w:val="24"/>
                <w:highlight w:val="none"/>
              </w:rPr>
            </w:pPr>
            <w:r>
              <w:rPr>
                <w:rFonts w:hint="eastAsia"/>
                <w:color w:val="auto"/>
              </w:rPr>
              <w:t>居民对风力发电机的</w:t>
            </w:r>
            <w:r>
              <w:rPr>
                <w:rFonts w:hint="eastAsia"/>
                <w:color w:val="auto"/>
                <w:lang w:eastAsia="zh-CN"/>
              </w:rPr>
              <w:t>噪声干扰</w:t>
            </w:r>
            <w:r>
              <w:rPr>
                <w:rFonts w:hint="eastAsia"/>
                <w:color w:val="auto"/>
              </w:rPr>
              <w:t>主要是夜晚，通过对居民的房屋进行消音改造或者彻底搬离</w:t>
            </w:r>
            <w:r>
              <w:rPr>
                <w:rFonts w:hint="eastAsia"/>
                <w:color w:val="auto"/>
                <w:lang w:val="en-US" w:eastAsia="zh-CN"/>
              </w:rPr>
              <w:t>风机机组影响范围</w:t>
            </w:r>
            <w:r>
              <w:rPr>
                <w:rFonts w:hint="eastAsia"/>
                <w:color w:val="auto"/>
              </w:rPr>
              <w:t>，进而实现降低或消除风力发电机</w:t>
            </w:r>
            <w:r>
              <w:rPr>
                <w:rFonts w:hint="eastAsia"/>
                <w:color w:val="auto"/>
                <w:lang w:eastAsia="zh-CN"/>
              </w:rPr>
              <w:t>噪声</w:t>
            </w:r>
            <w:r>
              <w:rPr>
                <w:rFonts w:hint="eastAsia"/>
                <w:color w:val="auto"/>
              </w:rPr>
              <w:t>。该部分费用由建设或运营单位承担。</w:t>
            </w:r>
          </w:p>
          <w:p w14:paraId="32F0544A">
            <w:pPr>
              <w:spacing w:line="480" w:lineRule="exact"/>
              <w:ind w:firstLine="482" w:firstLineChars="200"/>
              <w:rPr>
                <w:b/>
                <w:bCs/>
                <w:color w:val="auto"/>
                <w:sz w:val="24"/>
                <w:highlight w:val="none"/>
              </w:rPr>
            </w:pPr>
            <w:r>
              <w:rPr>
                <w:rFonts w:hint="eastAsia"/>
                <w:b/>
                <w:bCs/>
                <w:color w:val="auto"/>
                <w:sz w:val="24"/>
                <w:highlight w:val="none"/>
                <w:lang w:val="en-US" w:eastAsia="zh-CN"/>
              </w:rPr>
              <w:t>5.2</w:t>
            </w:r>
            <w:r>
              <w:rPr>
                <w:b/>
                <w:bCs/>
                <w:color w:val="auto"/>
                <w:sz w:val="24"/>
                <w:highlight w:val="none"/>
              </w:rPr>
              <w:t>升压站</w:t>
            </w:r>
          </w:p>
          <w:p w14:paraId="4D3155ED">
            <w:pPr>
              <w:spacing w:line="480" w:lineRule="exact"/>
              <w:ind w:firstLine="482" w:firstLineChars="200"/>
              <w:rPr>
                <w:rFonts w:hint="eastAsia"/>
                <w:b/>
                <w:bCs/>
                <w:color w:val="auto"/>
                <w:sz w:val="24"/>
                <w:highlight w:val="none"/>
                <w:lang w:eastAsia="zh-CN"/>
              </w:rPr>
            </w:pPr>
            <w:r>
              <w:rPr>
                <w:rFonts w:hint="eastAsia"/>
                <w:b/>
                <w:bCs/>
                <w:color w:val="auto"/>
                <w:sz w:val="24"/>
                <w:highlight w:val="none"/>
                <w:lang w:eastAsia="zh-CN"/>
              </w:rPr>
              <w:t>（</w:t>
            </w:r>
            <w:r>
              <w:rPr>
                <w:rFonts w:hint="eastAsia"/>
                <w:b/>
                <w:bCs/>
                <w:color w:val="auto"/>
                <w:sz w:val="24"/>
                <w:highlight w:val="none"/>
                <w:lang w:val="en-US" w:eastAsia="zh-CN"/>
              </w:rPr>
              <w:t>1</w:t>
            </w:r>
            <w:r>
              <w:rPr>
                <w:rFonts w:hint="eastAsia"/>
                <w:b/>
                <w:bCs/>
                <w:color w:val="auto"/>
                <w:sz w:val="24"/>
                <w:highlight w:val="none"/>
                <w:lang w:eastAsia="zh-CN"/>
              </w:rPr>
              <w:t>）噪声源强</w:t>
            </w:r>
          </w:p>
          <w:p w14:paraId="0839D93A">
            <w:pPr>
              <w:spacing w:line="480" w:lineRule="exact"/>
              <w:ind w:firstLine="480" w:firstLineChars="200"/>
              <w:rPr>
                <w:rFonts w:hint="eastAsia"/>
                <w:color w:val="auto"/>
                <w:sz w:val="24"/>
                <w:highlight w:val="none"/>
              </w:rPr>
            </w:pPr>
            <w:r>
              <w:rPr>
                <w:rFonts w:hint="eastAsia"/>
                <w:color w:val="auto"/>
                <w:sz w:val="24"/>
                <w:highlight w:val="none"/>
              </w:rPr>
              <w:t>拟建220kV升压站投产运营期的噪声源主要来自变压器运行噪声，本项目</w:t>
            </w:r>
            <w:r>
              <w:rPr>
                <w:rFonts w:hint="eastAsia"/>
                <w:color w:val="auto"/>
                <w:sz w:val="24"/>
                <w:highlight w:val="none"/>
                <w:lang w:val="en-US" w:eastAsia="zh-CN"/>
              </w:rPr>
              <w:t>西泽风电场现有1台主变压器，项目新增1台主变压器</w:t>
            </w:r>
            <w:r>
              <w:rPr>
                <w:rFonts w:hint="eastAsia"/>
                <w:color w:val="auto"/>
                <w:sz w:val="24"/>
                <w:highlight w:val="none"/>
              </w:rPr>
              <w:t>。根据</w:t>
            </w:r>
            <w:r>
              <w:rPr>
                <w:rFonts w:hint="eastAsia"/>
                <w:color w:val="auto"/>
                <w:sz w:val="24"/>
                <w:highlight w:val="none"/>
                <w:lang w:val="en-US" w:eastAsia="zh-CN"/>
              </w:rPr>
              <w:t>建设单位提供的设备清单</w:t>
            </w:r>
            <w:r>
              <w:rPr>
                <w:rFonts w:hint="eastAsia"/>
                <w:color w:val="auto"/>
                <w:sz w:val="24"/>
                <w:highlight w:val="none"/>
              </w:rPr>
              <w:t>，</w:t>
            </w:r>
            <w:r>
              <w:rPr>
                <w:rFonts w:hint="eastAsia"/>
                <w:color w:val="auto"/>
                <w:sz w:val="24"/>
                <w:highlight w:val="none"/>
                <w:lang w:val="en-US" w:eastAsia="zh-CN"/>
              </w:rPr>
              <w:t>单台</w:t>
            </w:r>
            <w:r>
              <w:rPr>
                <w:rFonts w:hint="eastAsia"/>
                <w:color w:val="auto"/>
                <w:sz w:val="24"/>
                <w:highlight w:val="none"/>
              </w:rPr>
              <w:t>油浸自冷/风冷220kV变压器1m处声压级为</w:t>
            </w:r>
            <w:r>
              <w:rPr>
                <w:rFonts w:hint="eastAsia"/>
                <w:color w:val="auto"/>
                <w:sz w:val="24"/>
                <w:highlight w:val="none"/>
                <w:lang w:val="en-US" w:eastAsia="zh-CN"/>
              </w:rPr>
              <w:t>67</w:t>
            </w:r>
            <w:r>
              <w:rPr>
                <w:rFonts w:hint="eastAsia"/>
                <w:color w:val="auto"/>
                <w:sz w:val="24"/>
                <w:highlight w:val="none"/>
              </w:rPr>
              <w:t>dB（A）。</w:t>
            </w:r>
          </w:p>
          <w:p w14:paraId="2F70EE6B">
            <w:pPr>
              <w:pStyle w:val="27"/>
              <w:bidi w:val="0"/>
              <w:rPr>
                <w:color w:val="auto"/>
                <w:highlight w:val="none"/>
              </w:rPr>
            </w:pPr>
            <w:r>
              <w:rPr>
                <w:color w:val="auto"/>
                <w:highlight w:val="none"/>
              </w:rPr>
              <w:t>表</w:t>
            </w:r>
            <w:r>
              <w:rPr>
                <w:rFonts w:hint="eastAsia"/>
                <w:color w:val="auto"/>
                <w:highlight w:val="none"/>
              </w:rPr>
              <w:t>4-</w:t>
            </w:r>
            <w:r>
              <w:rPr>
                <w:rFonts w:hint="eastAsia"/>
                <w:color w:val="auto"/>
                <w:highlight w:val="none"/>
                <w:lang w:val="en-US" w:eastAsia="zh-CN"/>
              </w:rPr>
              <w:t xml:space="preserve">6  </w:t>
            </w:r>
            <w:r>
              <w:rPr>
                <w:rFonts w:hint="eastAsia"/>
                <w:color w:val="auto"/>
                <w:highlight w:val="none"/>
              </w:rPr>
              <w:t>项目升压站生产设备分布及噪声源强情况一览表</w:t>
            </w:r>
          </w:p>
          <w:tbl>
            <w:tblPr>
              <w:tblStyle w:val="20"/>
              <w:tblW w:w="81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054"/>
              <w:gridCol w:w="1735"/>
              <w:gridCol w:w="1082"/>
              <w:gridCol w:w="1082"/>
              <w:gridCol w:w="1082"/>
              <w:gridCol w:w="1087"/>
            </w:tblGrid>
            <w:tr w14:paraId="291425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8" w:hRule="atLeast"/>
                <w:jc w:val="center"/>
              </w:trPr>
              <w:tc>
                <w:tcPr>
                  <w:tcW w:w="2054" w:type="dxa"/>
                  <w:vMerge w:val="restart"/>
                  <w:tcBorders>
                    <w:tl2br w:val="nil"/>
                    <w:tr2bl w:val="nil"/>
                  </w:tcBorders>
                  <w:noWrap w:val="0"/>
                  <w:vAlign w:val="center"/>
                </w:tcPr>
                <w:p w14:paraId="08AEE3D2">
                  <w:pPr>
                    <w:pStyle w:val="37"/>
                    <w:bidi w:val="0"/>
                    <w:rPr>
                      <w:rFonts w:hint="eastAsia" w:eastAsia="宋体"/>
                      <w:color w:val="auto"/>
                      <w:highlight w:val="none"/>
                      <w:lang w:val="en-US" w:eastAsia="zh-CN"/>
                    </w:rPr>
                  </w:pPr>
                  <w:r>
                    <w:rPr>
                      <w:rFonts w:hint="eastAsia"/>
                      <w:color w:val="auto"/>
                      <w:lang w:val="en-US" w:eastAsia="zh-CN"/>
                    </w:rPr>
                    <w:t>设备名称</w:t>
                  </w:r>
                </w:p>
              </w:tc>
              <w:tc>
                <w:tcPr>
                  <w:tcW w:w="1735" w:type="dxa"/>
                  <w:vMerge w:val="restart"/>
                  <w:tcBorders>
                    <w:tl2br w:val="nil"/>
                    <w:tr2bl w:val="nil"/>
                  </w:tcBorders>
                  <w:noWrap w:val="0"/>
                  <w:vAlign w:val="center"/>
                </w:tcPr>
                <w:p w14:paraId="77B568CC">
                  <w:pPr>
                    <w:pStyle w:val="37"/>
                    <w:bidi w:val="0"/>
                    <w:rPr>
                      <w:rFonts w:hint="eastAsia"/>
                      <w:color w:val="auto"/>
                      <w:lang w:val="en-US" w:eastAsia="zh-CN"/>
                    </w:rPr>
                  </w:pPr>
                  <w:r>
                    <w:rPr>
                      <w:rFonts w:hint="eastAsia"/>
                      <w:color w:val="auto"/>
                      <w:lang w:val="en-US" w:eastAsia="zh-CN"/>
                    </w:rPr>
                    <w:t>单台噪声源强</w:t>
                  </w:r>
                </w:p>
                <w:p w14:paraId="551C2421">
                  <w:pPr>
                    <w:pStyle w:val="37"/>
                    <w:bidi w:val="0"/>
                    <w:rPr>
                      <w:rFonts w:hint="eastAsia"/>
                      <w:color w:val="auto"/>
                      <w:highlight w:val="none"/>
                      <w:lang w:val="en-US" w:eastAsia="zh-CN"/>
                    </w:rPr>
                  </w:pPr>
                  <w:r>
                    <w:rPr>
                      <w:rFonts w:hint="eastAsia"/>
                      <w:color w:val="auto"/>
                    </w:rPr>
                    <w:t>dB（A）</w:t>
                  </w:r>
                </w:p>
              </w:tc>
              <w:tc>
                <w:tcPr>
                  <w:tcW w:w="4333" w:type="dxa"/>
                  <w:gridSpan w:val="4"/>
                  <w:tcBorders>
                    <w:tl2br w:val="nil"/>
                    <w:tr2bl w:val="nil"/>
                  </w:tcBorders>
                  <w:noWrap w:val="0"/>
                  <w:vAlign w:val="center"/>
                </w:tcPr>
                <w:p w14:paraId="3858E070">
                  <w:pPr>
                    <w:pStyle w:val="37"/>
                    <w:bidi w:val="0"/>
                    <w:rPr>
                      <w:rFonts w:hint="default" w:eastAsia="宋体"/>
                      <w:color w:val="auto"/>
                      <w:highlight w:val="none"/>
                      <w:lang w:val="en-US" w:eastAsia="zh-CN"/>
                    </w:rPr>
                  </w:pPr>
                  <w:r>
                    <w:rPr>
                      <w:rFonts w:hint="eastAsia"/>
                      <w:color w:val="auto"/>
                      <w:lang w:val="en-US" w:eastAsia="zh-CN"/>
                    </w:rPr>
                    <w:t>与各边界的距离（m）</w:t>
                  </w:r>
                </w:p>
              </w:tc>
            </w:tr>
            <w:tr w14:paraId="4D543F4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6" w:hRule="atLeast"/>
                <w:jc w:val="center"/>
              </w:trPr>
              <w:tc>
                <w:tcPr>
                  <w:tcW w:w="2054" w:type="dxa"/>
                  <w:vMerge w:val="continue"/>
                  <w:tcBorders>
                    <w:tl2br w:val="nil"/>
                    <w:tr2bl w:val="nil"/>
                  </w:tcBorders>
                  <w:noWrap w:val="0"/>
                  <w:vAlign w:val="center"/>
                </w:tcPr>
                <w:p w14:paraId="7A0DB652">
                  <w:pPr>
                    <w:bidi w:val="0"/>
                    <w:rPr>
                      <w:rFonts w:hint="default" w:eastAsia="宋体"/>
                      <w:color w:val="auto"/>
                      <w:highlight w:val="none"/>
                      <w:lang w:val="en-US" w:eastAsia="zh-CN"/>
                    </w:rPr>
                  </w:pPr>
                </w:p>
              </w:tc>
              <w:tc>
                <w:tcPr>
                  <w:tcW w:w="1735" w:type="dxa"/>
                  <w:vMerge w:val="continue"/>
                  <w:tcBorders>
                    <w:tl2br w:val="nil"/>
                    <w:tr2bl w:val="nil"/>
                  </w:tcBorders>
                  <w:noWrap w:val="0"/>
                  <w:vAlign w:val="center"/>
                </w:tcPr>
                <w:p w14:paraId="1214DC99">
                  <w:pPr>
                    <w:bidi w:val="0"/>
                    <w:rPr>
                      <w:rFonts w:hint="default" w:eastAsia="宋体"/>
                      <w:color w:val="auto"/>
                      <w:highlight w:val="none"/>
                      <w:lang w:val="en-US" w:eastAsia="zh-CN"/>
                    </w:rPr>
                  </w:pPr>
                </w:p>
              </w:tc>
              <w:tc>
                <w:tcPr>
                  <w:tcW w:w="1082" w:type="dxa"/>
                  <w:tcBorders>
                    <w:tl2br w:val="nil"/>
                    <w:tr2bl w:val="nil"/>
                  </w:tcBorders>
                  <w:noWrap w:val="0"/>
                  <w:vAlign w:val="center"/>
                </w:tcPr>
                <w:p w14:paraId="35B6AA77">
                  <w:pPr>
                    <w:pStyle w:val="37"/>
                    <w:bidi w:val="0"/>
                    <w:rPr>
                      <w:rFonts w:hint="default"/>
                      <w:color w:val="auto"/>
                      <w:lang w:val="en-US" w:eastAsia="zh-CN"/>
                    </w:rPr>
                  </w:pPr>
                  <w:r>
                    <w:rPr>
                      <w:rFonts w:hint="eastAsia"/>
                      <w:color w:val="auto"/>
                      <w:lang w:val="en-US" w:eastAsia="zh-CN"/>
                    </w:rPr>
                    <w:t>东</w:t>
                  </w:r>
                </w:p>
              </w:tc>
              <w:tc>
                <w:tcPr>
                  <w:tcW w:w="1082" w:type="dxa"/>
                  <w:tcBorders>
                    <w:tl2br w:val="nil"/>
                    <w:tr2bl w:val="nil"/>
                  </w:tcBorders>
                  <w:noWrap w:val="0"/>
                  <w:vAlign w:val="center"/>
                </w:tcPr>
                <w:p w14:paraId="454CA948">
                  <w:pPr>
                    <w:pStyle w:val="37"/>
                    <w:bidi w:val="0"/>
                    <w:rPr>
                      <w:rFonts w:hint="default"/>
                      <w:color w:val="auto"/>
                      <w:lang w:val="en-US" w:eastAsia="zh-CN"/>
                    </w:rPr>
                  </w:pPr>
                  <w:r>
                    <w:rPr>
                      <w:rFonts w:hint="eastAsia"/>
                      <w:color w:val="auto"/>
                      <w:lang w:val="en-US" w:eastAsia="zh-CN"/>
                    </w:rPr>
                    <w:t>北</w:t>
                  </w:r>
                </w:p>
              </w:tc>
              <w:tc>
                <w:tcPr>
                  <w:tcW w:w="1082" w:type="dxa"/>
                  <w:tcBorders>
                    <w:tl2br w:val="nil"/>
                    <w:tr2bl w:val="nil"/>
                  </w:tcBorders>
                  <w:noWrap w:val="0"/>
                  <w:vAlign w:val="center"/>
                </w:tcPr>
                <w:p w14:paraId="761E1B60">
                  <w:pPr>
                    <w:pStyle w:val="37"/>
                    <w:bidi w:val="0"/>
                    <w:rPr>
                      <w:rFonts w:hint="default"/>
                      <w:color w:val="auto"/>
                      <w:lang w:val="en-US" w:eastAsia="zh-CN"/>
                    </w:rPr>
                  </w:pPr>
                  <w:r>
                    <w:rPr>
                      <w:rFonts w:hint="eastAsia"/>
                      <w:color w:val="auto"/>
                      <w:lang w:val="en-US" w:eastAsia="zh-CN"/>
                    </w:rPr>
                    <w:t>南</w:t>
                  </w:r>
                </w:p>
              </w:tc>
              <w:tc>
                <w:tcPr>
                  <w:tcW w:w="1087" w:type="dxa"/>
                  <w:tcBorders>
                    <w:tl2br w:val="nil"/>
                    <w:tr2bl w:val="nil"/>
                  </w:tcBorders>
                  <w:noWrap w:val="0"/>
                  <w:vAlign w:val="center"/>
                </w:tcPr>
                <w:p w14:paraId="5EC97943">
                  <w:pPr>
                    <w:pStyle w:val="37"/>
                    <w:bidi w:val="0"/>
                    <w:rPr>
                      <w:rFonts w:hint="default"/>
                      <w:color w:val="auto"/>
                      <w:lang w:val="en-US" w:eastAsia="zh-CN"/>
                    </w:rPr>
                  </w:pPr>
                  <w:r>
                    <w:rPr>
                      <w:rFonts w:hint="eastAsia"/>
                      <w:color w:val="auto"/>
                      <w:lang w:val="en-US" w:eastAsia="zh-CN"/>
                    </w:rPr>
                    <w:t>西</w:t>
                  </w:r>
                </w:p>
              </w:tc>
            </w:tr>
            <w:tr w14:paraId="3974D0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2054" w:type="dxa"/>
                  <w:tcBorders>
                    <w:tl2br w:val="nil"/>
                    <w:tr2bl w:val="nil"/>
                  </w:tcBorders>
                  <w:noWrap w:val="0"/>
                  <w:vAlign w:val="center"/>
                </w:tcPr>
                <w:p w14:paraId="2F3FE6F5">
                  <w:pPr>
                    <w:pStyle w:val="37"/>
                    <w:bidi w:val="0"/>
                    <w:rPr>
                      <w:rFonts w:hint="default" w:eastAsia="宋体"/>
                      <w:color w:val="auto"/>
                      <w:highlight w:val="none"/>
                      <w:lang w:val="en-US" w:eastAsia="zh-CN"/>
                    </w:rPr>
                  </w:pPr>
                  <w:r>
                    <w:rPr>
                      <w:rFonts w:hint="eastAsia"/>
                      <w:color w:val="auto"/>
                      <w:lang w:val="en-US" w:eastAsia="zh-CN"/>
                    </w:rPr>
                    <w:t>主变压器</w:t>
                  </w:r>
                </w:p>
              </w:tc>
              <w:tc>
                <w:tcPr>
                  <w:tcW w:w="1735" w:type="dxa"/>
                  <w:tcBorders>
                    <w:tl2br w:val="nil"/>
                    <w:tr2bl w:val="nil"/>
                  </w:tcBorders>
                  <w:noWrap w:val="0"/>
                  <w:vAlign w:val="center"/>
                </w:tcPr>
                <w:p w14:paraId="7F9D79BC">
                  <w:pPr>
                    <w:pStyle w:val="37"/>
                    <w:bidi w:val="0"/>
                    <w:rPr>
                      <w:rFonts w:hint="default" w:eastAsia="宋体"/>
                      <w:color w:val="auto"/>
                      <w:highlight w:val="none"/>
                      <w:lang w:val="en-US" w:eastAsia="zh-CN"/>
                    </w:rPr>
                  </w:pPr>
                  <w:r>
                    <w:rPr>
                      <w:rFonts w:hint="eastAsia"/>
                      <w:color w:val="auto"/>
                      <w:lang w:val="en-US" w:eastAsia="zh-CN"/>
                    </w:rPr>
                    <w:t>67</w:t>
                  </w:r>
                </w:p>
              </w:tc>
              <w:tc>
                <w:tcPr>
                  <w:tcW w:w="1082" w:type="dxa"/>
                  <w:tcBorders>
                    <w:tl2br w:val="nil"/>
                    <w:tr2bl w:val="nil"/>
                  </w:tcBorders>
                  <w:noWrap w:val="0"/>
                  <w:vAlign w:val="center"/>
                </w:tcPr>
                <w:p w14:paraId="582AEE06">
                  <w:pPr>
                    <w:pStyle w:val="37"/>
                    <w:bidi w:val="0"/>
                    <w:rPr>
                      <w:rFonts w:hint="default"/>
                      <w:color w:val="auto"/>
                      <w:lang w:val="en-US" w:eastAsia="zh-CN"/>
                    </w:rPr>
                  </w:pPr>
                  <w:r>
                    <w:rPr>
                      <w:rFonts w:hint="default"/>
                      <w:color w:val="auto"/>
                      <w:lang w:val="en-US" w:eastAsia="zh-CN"/>
                    </w:rPr>
                    <w:t>95</w:t>
                  </w:r>
                </w:p>
              </w:tc>
              <w:tc>
                <w:tcPr>
                  <w:tcW w:w="1082" w:type="dxa"/>
                  <w:tcBorders>
                    <w:tl2br w:val="nil"/>
                    <w:tr2bl w:val="nil"/>
                  </w:tcBorders>
                  <w:noWrap w:val="0"/>
                  <w:vAlign w:val="center"/>
                </w:tcPr>
                <w:p w14:paraId="50E2DE8B">
                  <w:pPr>
                    <w:pStyle w:val="37"/>
                    <w:bidi w:val="0"/>
                    <w:rPr>
                      <w:rFonts w:hint="default"/>
                      <w:color w:val="auto"/>
                      <w:lang w:val="en-US" w:eastAsia="zh-CN"/>
                    </w:rPr>
                  </w:pPr>
                  <w:r>
                    <w:rPr>
                      <w:rFonts w:hint="default"/>
                      <w:color w:val="auto"/>
                      <w:lang w:val="en-US" w:eastAsia="zh-CN"/>
                    </w:rPr>
                    <w:t>42</w:t>
                  </w:r>
                </w:p>
              </w:tc>
              <w:tc>
                <w:tcPr>
                  <w:tcW w:w="1082" w:type="dxa"/>
                  <w:tcBorders>
                    <w:tl2br w:val="nil"/>
                    <w:tr2bl w:val="nil"/>
                  </w:tcBorders>
                  <w:noWrap w:val="0"/>
                  <w:vAlign w:val="center"/>
                </w:tcPr>
                <w:p w14:paraId="6BFBEBB6">
                  <w:pPr>
                    <w:pStyle w:val="37"/>
                    <w:bidi w:val="0"/>
                    <w:rPr>
                      <w:rFonts w:hint="default"/>
                      <w:color w:val="auto"/>
                      <w:lang w:val="en-US" w:eastAsia="zh-CN"/>
                    </w:rPr>
                  </w:pPr>
                  <w:r>
                    <w:rPr>
                      <w:rFonts w:hint="default"/>
                      <w:color w:val="auto"/>
                      <w:lang w:val="en-US" w:eastAsia="zh-CN"/>
                    </w:rPr>
                    <w:t>33</w:t>
                  </w:r>
                </w:p>
              </w:tc>
              <w:tc>
                <w:tcPr>
                  <w:tcW w:w="1087" w:type="dxa"/>
                  <w:tcBorders>
                    <w:tl2br w:val="nil"/>
                    <w:tr2bl w:val="nil"/>
                  </w:tcBorders>
                  <w:noWrap w:val="0"/>
                  <w:vAlign w:val="center"/>
                </w:tcPr>
                <w:p w14:paraId="09F2D0EA">
                  <w:pPr>
                    <w:pStyle w:val="37"/>
                    <w:bidi w:val="0"/>
                    <w:rPr>
                      <w:rFonts w:hint="default"/>
                      <w:color w:val="auto"/>
                      <w:lang w:val="en-US" w:eastAsia="zh-CN"/>
                    </w:rPr>
                  </w:pPr>
                  <w:r>
                    <w:rPr>
                      <w:rFonts w:hint="default"/>
                      <w:color w:val="auto"/>
                      <w:lang w:val="en-US" w:eastAsia="zh-CN"/>
                    </w:rPr>
                    <w:t>9</w:t>
                  </w:r>
                </w:p>
              </w:tc>
            </w:tr>
          </w:tbl>
          <w:p w14:paraId="233B21DF">
            <w:pPr>
              <w:rPr>
                <w:rFonts w:hint="eastAsia"/>
                <w:b/>
                <w:bCs/>
                <w:color w:val="auto"/>
              </w:rPr>
            </w:pPr>
            <w:r>
              <w:rPr>
                <w:rFonts w:hint="eastAsia"/>
                <w:b/>
                <w:bCs/>
                <w:color w:val="auto"/>
              </w:rPr>
              <w:t>（2）预测模型</w:t>
            </w:r>
          </w:p>
          <w:p w14:paraId="4B2A10D9">
            <w:pPr>
              <w:rPr>
                <w:rFonts w:hint="eastAsia"/>
                <w:color w:val="auto"/>
              </w:rPr>
            </w:pPr>
            <w:r>
              <w:rPr>
                <w:rFonts w:hint="eastAsia"/>
                <w:color w:val="auto"/>
              </w:rPr>
              <w:t>根据户外噪声源的特点，本次评价采用无指向性点声源的几何发散衰减公式进行预测：</w:t>
            </w:r>
          </w:p>
          <w:p w14:paraId="50C2E771">
            <w:pPr>
              <w:spacing w:line="360" w:lineRule="auto"/>
              <w:ind w:firstLine="573"/>
              <w:jc w:val="center"/>
              <w:rPr>
                <w:rFonts w:ascii="Times New Roman" w:hAnsi="Times New Roman" w:eastAsia="宋体"/>
                <w:color w:val="auto"/>
                <w:sz w:val="24"/>
                <w:szCs w:val="24"/>
                <w:highlight w:val="none"/>
                <w:lang w:val="pt-BR"/>
              </w:rPr>
            </w:pPr>
            <w:r>
              <w:rPr>
                <w:rFonts w:ascii="Times New Roman" w:hAnsi="Times New Roman" w:eastAsia="宋体"/>
                <w:color w:val="auto"/>
                <w:sz w:val="24"/>
                <w:szCs w:val="24"/>
                <w:highlight w:val="none"/>
                <w:lang w:val="pt-BR"/>
              </w:rPr>
              <w:t>Lp（r）=Lp（r</w:t>
            </w:r>
            <w:r>
              <w:rPr>
                <w:rFonts w:ascii="Times New Roman" w:hAnsi="Times New Roman" w:eastAsia="宋体"/>
                <w:color w:val="auto"/>
                <w:sz w:val="24"/>
                <w:szCs w:val="24"/>
                <w:highlight w:val="none"/>
                <w:vertAlign w:val="subscript"/>
                <w:lang w:val="pt-BR"/>
              </w:rPr>
              <w:t>0</w:t>
            </w:r>
            <w:r>
              <w:rPr>
                <w:rFonts w:ascii="Times New Roman" w:hAnsi="Times New Roman" w:eastAsia="宋体"/>
                <w:color w:val="auto"/>
                <w:sz w:val="24"/>
                <w:szCs w:val="24"/>
                <w:highlight w:val="none"/>
                <w:lang w:val="pt-BR"/>
              </w:rPr>
              <w:t>）－（Adiv+Abar+Aatm+Agr+Amisc）</w:t>
            </w:r>
          </w:p>
          <w:p w14:paraId="00CB87C1">
            <w:pPr>
              <w:autoSpaceDE w:val="0"/>
              <w:autoSpaceDN w:val="0"/>
              <w:adjustRightInd w:val="0"/>
              <w:spacing w:line="360" w:lineRule="auto"/>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lang w:val="pt-BR"/>
              </w:rPr>
              <w:t>式中，</w:t>
            </w:r>
            <w:r>
              <w:rPr>
                <w:rFonts w:ascii="Times New Roman" w:hAnsi="Times New Roman" w:eastAsia="宋体"/>
                <w:color w:val="auto"/>
                <w:sz w:val="24"/>
                <w:szCs w:val="24"/>
                <w:highlight w:val="none"/>
              </w:rPr>
              <w:t>L</w:t>
            </w:r>
            <w:r>
              <w:rPr>
                <w:rFonts w:ascii="Times New Roman" w:hAnsi="Times New Roman" w:eastAsia="宋体"/>
                <w:color w:val="auto"/>
                <w:sz w:val="24"/>
                <w:szCs w:val="24"/>
                <w:highlight w:val="none"/>
                <w:lang w:val="pt-BR"/>
              </w:rPr>
              <w:t>p（r）</w:t>
            </w:r>
            <w:r>
              <w:rPr>
                <w:rFonts w:ascii="Times New Roman" w:hAnsi="Times New Roman" w:eastAsia="宋体"/>
                <w:color w:val="auto"/>
                <w:sz w:val="24"/>
                <w:szCs w:val="24"/>
                <w:highlight w:val="none"/>
              </w:rPr>
              <w:t>－距声源r处的A声级；</w:t>
            </w:r>
          </w:p>
          <w:p w14:paraId="38DAFE3D">
            <w:pPr>
              <w:autoSpaceDE w:val="0"/>
              <w:autoSpaceDN w:val="0"/>
              <w:adjustRightInd w:val="0"/>
              <w:spacing w:line="360" w:lineRule="auto"/>
              <w:ind w:firstLine="840" w:firstLineChars="35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L</w:t>
            </w:r>
            <w:r>
              <w:rPr>
                <w:rFonts w:ascii="Times New Roman" w:hAnsi="Times New Roman" w:eastAsia="宋体"/>
                <w:color w:val="auto"/>
                <w:sz w:val="24"/>
                <w:szCs w:val="24"/>
                <w:highlight w:val="none"/>
                <w:lang w:val="pt-BR"/>
              </w:rPr>
              <w:t>p</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r</w:t>
            </w:r>
            <w:r>
              <w:rPr>
                <w:rFonts w:ascii="Times New Roman" w:hAnsi="Times New Roman" w:eastAsia="宋体"/>
                <w:color w:val="auto"/>
                <w:sz w:val="24"/>
                <w:szCs w:val="24"/>
                <w:highlight w:val="none"/>
                <w:vertAlign w:val="subscript"/>
              </w:rPr>
              <w:t>0</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－参考位置r</w:t>
            </w:r>
            <w:r>
              <w:rPr>
                <w:rFonts w:ascii="Times New Roman" w:hAnsi="Times New Roman" w:eastAsia="宋体"/>
                <w:color w:val="auto"/>
                <w:sz w:val="24"/>
                <w:szCs w:val="24"/>
                <w:highlight w:val="none"/>
                <w:vertAlign w:val="subscript"/>
              </w:rPr>
              <w:t>0</w:t>
            </w:r>
            <w:r>
              <w:rPr>
                <w:rFonts w:ascii="Times New Roman" w:hAnsi="Times New Roman" w:eastAsia="宋体"/>
                <w:color w:val="auto"/>
                <w:sz w:val="24"/>
                <w:szCs w:val="24"/>
                <w:highlight w:val="none"/>
              </w:rPr>
              <w:t>处的A声级；</w:t>
            </w:r>
          </w:p>
          <w:p w14:paraId="1F0E061A">
            <w:pPr>
              <w:autoSpaceDE w:val="0"/>
              <w:autoSpaceDN w:val="0"/>
              <w:adjustRightInd w:val="0"/>
              <w:spacing w:line="360" w:lineRule="auto"/>
              <w:ind w:firstLine="840" w:firstLineChars="35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Adiv－声波几何发散所引起的A声级衰减量，即距离所引起的无指向性点声源几何发散衰减的基本公式为：Adiv＝20lg</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r/r</w:t>
            </w:r>
            <w:r>
              <w:rPr>
                <w:rFonts w:ascii="Times New Roman" w:hAnsi="Times New Roman" w:eastAsia="宋体"/>
                <w:color w:val="auto"/>
                <w:sz w:val="24"/>
                <w:szCs w:val="24"/>
                <w:highlight w:val="none"/>
                <w:vertAlign w:val="subscript"/>
              </w:rPr>
              <w:t>0</w:t>
            </w:r>
            <w:r>
              <w:rPr>
                <w:rFonts w:hint="eastAsia" w:ascii="Times New Roman" w:hAnsi="Times New Roman" w:eastAsia="宋体"/>
                <w:color w:val="auto"/>
                <w:sz w:val="24"/>
                <w:szCs w:val="24"/>
                <w:highlight w:val="none"/>
                <w:lang w:eastAsia="zh-CN"/>
              </w:rPr>
              <w:t>）</w:t>
            </w:r>
            <w:r>
              <w:rPr>
                <w:rFonts w:ascii="Times New Roman" w:hAnsi="Times New Roman" w:eastAsia="宋体"/>
                <w:color w:val="auto"/>
                <w:sz w:val="24"/>
                <w:szCs w:val="24"/>
                <w:highlight w:val="none"/>
              </w:rPr>
              <w:t>；</w:t>
            </w:r>
          </w:p>
          <w:p w14:paraId="743C520A">
            <w:pPr>
              <w:autoSpaceDE w:val="0"/>
              <w:autoSpaceDN w:val="0"/>
              <w:adjustRightInd w:val="0"/>
              <w:spacing w:line="360" w:lineRule="auto"/>
              <w:ind w:firstLine="840" w:firstLineChars="350"/>
              <w:rPr>
                <w:rFonts w:hint="default" w:ascii="Times New Roman" w:hAnsi="Times New Roman" w:eastAsia="宋体"/>
                <w:color w:val="auto"/>
                <w:sz w:val="24"/>
                <w:szCs w:val="24"/>
                <w:highlight w:val="none"/>
                <w:lang w:val="en-US" w:eastAsia="zh-CN"/>
              </w:rPr>
            </w:pPr>
            <w:r>
              <w:rPr>
                <w:rFonts w:ascii="Times New Roman" w:hAnsi="Times New Roman" w:eastAsia="宋体"/>
                <w:color w:val="auto"/>
                <w:sz w:val="24"/>
                <w:szCs w:val="24"/>
                <w:highlight w:val="none"/>
                <w:lang w:val="pt-BR"/>
              </w:rPr>
              <w:t>Abar</w:t>
            </w:r>
            <w:r>
              <w:rPr>
                <w:rFonts w:ascii="Times New Roman" w:hAnsi="Times New Roman" w:eastAsia="宋体"/>
                <w:color w:val="auto"/>
                <w:sz w:val="24"/>
                <w:szCs w:val="24"/>
                <w:highlight w:val="none"/>
              </w:rPr>
              <w:t>－屏障物所引起</w:t>
            </w:r>
            <w:r>
              <w:rPr>
                <w:rFonts w:hint="eastAsia"/>
                <w:color w:val="auto"/>
                <w:sz w:val="24"/>
                <w:szCs w:val="24"/>
                <w:highlight w:val="none"/>
                <w:lang w:eastAsia="zh-CN"/>
              </w:rPr>
              <w:t>的</w:t>
            </w:r>
            <w:r>
              <w:rPr>
                <w:rFonts w:ascii="Times New Roman" w:hAnsi="Times New Roman" w:eastAsia="宋体"/>
                <w:color w:val="auto"/>
                <w:sz w:val="24"/>
                <w:szCs w:val="24"/>
                <w:highlight w:val="none"/>
              </w:rPr>
              <w:t>A声级衰减量，屏障物通常包括建筑物墙壁的阻挡、建筑物声屏障效应以及植物的吸收屏障效应等，对于产生阻挡的植物而言，只有通过密集的植物丛时，才会对噪声产生阻挡衰减作用。</w:t>
            </w:r>
            <w:r>
              <w:rPr>
                <w:rFonts w:hint="eastAsia" w:ascii="Times New Roman" w:hAnsi="Times New Roman" w:eastAsia="宋体"/>
                <w:color w:val="auto"/>
                <w:sz w:val="24"/>
                <w:szCs w:val="24"/>
                <w:highlight w:val="none"/>
                <w:lang w:val="en-US" w:eastAsia="zh-CN"/>
              </w:rPr>
              <w:t>本项目升压站位于热水镇集镇边缘，周边以农田为主，项目涉及屏障为升压站</w:t>
            </w:r>
            <w:r>
              <w:rPr>
                <w:rFonts w:hint="eastAsia"/>
                <w:color w:val="auto"/>
                <w:sz w:val="24"/>
                <w:szCs w:val="24"/>
                <w:highlight w:val="none"/>
                <w:lang w:val="en-US" w:eastAsia="zh-CN"/>
              </w:rPr>
              <w:t>砖砌</w:t>
            </w:r>
            <w:r>
              <w:rPr>
                <w:rFonts w:hint="eastAsia" w:ascii="Times New Roman" w:hAnsi="Times New Roman" w:eastAsia="宋体"/>
                <w:color w:val="auto"/>
                <w:sz w:val="24"/>
                <w:szCs w:val="24"/>
                <w:highlight w:val="none"/>
                <w:lang w:val="en-US" w:eastAsia="zh-CN"/>
              </w:rPr>
              <w:t>围墙，</w:t>
            </w:r>
            <w:r>
              <w:rPr>
                <w:rFonts w:hint="eastAsia"/>
                <w:color w:val="auto"/>
                <w:lang w:val="en-US" w:eastAsia="zh-CN"/>
              </w:rPr>
              <w:t>升压站东、西、南三侧围墙均为砖砌围墙，北侧围墙为栅栏围墙，东、西、南三侧围墙</w:t>
            </w:r>
            <w:r>
              <w:rPr>
                <w:rFonts w:hint="eastAsia" w:ascii="Times New Roman" w:hAnsi="Times New Roman" w:eastAsia="宋体"/>
                <w:color w:val="auto"/>
                <w:sz w:val="24"/>
                <w:szCs w:val="24"/>
                <w:highlight w:val="none"/>
                <w:lang w:val="en-US" w:eastAsia="zh-CN"/>
              </w:rPr>
              <w:t>拟衰减噪声量为15</w:t>
            </w:r>
            <w:r>
              <w:rPr>
                <w:color w:val="auto"/>
                <w:highlight w:val="none"/>
              </w:rPr>
              <w:t>dB(A)</w:t>
            </w:r>
            <w:r>
              <w:rPr>
                <w:rFonts w:hint="eastAsia"/>
                <w:color w:val="auto"/>
                <w:highlight w:val="none"/>
                <w:lang w:eastAsia="zh-CN"/>
              </w:rPr>
              <w:t>，</w:t>
            </w:r>
            <w:r>
              <w:rPr>
                <w:rFonts w:hint="eastAsia"/>
                <w:color w:val="auto"/>
                <w:highlight w:val="none"/>
                <w:lang w:val="en-US" w:eastAsia="zh-CN"/>
              </w:rPr>
              <w:t>北侧围墙屏障衰减量忽略不计。</w:t>
            </w:r>
          </w:p>
          <w:p w14:paraId="7AD0EAD1">
            <w:pPr>
              <w:autoSpaceDE w:val="0"/>
              <w:autoSpaceDN w:val="0"/>
              <w:adjustRightInd w:val="0"/>
              <w:spacing w:line="360" w:lineRule="auto"/>
              <w:ind w:firstLine="840" w:firstLineChars="35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lang w:val="pt-BR"/>
              </w:rPr>
              <w:t>Aatm</w:t>
            </w:r>
            <w:r>
              <w:rPr>
                <w:rFonts w:ascii="Times New Roman" w:hAnsi="Times New Roman" w:eastAsia="宋体"/>
                <w:color w:val="auto"/>
                <w:sz w:val="24"/>
                <w:szCs w:val="24"/>
                <w:highlight w:val="none"/>
              </w:rPr>
              <w:t>－空气吸收所引起的A声级衰减量，其计算公式为：</w:t>
            </w:r>
            <w:r>
              <w:rPr>
                <w:rFonts w:ascii="Times New Roman" w:hAnsi="Times New Roman" w:eastAsia="宋体"/>
                <w:color w:val="auto"/>
                <w:sz w:val="24"/>
                <w:szCs w:val="24"/>
                <w:highlight w:val="none"/>
                <w:lang w:val="pt-BR"/>
              </w:rPr>
              <w:t>Aatm=</w:t>
            </w:r>
            <w:r>
              <w:rPr>
                <w:rFonts w:ascii="Times New Roman" w:hAnsi="Times New Roman" w:eastAsia="宋体"/>
                <w:color w:val="auto"/>
                <w:sz w:val="24"/>
                <w:szCs w:val="24"/>
                <w:highlight w:val="none"/>
              </w:rPr>
              <w:t>αΔr/100，其值与温度、湿度以及噪声的频率有关，一般来讲，对高频部分的空气吸声系数很大，而对中低频部分则很小，Δr是预测点到参考位置点的距离，当Δr&lt;200m时，</w:t>
            </w:r>
            <w:r>
              <w:rPr>
                <w:rFonts w:ascii="Times New Roman" w:hAnsi="Times New Roman" w:eastAsia="宋体"/>
                <w:color w:val="auto"/>
                <w:sz w:val="24"/>
                <w:szCs w:val="24"/>
                <w:highlight w:val="none"/>
                <w:lang w:val="pt-BR"/>
              </w:rPr>
              <w:t>Aatm</w:t>
            </w:r>
            <w:r>
              <w:rPr>
                <w:rFonts w:ascii="Times New Roman" w:hAnsi="Times New Roman" w:eastAsia="宋体"/>
                <w:color w:val="auto"/>
                <w:sz w:val="24"/>
                <w:szCs w:val="24"/>
                <w:highlight w:val="none"/>
              </w:rPr>
              <w:t>近似为零，一般情况下可忽略不计。</w:t>
            </w:r>
            <w:r>
              <w:rPr>
                <w:rFonts w:hint="eastAsia" w:ascii="Times New Roman" w:hAnsi="Times New Roman" w:eastAsia="宋体"/>
                <w:color w:val="auto"/>
                <w:sz w:val="24"/>
                <w:szCs w:val="24"/>
                <w:highlight w:val="none"/>
                <w:lang w:val="en-US" w:eastAsia="zh-CN"/>
              </w:rPr>
              <w:t>本项目忽略不计。</w:t>
            </w:r>
          </w:p>
          <w:p w14:paraId="53FD69D5">
            <w:pPr>
              <w:autoSpaceDE w:val="0"/>
              <w:autoSpaceDN w:val="0"/>
              <w:adjustRightInd w:val="0"/>
              <w:spacing w:line="360" w:lineRule="auto"/>
              <w:ind w:firstLine="840" w:firstLineChars="350"/>
              <w:rPr>
                <w:rFonts w:ascii="Times New Roman" w:hAnsi="Times New Roman" w:eastAsia="宋体"/>
                <w:color w:val="auto"/>
                <w:sz w:val="24"/>
                <w:szCs w:val="24"/>
                <w:highlight w:val="none"/>
                <w:lang w:val="pt-BR"/>
              </w:rPr>
            </w:pPr>
            <w:r>
              <w:rPr>
                <w:rFonts w:ascii="Times New Roman" w:hAnsi="Times New Roman" w:eastAsia="宋体"/>
                <w:color w:val="auto"/>
                <w:sz w:val="24"/>
                <w:szCs w:val="24"/>
                <w:highlight w:val="none"/>
                <w:lang w:val="pt-BR"/>
              </w:rPr>
              <w:t>Agr</w:t>
            </w:r>
            <w:r>
              <w:rPr>
                <w:rFonts w:ascii="Times New Roman" w:hAnsi="Times New Roman" w:eastAsia="宋体"/>
                <w:color w:val="auto"/>
                <w:sz w:val="24"/>
                <w:szCs w:val="24"/>
                <w:highlight w:val="none"/>
              </w:rPr>
              <w:t>－地面效应所引起的A声级衰减量</w:t>
            </w:r>
            <w:r>
              <w:rPr>
                <w:rFonts w:ascii="Times New Roman" w:hAnsi="Times New Roman" w:eastAsia="宋体"/>
                <w:color w:val="auto"/>
                <w:sz w:val="24"/>
                <w:szCs w:val="24"/>
                <w:highlight w:val="none"/>
                <w:lang w:val="pt-BR"/>
              </w:rPr>
              <w:t>。</w:t>
            </w:r>
            <w:r>
              <w:rPr>
                <w:rFonts w:hint="eastAsia" w:ascii="Times New Roman" w:hAnsi="Times New Roman" w:eastAsia="宋体"/>
                <w:color w:val="auto"/>
                <w:sz w:val="24"/>
                <w:szCs w:val="24"/>
                <w:highlight w:val="none"/>
                <w:lang w:val="en-US" w:eastAsia="zh-CN"/>
              </w:rPr>
              <w:t>本项目忽略不计。</w:t>
            </w:r>
          </w:p>
          <w:p w14:paraId="4C25DC30">
            <w:pPr>
              <w:autoSpaceDE w:val="0"/>
              <w:autoSpaceDN w:val="0"/>
              <w:adjustRightInd w:val="0"/>
              <w:spacing w:line="360" w:lineRule="auto"/>
              <w:ind w:firstLine="840" w:firstLineChars="350"/>
              <w:rPr>
                <w:rFonts w:hint="default" w:ascii="Times New Roman" w:hAnsi="Times New Roman" w:eastAsia="宋体"/>
                <w:color w:val="auto"/>
                <w:sz w:val="24"/>
                <w:szCs w:val="24"/>
                <w:highlight w:val="none"/>
                <w:lang w:val="en-US" w:eastAsia="zh-CN"/>
              </w:rPr>
            </w:pPr>
            <w:r>
              <w:rPr>
                <w:rFonts w:ascii="Times New Roman" w:hAnsi="Times New Roman" w:eastAsia="宋体"/>
                <w:color w:val="auto"/>
                <w:sz w:val="24"/>
                <w:szCs w:val="24"/>
                <w:highlight w:val="none"/>
                <w:lang w:val="pt-BR"/>
              </w:rPr>
              <w:t>Amisc</w:t>
            </w:r>
            <w:r>
              <w:rPr>
                <w:rFonts w:ascii="Times New Roman" w:hAnsi="Times New Roman" w:eastAsia="宋体"/>
                <w:color w:val="auto"/>
                <w:sz w:val="24"/>
                <w:szCs w:val="24"/>
                <w:highlight w:val="none"/>
              </w:rPr>
              <w:t>－附加A声级衰减量，附加声级衰减包括通过工业场所、房屋群的衰减等。一般情况下的环境影响评价中，不需考虑风、云、雾及温度梯度所引起的附加影响。</w:t>
            </w:r>
            <w:r>
              <w:rPr>
                <w:rFonts w:hint="eastAsia" w:ascii="Times New Roman" w:hAnsi="Times New Roman" w:eastAsia="宋体"/>
                <w:color w:val="auto"/>
                <w:sz w:val="24"/>
                <w:szCs w:val="24"/>
                <w:highlight w:val="none"/>
                <w:lang w:val="en-US" w:eastAsia="zh-CN"/>
              </w:rPr>
              <w:t>本项目忽略不计。</w:t>
            </w:r>
          </w:p>
          <w:p w14:paraId="3EB04D01">
            <w:pPr>
              <w:spacing w:line="480" w:lineRule="exact"/>
              <w:ind w:firstLine="480" w:firstLineChars="200"/>
              <w:rPr>
                <w:rFonts w:hint="eastAsia"/>
                <w:color w:val="auto"/>
                <w:sz w:val="24"/>
                <w:highlight w:val="none"/>
              </w:rPr>
            </w:pPr>
            <w:r>
              <w:rPr>
                <w:rFonts w:hint="eastAsia"/>
                <w:color w:val="auto"/>
                <w:sz w:val="24"/>
                <w:highlight w:val="none"/>
              </w:rPr>
              <w:t>（3）预测结果及评价</w:t>
            </w:r>
          </w:p>
          <w:p w14:paraId="1E953B5E">
            <w:pPr>
              <w:spacing w:line="480" w:lineRule="exact"/>
              <w:ind w:firstLine="480" w:firstLineChars="200"/>
              <w:rPr>
                <w:rFonts w:hint="eastAsia"/>
                <w:color w:val="auto"/>
                <w:sz w:val="24"/>
                <w:highlight w:val="none"/>
              </w:rPr>
            </w:pPr>
            <w:r>
              <w:rPr>
                <w:rFonts w:hint="eastAsia"/>
                <w:color w:val="auto"/>
                <w:sz w:val="24"/>
                <w:highlight w:val="none"/>
                <w:lang w:val="en-US" w:eastAsia="zh-CN"/>
              </w:rPr>
              <w:t>项目升压站现状监测值昼间位于42~44dB（A）之间，夜间位于38~40dB（A）之间，类比本次监测的XZB02处噪声值发现，升压站现有主变几乎不对厂界外的声环境造成影响，故本次仅对新增主变的贡献值进行预测。现有</w:t>
            </w:r>
            <w:r>
              <w:rPr>
                <w:rFonts w:hint="eastAsia"/>
                <w:color w:val="auto"/>
                <w:sz w:val="24"/>
                <w:highlight w:val="none"/>
              </w:rPr>
              <w:t>噪声源在现有防护措施情况下对项目厂界处的噪声贡献值见下表。</w:t>
            </w:r>
          </w:p>
          <w:p w14:paraId="6014AF99">
            <w:pPr>
              <w:pStyle w:val="27"/>
              <w:bidi w:val="0"/>
              <w:rPr>
                <w:rFonts w:hint="eastAsia"/>
                <w:color w:val="auto"/>
                <w:highlight w:val="none"/>
              </w:rPr>
            </w:pPr>
            <w:r>
              <w:rPr>
                <w:rFonts w:hint="eastAsia"/>
                <w:color w:val="auto"/>
                <w:highlight w:val="none"/>
              </w:rPr>
              <w:t>表</w:t>
            </w:r>
            <w:r>
              <w:rPr>
                <w:rFonts w:hint="eastAsia"/>
                <w:color w:val="auto"/>
                <w:highlight w:val="none"/>
                <w:lang w:val="en-US" w:eastAsia="zh-CN"/>
              </w:rPr>
              <w:t xml:space="preserve">4-7  </w:t>
            </w:r>
            <w:r>
              <w:rPr>
                <w:rFonts w:hint="eastAsia"/>
                <w:color w:val="auto"/>
                <w:highlight w:val="none"/>
              </w:rPr>
              <w:t>项目运营期噪声预测结果一览表</w:t>
            </w:r>
            <w:r>
              <w:rPr>
                <w:rFonts w:hint="eastAsia"/>
                <w:color w:val="auto"/>
                <w:highlight w:val="none"/>
                <w:lang w:val="en-US" w:eastAsia="zh-CN"/>
              </w:rPr>
              <w:t xml:space="preserve">  </w:t>
            </w:r>
            <w:r>
              <w:rPr>
                <w:rFonts w:hint="eastAsia"/>
                <w:color w:val="auto"/>
                <w:highlight w:val="none"/>
              </w:rPr>
              <w:t>单位：dB（A）</w:t>
            </w:r>
          </w:p>
          <w:tbl>
            <w:tblPr>
              <w:tblStyle w:val="20"/>
              <w:tblW w:w="8349"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46"/>
              <w:gridCol w:w="654"/>
              <w:gridCol w:w="689"/>
              <w:gridCol w:w="1066"/>
              <w:gridCol w:w="849"/>
              <w:gridCol w:w="849"/>
              <w:gridCol w:w="849"/>
              <w:gridCol w:w="849"/>
              <w:gridCol w:w="849"/>
              <w:gridCol w:w="849"/>
            </w:tblGrid>
            <w:tr w14:paraId="31BB947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jc w:val="center"/>
              </w:trPr>
              <w:tc>
                <w:tcPr>
                  <w:tcW w:w="846" w:type="dxa"/>
                  <w:vMerge w:val="restart"/>
                  <w:shd w:val="clear" w:color="auto" w:fill="auto"/>
                  <w:noWrap/>
                  <w:vAlign w:val="center"/>
                </w:tcPr>
                <w:p w14:paraId="19800F18">
                  <w:pPr>
                    <w:pStyle w:val="37"/>
                    <w:bidi w:val="0"/>
                    <w:rPr>
                      <w:rFonts w:hint="eastAsia"/>
                      <w:b/>
                      <w:bCs/>
                      <w:color w:val="auto"/>
                      <w:highlight w:val="none"/>
                    </w:rPr>
                  </w:pPr>
                  <w:r>
                    <w:rPr>
                      <w:rFonts w:hint="eastAsia"/>
                      <w:color w:val="auto"/>
                      <w:lang w:val="en-US" w:eastAsia="zh-CN"/>
                    </w:rPr>
                    <w:t>名称</w:t>
                  </w:r>
                </w:p>
              </w:tc>
              <w:tc>
                <w:tcPr>
                  <w:tcW w:w="1343" w:type="dxa"/>
                  <w:gridSpan w:val="2"/>
                  <w:shd w:val="clear" w:color="auto" w:fill="auto"/>
                  <w:noWrap/>
                  <w:vAlign w:val="center"/>
                </w:tcPr>
                <w:p w14:paraId="70C51E59">
                  <w:pPr>
                    <w:pStyle w:val="37"/>
                    <w:bidi w:val="0"/>
                    <w:rPr>
                      <w:rFonts w:hint="eastAsia"/>
                      <w:b/>
                      <w:bCs/>
                      <w:color w:val="auto"/>
                      <w:highlight w:val="none"/>
                    </w:rPr>
                  </w:pPr>
                  <w:r>
                    <w:rPr>
                      <w:rFonts w:hint="eastAsia"/>
                      <w:color w:val="auto"/>
                      <w:lang w:val="en-US" w:eastAsia="zh-CN"/>
                    </w:rPr>
                    <w:t>坐标</w:t>
                  </w:r>
                </w:p>
              </w:tc>
              <w:tc>
                <w:tcPr>
                  <w:tcW w:w="1066" w:type="dxa"/>
                  <w:vMerge w:val="restart"/>
                  <w:shd w:val="clear" w:color="auto" w:fill="auto"/>
                  <w:vAlign w:val="center"/>
                </w:tcPr>
                <w:p w14:paraId="3E01A1BF">
                  <w:pPr>
                    <w:pStyle w:val="37"/>
                    <w:bidi w:val="0"/>
                    <w:rPr>
                      <w:rFonts w:hint="eastAsia"/>
                      <w:b/>
                      <w:bCs/>
                      <w:color w:val="auto"/>
                      <w:highlight w:val="none"/>
                    </w:rPr>
                  </w:pPr>
                  <w:r>
                    <w:rPr>
                      <w:rFonts w:hint="eastAsia"/>
                      <w:color w:val="auto"/>
                      <w:lang w:val="en-US" w:eastAsia="zh-CN"/>
                    </w:rPr>
                    <w:t>预测点离地高度</w:t>
                  </w:r>
                </w:p>
              </w:tc>
              <w:tc>
                <w:tcPr>
                  <w:tcW w:w="2547" w:type="dxa"/>
                  <w:gridSpan w:val="3"/>
                  <w:shd w:val="clear" w:color="auto" w:fill="auto"/>
                  <w:noWrap/>
                  <w:vAlign w:val="center"/>
                </w:tcPr>
                <w:p w14:paraId="69F791F1">
                  <w:pPr>
                    <w:pStyle w:val="37"/>
                    <w:bidi w:val="0"/>
                    <w:rPr>
                      <w:rFonts w:hint="eastAsia"/>
                      <w:b/>
                      <w:bCs/>
                      <w:color w:val="auto"/>
                      <w:highlight w:val="none"/>
                    </w:rPr>
                  </w:pPr>
                  <w:r>
                    <w:rPr>
                      <w:rFonts w:hint="eastAsia"/>
                      <w:color w:val="auto"/>
                      <w:lang w:val="en-US" w:eastAsia="zh-CN"/>
                    </w:rPr>
                    <w:t>昼间</w:t>
                  </w:r>
                </w:p>
              </w:tc>
              <w:tc>
                <w:tcPr>
                  <w:tcW w:w="2547" w:type="dxa"/>
                  <w:gridSpan w:val="3"/>
                  <w:shd w:val="clear" w:color="auto" w:fill="auto"/>
                  <w:noWrap/>
                  <w:vAlign w:val="center"/>
                </w:tcPr>
                <w:p w14:paraId="46C2C077">
                  <w:pPr>
                    <w:pStyle w:val="37"/>
                    <w:bidi w:val="0"/>
                    <w:rPr>
                      <w:rFonts w:hint="eastAsia"/>
                      <w:b/>
                      <w:bCs/>
                      <w:color w:val="auto"/>
                      <w:highlight w:val="none"/>
                    </w:rPr>
                  </w:pPr>
                  <w:r>
                    <w:rPr>
                      <w:rFonts w:hint="eastAsia"/>
                      <w:color w:val="auto"/>
                      <w:lang w:val="en-US" w:eastAsia="zh-CN"/>
                    </w:rPr>
                    <w:t>夜间</w:t>
                  </w:r>
                </w:p>
              </w:tc>
            </w:tr>
            <w:tr w14:paraId="786A5DC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46" w:type="dxa"/>
                  <w:vMerge w:val="continue"/>
                  <w:tcBorders>
                    <w:bottom w:val="single" w:color="000000" w:sz="12" w:space="0"/>
                  </w:tcBorders>
                  <w:shd w:val="clear" w:color="auto" w:fill="auto"/>
                  <w:noWrap/>
                  <w:vAlign w:val="center"/>
                </w:tcPr>
                <w:p w14:paraId="21272C6E">
                  <w:pPr>
                    <w:pStyle w:val="34"/>
                    <w:bidi w:val="0"/>
                    <w:rPr>
                      <w:rFonts w:hint="eastAsia"/>
                      <w:b/>
                      <w:bCs/>
                      <w:color w:val="auto"/>
                      <w:highlight w:val="none"/>
                    </w:rPr>
                  </w:pPr>
                </w:p>
              </w:tc>
              <w:tc>
                <w:tcPr>
                  <w:tcW w:w="654" w:type="dxa"/>
                  <w:tcBorders>
                    <w:bottom w:val="single" w:color="000000" w:sz="12" w:space="0"/>
                  </w:tcBorders>
                  <w:shd w:val="clear" w:color="auto" w:fill="auto"/>
                  <w:noWrap/>
                  <w:vAlign w:val="center"/>
                </w:tcPr>
                <w:p w14:paraId="0F4BAB3E">
                  <w:pPr>
                    <w:pStyle w:val="37"/>
                    <w:bidi w:val="0"/>
                    <w:rPr>
                      <w:rFonts w:hint="eastAsia"/>
                      <w:b/>
                      <w:bCs/>
                      <w:color w:val="auto"/>
                      <w:highlight w:val="none"/>
                    </w:rPr>
                  </w:pPr>
                  <w:r>
                    <w:rPr>
                      <w:rFonts w:hint="eastAsia"/>
                      <w:color w:val="auto"/>
                      <w:lang w:val="en-US" w:eastAsia="zh-CN"/>
                    </w:rPr>
                    <w:t>X</w:t>
                  </w:r>
                </w:p>
              </w:tc>
              <w:tc>
                <w:tcPr>
                  <w:tcW w:w="689" w:type="dxa"/>
                  <w:tcBorders>
                    <w:bottom w:val="single" w:color="000000" w:sz="12" w:space="0"/>
                  </w:tcBorders>
                  <w:shd w:val="clear" w:color="auto" w:fill="auto"/>
                  <w:noWrap/>
                  <w:vAlign w:val="center"/>
                </w:tcPr>
                <w:p w14:paraId="3F7E7E1A">
                  <w:pPr>
                    <w:pStyle w:val="37"/>
                    <w:bidi w:val="0"/>
                    <w:rPr>
                      <w:rFonts w:hint="eastAsia"/>
                      <w:b/>
                      <w:bCs/>
                      <w:color w:val="auto"/>
                      <w:highlight w:val="none"/>
                    </w:rPr>
                  </w:pPr>
                  <w:r>
                    <w:rPr>
                      <w:rFonts w:hint="eastAsia"/>
                      <w:color w:val="auto"/>
                      <w:lang w:val="en-US" w:eastAsia="zh-CN"/>
                    </w:rPr>
                    <w:t>Y</w:t>
                  </w:r>
                </w:p>
              </w:tc>
              <w:tc>
                <w:tcPr>
                  <w:tcW w:w="1066" w:type="dxa"/>
                  <w:vMerge w:val="continue"/>
                  <w:tcBorders>
                    <w:bottom w:val="single" w:color="000000" w:sz="12" w:space="0"/>
                  </w:tcBorders>
                  <w:shd w:val="clear" w:color="auto" w:fill="auto"/>
                  <w:vAlign w:val="center"/>
                </w:tcPr>
                <w:p w14:paraId="045F5351">
                  <w:pPr>
                    <w:pStyle w:val="34"/>
                    <w:bidi w:val="0"/>
                    <w:rPr>
                      <w:rFonts w:hint="eastAsia"/>
                      <w:b/>
                      <w:bCs/>
                      <w:color w:val="auto"/>
                      <w:highlight w:val="none"/>
                    </w:rPr>
                  </w:pPr>
                </w:p>
              </w:tc>
              <w:tc>
                <w:tcPr>
                  <w:tcW w:w="849" w:type="dxa"/>
                  <w:tcBorders>
                    <w:bottom w:val="single" w:color="000000" w:sz="12" w:space="0"/>
                  </w:tcBorders>
                  <w:shd w:val="clear" w:color="auto" w:fill="auto"/>
                  <w:noWrap/>
                  <w:vAlign w:val="center"/>
                </w:tcPr>
                <w:p w14:paraId="4F233CFF">
                  <w:pPr>
                    <w:pStyle w:val="37"/>
                    <w:bidi w:val="0"/>
                    <w:rPr>
                      <w:rFonts w:hint="eastAsia"/>
                      <w:b/>
                      <w:bCs/>
                      <w:color w:val="auto"/>
                      <w:highlight w:val="none"/>
                    </w:rPr>
                  </w:pPr>
                  <w:r>
                    <w:rPr>
                      <w:rFonts w:hint="eastAsia"/>
                      <w:color w:val="auto"/>
                      <w:lang w:val="en-US" w:eastAsia="zh-CN"/>
                    </w:rPr>
                    <w:t>贡献值</w:t>
                  </w:r>
                </w:p>
              </w:tc>
              <w:tc>
                <w:tcPr>
                  <w:tcW w:w="849" w:type="dxa"/>
                  <w:tcBorders>
                    <w:bottom w:val="single" w:color="000000" w:sz="12" w:space="0"/>
                  </w:tcBorders>
                  <w:shd w:val="clear" w:color="auto" w:fill="auto"/>
                  <w:noWrap/>
                  <w:vAlign w:val="center"/>
                </w:tcPr>
                <w:p w14:paraId="6A6E7FCB">
                  <w:pPr>
                    <w:pStyle w:val="37"/>
                    <w:bidi w:val="0"/>
                    <w:rPr>
                      <w:rFonts w:hint="eastAsia"/>
                      <w:b/>
                      <w:bCs/>
                      <w:color w:val="auto"/>
                      <w:highlight w:val="none"/>
                    </w:rPr>
                  </w:pPr>
                  <w:r>
                    <w:rPr>
                      <w:rFonts w:hint="eastAsia"/>
                      <w:color w:val="auto"/>
                      <w:lang w:val="en-US" w:eastAsia="zh-CN"/>
                    </w:rPr>
                    <w:t>背景值</w:t>
                  </w:r>
                </w:p>
              </w:tc>
              <w:tc>
                <w:tcPr>
                  <w:tcW w:w="849" w:type="dxa"/>
                  <w:tcBorders>
                    <w:bottom w:val="single" w:color="000000" w:sz="12" w:space="0"/>
                  </w:tcBorders>
                  <w:shd w:val="clear" w:color="auto" w:fill="auto"/>
                  <w:noWrap/>
                  <w:vAlign w:val="center"/>
                </w:tcPr>
                <w:p w14:paraId="1CCD0509">
                  <w:pPr>
                    <w:pStyle w:val="37"/>
                    <w:bidi w:val="0"/>
                    <w:rPr>
                      <w:rFonts w:hint="eastAsia"/>
                      <w:b/>
                      <w:bCs/>
                      <w:color w:val="auto"/>
                      <w:highlight w:val="none"/>
                    </w:rPr>
                  </w:pPr>
                  <w:r>
                    <w:rPr>
                      <w:rFonts w:hint="eastAsia"/>
                      <w:color w:val="auto"/>
                      <w:lang w:val="en-US" w:eastAsia="zh-CN"/>
                    </w:rPr>
                    <w:t>叠加值</w:t>
                  </w:r>
                </w:p>
              </w:tc>
              <w:tc>
                <w:tcPr>
                  <w:tcW w:w="849" w:type="dxa"/>
                  <w:tcBorders>
                    <w:bottom w:val="single" w:color="000000" w:sz="12" w:space="0"/>
                  </w:tcBorders>
                  <w:shd w:val="clear" w:color="auto" w:fill="auto"/>
                  <w:noWrap/>
                  <w:vAlign w:val="center"/>
                </w:tcPr>
                <w:p w14:paraId="6DEA3E2C">
                  <w:pPr>
                    <w:pStyle w:val="37"/>
                    <w:bidi w:val="0"/>
                    <w:rPr>
                      <w:rFonts w:hint="eastAsia"/>
                      <w:b/>
                      <w:bCs/>
                      <w:color w:val="auto"/>
                      <w:highlight w:val="none"/>
                    </w:rPr>
                  </w:pPr>
                  <w:r>
                    <w:rPr>
                      <w:rFonts w:hint="eastAsia"/>
                      <w:color w:val="auto"/>
                      <w:lang w:val="en-US" w:eastAsia="zh-CN"/>
                    </w:rPr>
                    <w:t>贡献值</w:t>
                  </w:r>
                </w:p>
              </w:tc>
              <w:tc>
                <w:tcPr>
                  <w:tcW w:w="849" w:type="dxa"/>
                  <w:tcBorders>
                    <w:bottom w:val="single" w:color="000000" w:sz="12" w:space="0"/>
                  </w:tcBorders>
                  <w:shd w:val="clear" w:color="auto" w:fill="auto"/>
                  <w:noWrap/>
                  <w:vAlign w:val="center"/>
                </w:tcPr>
                <w:p w14:paraId="538CBD8A">
                  <w:pPr>
                    <w:pStyle w:val="37"/>
                    <w:bidi w:val="0"/>
                    <w:rPr>
                      <w:rFonts w:hint="eastAsia"/>
                      <w:b/>
                      <w:bCs/>
                      <w:color w:val="auto"/>
                      <w:highlight w:val="none"/>
                    </w:rPr>
                  </w:pPr>
                  <w:r>
                    <w:rPr>
                      <w:rFonts w:hint="eastAsia"/>
                      <w:color w:val="auto"/>
                      <w:lang w:val="en-US" w:eastAsia="zh-CN"/>
                    </w:rPr>
                    <w:t>背景值</w:t>
                  </w:r>
                </w:p>
              </w:tc>
              <w:tc>
                <w:tcPr>
                  <w:tcW w:w="849" w:type="dxa"/>
                  <w:tcBorders>
                    <w:bottom w:val="single" w:color="000000" w:sz="12" w:space="0"/>
                  </w:tcBorders>
                  <w:shd w:val="clear" w:color="auto" w:fill="auto"/>
                  <w:noWrap/>
                  <w:vAlign w:val="center"/>
                </w:tcPr>
                <w:p w14:paraId="540441AE">
                  <w:pPr>
                    <w:pStyle w:val="37"/>
                    <w:bidi w:val="0"/>
                    <w:rPr>
                      <w:rFonts w:hint="eastAsia"/>
                      <w:b/>
                      <w:bCs/>
                      <w:color w:val="auto"/>
                      <w:highlight w:val="none"/>
                    </w:rPr>
                  </w:pPr>
                  <w:r>
                    <w:rPr>
                      <w:rFonts w:hint="eastAsia"/>
                      <w:color w:val="auto"/>
                      <w:lang w:val="en-US" w:eastAsia="zh-CN"/>
                    </w:rPr>
                    <w:t>叠加值</w:t>
                  </w:r>
                </w:p>
              </w:tc>
            </w:tr>
            <w:tr w14:paraId="2CD27AF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46" w:type="dxa"/>
                  <w:tcBorders>
                    <w:top w:val="single" w:color="000000" w:sz="12" w:space="0"/>
                    <w:tl2br w:val="nil"/>
                    <w:tr2bl w:val="nil"/>
                  </w:tcBorders>
                  <w:shd w:val="clear" w:color="auto" w:fill="auto"/>
                  <w:noWrap/>
                  <w:vAlign w:val="center"/>
                </w:tcPr>
                <w:p w14:paraId="5FD06625">
                  <w:pPr>
                    <w:pStyle w:val="37"/>
                    <w:bidi w:val="0"/>
                    <w:rPr>
                      <w:rFonts w:hint="eastAsia"/>
                      <w:color w:val="auto"/>
                      <w:highlight w:val="none"/>
                    </w:rPr>
                  </w:pPr>
                  <w:r>
                    <w:rPr>
                      <w:rFonts w:hint="eastAsia"/>
                      <w:color w:val="auto"/>
                      <w:lang w:val="en-US" w:eastAsia="zh-CN"/>
                    </w:rPr>
                    <w:t>东站界</w:t>
                  </w:r>
                </w:p>
              </w:tc>
              <w:tc>
                <w:tcPr>
                  <w:tcW w:w="654" w:type="dxa"/>
                  <w:tcBorders>
                    <w:top w:val="single" w:color="000000" w:sz="12" w:space="0"/>
                    <w:tl2br w:val="nil"/>
                    <w:tr2bl w:val="nil"/>
                  </w:tcBorders>
                  <w:shd w:val="clear" w:color="auto" w:fill="auto"/>
                  <w:noWrap/>
                  <w:vAlign w:val="center"/>
                </w:tcPr>
                <w:p w14:paraId="0D8C74A6">
                  <w:pPr>
                    <w:pStyle w:val="37"/>
                    <w:bidi w:val="0"/>
                    <w:rPr>
                      <w:rFonts w:hint="eastAsia"/>
                      <w:color w:val="auto"/>
                      <w:highlight w:val="none"/>
                    </w:rPr>
                  </w:pPr>
                  <w:r>
                    <w:rPr>
                      <w:rFonts w:hint="eastAsia"/>
                      <w:color w:val="auto"/>
                      <w:lang w:val="en-US" w:eastAsia="zh-CN"/>
                    </w:rPr>
                    <w:t>55.3</w:t>
                  </w:r>
                </w:p>
              </w:tc>
              <w:tc>
                <w:tcPr>
                  <w:tcW w:w="689" w:type="dxa"/>
                  <w:tcBorders>
                    <w:top w:val="single" w:color="000000" w:sz="12" w:space="0"/>
                    <w:tl2br w:val="nil"/>
                    <w:tr2bl w:val="nil"/>
                  </w:tcBorders>
                  <w:shd w:val="clear" w:color="auto" w:fill="auto"/>
                  <w:noWrap/>
                  <w:vAlign w:val="center"/>
                </w:tcPr>
                <w:p w14:paraId="6931AD31">
                  <w:pPr>
                    <w:pStyle w:val="37"/>
                    <w:bidi w:val="0"/>
                    <w:rPr>
                      <w:rFonts w:hint="eastAsia"/>
                      <w:color w:val="auto"/>
                      <w:highlight w:val="none"/>
                    </w:rPr>
                  </w:pPr>
                  <w:r>
                    <w:rPr>
                      <w:rFonts w:hint="eastAsia"/>
                      <w:color w:val="auto"/>
                      <w:lang w:val="en-US" w:eastAsia="zh-CN"/>
                    </w:rPr>
                    <w:t>42.3</w:t>
                  </w:r>
                </w:p>
              </w:tc>
              <w:tc>
                <w:tcPr>
                  <w:tcW w:w="1066" w:type="dxa"/>
                  <w:tcBorders>
                    <w:top w:val="single" w:color="000000" w:sz="12" w:space="0"/>
                    <w:tl2br w:val="nil"/>
                    <w:tr2bl w:val="nil"/>
                  </w:tcBorders>
                  <w:shd w:val="clear" w:color="auto" w:fill="auto"/>
                  <w:noWrap/>
                  <w:vAlign w:val="center"/>
                </w:tcPr>
                <w:p w14:paraId="52296A92">
                  <w:pPr>
                    <w:pStyle w:val="37"/>
                    <w:bidi w:val="0"/>
                    <w:rPr>
                      <w:rFonts w:hint="eastAsia"/>
                      <w:color w:val="auto"/>
                      <w:highlight w:val="none"/>
                    </w:rPr>
                  </w:pPr>
                  <w:r>
                    <w:rPr>
                      <w:rFonts w:hint="eastAsia"/>
                      <w:color w:val="auto"/>
                      <w:lang w:val="en-US" w:eastAsia="zh-CN"/>
                    </w:rPr>
                    <w:t>1.2</w:t>
                  </w:r>
                </w:p>
              </w:tc>
              <w:tc>
                <w:tcPr>
                  <w:tcW w:w="849" w:type="dxa"/>
                  <w:tcBorders>
                    <w:top w:val="single" w:color="000000" w:sz="12" w:space="0"/>
                    <w:tl2br w:val="nil"/>
                    <w:tr2bl w:val="nil"/>
                  </w:tcBorders>
                  <w:shd w:val="clear" w:color="auto" w:fill="auto"/>
                  <w:noWrap/>
                  <w:vAlign w:val="center"/>
                </w:tcPr>
                <w:p w14:paraId="530A4A0F">
                  <w:pPr>
                    <w:pStyle w:val="37"/>
                    <w:bidi w:val="0"/>
                    <w:rPr>
                      <w:rFonts w:hint="eastAsia"/>
                      <w:color w:val="auto"/>
                    </w:rPr>
                  </w:pPr>
                  <w:r>
                    <w:rPr>
                      <w:rFonts w:hint="eastAsia"/>
                      <w:color w:val="auto"/>
                      <w:lang w:val="en-US" w:eastAsia="zh-CN"/>
                    </w:rPr>
                    <w:t>12.45</w:t>
                  </w:r>
                </w:p>
              </w:tc>
              <w:tc>
                <w:tcPr>
                  <w:tcW w:w="849" w:type="dxa"/>
                  <w:tcBorders>
                    <w:top w:val="single" w:color="000000" w:sz="12" w:space="0"/>
                    <w:tl2br w:val="nil"/>
                    <w:tr2bl w:val="nil"/>
                  </w:tcBorders>
                  <w:shd w:val="clear" w:color="auto" w:fill="auto"/>
                  <w:noWrap/>
                  <w:vAlign w:val="center"/>
                </w:tcPr>
                <w:p w14:paraId="1C2E8F7D">
                  <w:pPr>
                    <w:pStyle w:val="37"/>
                    <w:bidi w:val="0"/>
                    <w:rPr>
                      <w:rFonts w:hint="eastAsia"/>
                      <w:color w:val="auto"/>
                      <w:highlight w:val="none"/>
                    </w:rPr>
                  </w:pPr>
                  <w:r>
                    <w:rPr>
                      <w:rFonts w:hint="eastAsia"/>
                      <w:color w:val="auto"/>
                      <w:lang w:val="en-US" w:eastAsia="zh-CN"/>
                    </w:rPr>
                    <w:t>44</w:t>
                  </w:r>
                </w:p>
              </w:tc>
              <w:tc>
                <w:tcPr>
                  <w:tcW w:w="849" w:type="dxa"/>
                  <w:tcBorders>
                    <w:top w:val="single" w:color="000000" w:sz="12" w:space="0"/>
                    <w:tl2br w:val="nil"/>
                    <w:tr2bl w:val="nil"/>
                  </w:tcBorders>
                  <w:shd w:val="clear" w:color="auto" w:fill="auto"/>
                  <w:noWrap/>
                  <w:vAlign w:val="center"/>
                </w:tcPr>
                <w:p w14:paraId="37506C13">
                  <w:pPr>
                    <w:pStyle w:val="37"/>
                    <w:bidi w:val="0"/>
                    <w:rPr>
                      <w:rFonts w:hint="eastAsia"/>
                      <w:color w:val="auto"/>
                    </w:rPr>
                  </w:pPr>
                  <w:r>
                    <w:rPr>
                      <w:rFonts w:hint="default"/>
                      <w:color w:val="auto"/>
                      <w:lang w:val="en-US" w:eastAsia="zh-CN"/>
                    </w:rPr>
                    <w:t>44.00</w:t>
                  </w:r>
                </w:p>
              </w:tc>
              <w:tc>
                <w:tcPr>
                  <w:tcW w:w="849" w:type="dxa"/>
                  <w:tcBorders>
                    <w:top w:val="single" w:color="000000" w:sz="12" w:space="0"/>
                    <w:tl2br w:val="nil"/>
                    <w:tr2bl w:val="nil"/>
                  </w:tcBorders>
                  <w:shd w:val="clear" w:color="auto" w:fill="auto"/>
                  <w:noWrap/>
                  <w:vAlign w:val="center"/>
                </w:tcPr>
                <w:p w14:paraId="1A106739">
                  <w:pPr>
                    <w:pStyle w:val="37"/>
                    <w:bidi w:val="0"/>
                    <w:rPr>
                      <w:rFonts w:hint="eastAsia"/>
                      <w:color w:val="auto"/>
                      <w:highlight w:val="none"/>
                    </w:rPr>
                  </w:pPr>
                  <w:r>
                    <w:rPr>
                      <w:rFonts w:hint="eastAsia"/>
                      <w:color w:val="auto"/>
                      <w:lang w:val="en-US" w:eastAsia="zh-CN"/>
                    </w:rPr>
                    <w:t>12.45</w:t>
                  </w:r>
                </w:p>
              </w:tc>
              <w:tc>
                <w:tcPr>
                  <w:tcW w:w="849" w:type="dxa"/>
                  <w:tcBorders>
                    <w:top w:val="single" w:color="000000" w:sz="12" w:space="0"/>
                    <w:tl2br w:val="nil"/>
                    <w:tr2bl w:val="nil"/>
                  </w:tcBorders>
                  <w:shd w:val="clear" w:color="auto" w:fill="auto"/>
                  <w:noWrap/>
                  <w:vAlign w:val="center"/>
                </w:tcPr>
                <w:p w14:paraId="1253394B">
                  <w:pPr>
                    <w:pStyle w:val="37"/>
                    <w:bidi w:val="0"/>
                    <w:rPr>
                      <w:rFonts w:hint="eastAsia"/>
                      <w:color w:val="auto"/>
                      <w:highlight w:val="none"/>
                    </w:rPr>
                  </w:pPr>
                  <w:r>
                    <w:rPr>
                      <w:rFonts w:hint="eastAsia"/>
                      <w:color w:val="auto"/>
                      <w:lang w:val="en-US" w:eastAsia="zh-CN"/>
                    </w:rPr>
                    <w:t>39</w:t>
                  </w:r>
                </w:p>
              </w:tc>
              <w:tc>
                <w:tcPr>
                  <w:tcW w:w="849" w:type="dxa"/>
                  <w:tcBorders>
                    <w:top w:val="single" w:color="000000" w:sz="12" w:space="0"/>
                    <w:tl2br w:val="nil"/>
                    <w:tr2bl w:val="nil"/>
                  </w:tcBorders>
                  <w:shd w:val="clear" w:color="auto" w:fill="auto"/>
                  <w:noWrap/>
                  <w:vAlign w:val="center"/>
                </w:tcPr>
                <w:p w14:paraId="36F37CA5">
                  <w:pPr>
                    <w:pStyle w:val="37"/>
                    <w:bidi w:val="0"/>
                    <w:rPr>
                      <w:rFonts w:hint="eastAsia"/>
                      <w:color w:val="auto"/>
                    </w:rPr>
                  </w:pPr>
                  <w:r>
                    <w:rPr>
                      <w:rFonts w:hint="default"/>
                      <w:color w:val="auto"/>
                      <w:lang w:val="en-US" w:eastAsia="zh-CN"/>
                    </w:rPr>
                    <w:t>39.01</w:t>
                  </w:r>
                </w:p>
              </w:tc>
            </w:tr>
            <w:tr w14:paraId="2963670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46" w:type="dxa"/>
                  <w:tcBorders>
                    <w:tl2br w:val="nil"/>
                    <w:tr2bl w:val="nil"/>
                  </w:tcBorders>
                  <w:shd w:val="clear" w:color="auto" w:fill="auto"/>
                  <w:noWrap/>
                  <w:vAlign w:val="center"/>
                </w:tcPr>
                <w:p w14:paraId="08CE1762">
                  <w:pPr>
                    <w:pStyle w:val="37"/>
                    <w:bidi w:val="0"/>
                    <w:rPr>
                      <w:rFonts w:hint="eastAsia"/>
                      <w:color w:val="auto"/>
                      <w:highlight w:val="none"/>
                    </w:rPr>
                  </w:pPr>
                  <w:r>
                    <w:rPr>
                      <w:rFonts w:hint="eastAsia"/>
                      <w:color w:val="auto"/>
                      <w:lang w:val="en-US" w:eastAsia="zh-CN"/>
                    </w:rPr>
                    <w:t>北站界</w:t>
                  </w:r>
                </w:p>
              </w:tc>
              <w:tc>
                <w:tcPr>
                  <w:tcW w:w="654" w:type="dxa"/>
                  <w:tcBorders>
                    <w:tl2br w:val="nil"/>
                    <w:tr2bl w:val="nil"/>
                  </w:tcBorders>
                  <w:shd w:val="clear" w:color="auto" w:fill="auto"/>
                  <w:noWrap/>
                  <w:vAlign w:val="center"/>
                </w:tcPr>
                <w:p w14:paraId="6F2B85B5">
                  <w:pPr>
                    <w:pStyle w:val="37"/>
                    <w:bidi w:val="0"/>
                    <w:rPr>
                      <w:rFonts w:hint="eastAsia"/>
                      <w:color w:val="auto"/>
                      <w:highlight w:val="none"/>
                    </w:rPr>
                  </w:pPr>
                  <w:r>
                    <w:rPr>
                      <w:rFonts w:hint="eastAsia"/>
                      <w:color w:val="auto"/>
                      <w:lang w:val="en-US" w:eastAsia="zh-CN"/>
                    </w:rPr>
                    <w:t>63.6</w:t>
                  </w:r>
                </w:p>
              </w:tc>
              <w:tc>
                <w:tcPr>
                  <w:tcW w:w="689" w:type="dxa"/>
                  <w:tcBorders>
                    <w:tl2br w:val="nil"/>
                    <w:tr2bl w:val="nil"/>
                  </w:tcBorders>
                  <w:shd w:val="clear" w:color="auto" w:fill="auto"/>
                  <w:noWrap/>
                  <w:vAlign w:val="center"/>
                </w:tcPr>
                <w:p w14:paraId="426B9652">
                  <w:pPr>
                    <w:pStyle w:val="37"/>
                    <w:bidi w:val="0"/>
                    <w:rPr>
                      <w:rFonts w:hint="eastAsia"/>
                      <w:color w:val="auto"/>
                      <w:highlight w:val="none"/>
                    </w:rPr>
                  </w:pPr>
                  <w:r>
                    <w:rPr>
                      <w:rFonts w:hint="eastAsia"/>
                      <w:color w:val="auto"/>
                      <w:lang w:val="en-US" w:eastAsia="zh-CN"/>
                    </w:rPr>
                    <w:t>117.9</w:t>
                  </w:r>
                </w:p>
              </w:tc>
              <w:tc>
                <w:tcPr>
                  <w:tcW w:w="1066" w:type="dxa"/>
                  <w:tcBorders>
                    <w:tl2br w:val="nil"/>
                    <w:tr2bl w:val="nil"/>
                  </w:tcBorders>
                  <w:shd w:val="clear" w:color="auto" w:fill="auto"/>
                  <w:noWrap/>
                  <w:vAlign w:val="center"/>
                </w:tcPr>
                <w:p w14:paraId="2975367D">
                  <w:pPr>
                    <w:pStyle w:val="37"/>
                    <w:bidi w:val="0"/>
                    <w:rPr>
                      <w:rFonts w:hint="eastAsia"/>
                      <w:color w:val="auto"/>
                      <w:highlight w:val="none"/>
                    </w:rPr>
                  </w:pPr>
                  <w:r>
                    <w:rPr>
                      <w:rFonts w:hint="eastAsia"/>
                      <w:color w:val="auto"/>
                      <w:lang w:val="en-US" w:eastAsia="zh-CN"/>
                    </w:rPr>
                    <w:t>1.2</w:t>
                  </w:r>
                </w:p>
              </w:tc>
              <w:tc>
                <w:tcPr>
                  <w:tcW w:w="849" w:type="dxa"/>
                  <w:tcBorders>
                    <w:tl2br w:val="nil"/>
                    <w:tr2bl w:val="nil"/>
                  </w:tcBorders>
                  <w:shd w:val="clear" w:color="auto" w:fill="auto"/>
                  <w:noWrap/>
                  <w:vAlign w:val="center"/>
                </w:tcPr>
                <w:p w14:paraId="665DE188">
                  <w:pPr>
                    <w:pStyle w:val="37"/>
                    <w:bidi w:val="0"/>
                    <w:rPr>
                      <w:rFonts w:hint="eastAsia"/>
                      <w:color w:val="auto"/>
                    </w:rPr>
                  </w:pPr>
                  <w:r>
                    <w:rPr>
                      <w:rFonts w:hint="eastAsia"/>
                      <w:color w:val="auto"/>
                      <w:lang w:val="en-US" w:eastAsia="zh-CN"/>
                    </w:rPr>
                    <w:t>34.54</w:t>
                  </w:r>
                </w:p>
              </w:tc>
              <w:tc>
                <w:tcPr>
                  <w:tcW w:w="849" w:type="dxa"/>
                  <w:tcBorders>
                    <w:tl2br w:val="nil"/>
                    <w:tr2bl w:val="nil"/>
                  </w:tcBorders>
                  <w:shd w:val="clear" w:color="auto" w:fill="auto"/>
                  <w:noWrap/>
                  <w:vAlign w:val="center"/>
                </w:tcPr>
                <w:p w14:paraId="505CF43D">
                  <w:pPr>
                    <w:pStyle w:val="37"/>
                    <w:bidi w:val="0"/>
                    <w:rPr>
                      <w:rFonts w:hint="eastAsia"/>
                      <w:color w:val="auto"/>
                      <w:highlight w:val="none"/>
                    </w:rPr>
                  </w:pPr>
                  <w:r>
                    <w:rPr>
                      <w:rFonts w:hint="eastAsia"/>
                      <w:color w:val="auto"/>
                      <w:lang w:val="en-US" w:eastAsia="zh-CN"/>
                    </w:rPr>
                    <w:t>43</w:t>
                  </w:r>
                </w:p>
              </w:tc>
              <w:tc>
                <w:tcPr>
                  <w:tcW w:w="849" w:type="dxa"/>
                  <w:tcBorders>
                    <w:tl2br w:val="nil"/>
                    <w:tr2bl w:val="nil"/>
                  </w:tcBorders>
                  <w:shd w:val="clear" w:color="auto" w:fill="auto"/>
                  <w:noWrap/>
                  <w:vAlign w:val="center"/>
                </w:tcPr>
                <w:p w14:paraId="3A2214C3">
                  <w:pPr>
                    <w:pStyle w:val="37"/>
                    <w:bidi w:val="0"/>
                    <w:rPr>
                      <w:rFonts w:hint="eastAsia"/>
                      <w:color w:val="auto"/>
                    </w:rPr>
                  </w:pPr>
                  <w:r>
                    <w:rPr>
                      <w:rFonts w:hint="default"/>
                      <w:color w:val="auto"/>
                      <w:lang w:val="en-US" w:eastAsia="zh-CN"/>
                    </w:rPr>
                    <w:t>43.58</w:t>
                  </w:r>
                </w:p>
              </w:tc>
              <w:tc>
                <w:tcPr>
                  <w:tcW w:w="849" w:type="dxa"/>
                  <w:tcBorders>
                    <w:tl2br w:val="nil"/>
                    <w:tr2bl w:val="nil"/>
                  </w:tcBorders>
                  <w:shd w:val="clear" w:color="auto" w:fill="auto"/>
                  <w:noWrap/>
                  <w:vAlign w:val="center"/>
                </w:tcPr>
                <w:p w14:paraId="01216ED9">
                  <w:pPr>
                    <w:pStyle w:val="37"/>
                    <w:bidi w:val="0"/>
                    <w:rPr>
                      <w:rFonts w:hint="eastAsia"/>
                      <w:color w:val="auto"/>
                      <w:highlight w:val="none"/>
                    </w:rPr>
                  </w:pPr>
                  <w:r>
                    <w:rPr>
                      <w:rFonts w:hint="eastAsia"/>
                      <w:color w:val="auto"/>
                      <w:lang w:val="en-US" w:eastAsia="zh-CN"/>
                    </w:rPr>
                    <w:t>34.54</w:t>
                  </w:r>
                </w:p>
              </w:tc>
              <w:tc>
                <w:tcPr>
                  <w:tcW w:w="849" w:type="dxa"/>
                  <w:tcBorders>
                    <w:tl2br w:val="nil"/>
                    <w:tr2bl w:val="nil"/>
                  </w:tcBorders>
                  <w:shd w:val="clear" w:color="auto" w:fill="auto"/>
                  <w:noWrap/>
                  <w:vAlign w:val="center"/>
                </w:tcPr>
                <w:p w14:paraId="1F87D8C3">
                  <w:pPr>
                    <w:pStyle w:val="37"/>
                    <w:bidi w:val="0"/>
                    <w:rPr>
                      <w:rFonts w:hint="eastAsia"/>
                      <w:color w:val="auto"/>
                      <w:highlight w:val="none"/>
                    </w:rPr>
                  </w:pPr>
                  <w:r>
                    <w:rPr>
                      <w:rFonts w:hint="eastAsia"/>
                      <w:color w:val="auto"/>
                      <w:lang w:val="en-US" w:eastAsia="zh-CN"/>
                    </w:rPr>
                    <w:t>38</w:t>
                  </w:r>
                </w:p>
              </w:tc>
              <w:tc>
                <w:tcPr>
                  <w:tcW w:w="849" w:type="dxa"/>
                  <w:tcBorders>
                    <w:tl2br w:val="nil"/>
                    <w:tr2bl w:val="nil"/>
                  </w:tcBorders>
                  <w:shd w:val="clear" w:color="auto" w:fill="auto"/>
                  <w:noWrap/>
                  <w:vAlign w:val="center"/>
                </w:tcPr>
                <w:p w14:paraId="610957B3">
                  <w:pPr>
                    <w:pStyle w:val="37"/>
                    <w:bidi w:val="0"/>
                    <w:rPr>
                      <w:rFonts w:hint="eastAsia"/>
                      <w:color w:val="auto"/>
                    </w:rPr>
                  </w:pPr>
                  <w:r>
                    <w:rPr>
                      <w:rFonts w:hint="default"/>
                      <w:color w:val="auto"/>
                      <w:lang w:val="en-US" w:eastAsia="zh-CN"/>
                    </w:rPr>
                    <w:t>39.61</w:t>
                  </w:r>
                </w:p>
              </w:tc>
            </w:tr>
            <w:tr w14:paraId="2B181A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46" w:type="dxa"/>
                  <w:tcBorders>
                    <w:tl2br w:val="nil"/>
                    <w:tr2bl w:val="nil"/>
                  </w:tcBorders>
                  <w:shd w:val="clear" w:color="auto" w:fill="auto"/>
                  <w:noWrap/>
                  <w:vAlign w:val="center"/>
                </w:tcPr>
                <w:p w14:paraId="5A518FDA">
                  <w:pPr>
                    <w:pStyle w:val="37"/>
                    <w:bidi w:val="0"/>
                    <w:rPr>
                      <w:rFonts w:hint="eastAsia"/>
                      <w:color w:val="auto"/>
                      <w:highlight w:val="none"/>
                    </w:rPr>
                  </w:pPr>
                  <w:r>
                    <w:rPr>
                      <w:rFonts w:hint="eastAsia"/>
                      <w:color w:val="auto"/>
                      <w:lang w:val="en-US" w:eastAsia="zh-CN"/>
                    </w:rPr>
                    <w:t>南站界</w:t>
                  </w:r>
                </w:p>
              </w:tc>
              <w:tc>
                <w:tcPr>
                  <w:tcW w:w="654" w:type="dxa"/>
                  <w:tcBorders>
                    <w:tl2br w:val="nil"/>
                    <w:tr2bl w:val="nil"/>
                  </w:tcBorders>
                  <w:shd w:val="clear" w:color="auto" w:fill="auto"/>
                  <w:noWrap/>
                  <w:vAlign w:val="center"/>
                </w:tcPr>
                <w:p w14:paraId="7BD6E5A0">
                  <w:pPr>
                    <w:pStyle w:val="37"/>
                    <w:bidi w:val="0"/>
                    <w:rPr>
                      <w:rFonts w:hint="eastAsia"/>
                      <w:color w:val="auto"/>
                      <w:highlight w:val="none"/>
                    </w:rPr>
                  </w:pPr>
                  <w:r>
                    <w:rPr>
                      <w:rFonts w:hint="eastAsia"/>
                      <w:color w:val="auto"/>
                      <w:lang w:val="en-US" w:eastAsia="zh-CN"/>
                    </w:rPr>
                    <w:t>-31.4</w:t>
                  </w:r>
                </w:p>
              </w:tc>
              <w:tc>
                <w:tcPr>
                  <w:tcW w:w="689" w:type="dxa"/>
                  <w:tcBorders>
                    <w:tl2br w:val="nil"/>
                    <w:tr2bl w:val="nil"/>
                  </w:tcBorders>
                  <w:shd w:val="clear" w:color="auto" w:fill="auto"/>
                  <w:noWrap/>
                  <w:vAlign w:val="center"/>
                </w:tcPr>
                <w:p w14:paraId="557AF0F2">
                  <w:pPr>
                    <w:pStyle w:val="37"/>
                    <w:bidi w:val="0"/>
                    <w:rPr>
                      <w:rFonts w:hint="eastAsia"/>
                      <w:color w:val="auto"/>
                      <w:highlight w:val="none"/>
                    </w:rPr>
                  </w:pPr>
                  <w:r>
                    <w:rPr>
                      <w:rFonts w:hint="eastAsia"/>
                      <w:color w:val="auto"/>
                      <w:lang w:val="en-US" w:eastAsia="zh-CN"/>
                    </w:rPr>
                    <w:t>32.8</w:t>
                  </w:r>
                </w:p>
              </w:tc>
              <w:tc>
                <w:tcPr>
                  <w:tcW w:w="1066" w:type="dxa"/>
                  <w:tcBorders>
                    <w:tl2br w:val="nil"/>
                    <w:tr2bl w:val="nil"/>
                  </w:tcBorders>
                  <w:shd w:val="clear" w:color="auto" w:fill="auto"/>
                  <w:noWrap/>
                  <w:vAlign w:val="center"/>
                </w:tcPr>
                <w:p w14:paraId="7B928CF4">
                  <w:pPr>
                    <w:pStyle w:val="37"/>
                    <w:bidi w:val="0"/>
                    <w:rPr>
                      <w:rFonts w:hint="eastAsia"/>
                      <w:color w:val="auto"/>
                      <w:highlight w:val="none"/>
                    </w:rPr>
                  </w:pPr>
                  <w:r>
                    <w:rPr>
                      <w:rFonts w:hint="eastAsia"/>
                      <w:color w:val="auto"/>
                      <w:lang w:val="en-US" w:eastAsia="zh-CN"/>
                    </w:rPr>
                    <w:t>1.2</w:t>
                  </w:r>
                </w:p>
              </w:tc>
              <w:tc>
                <w:tcPr>
                  <w:tcW w:w="849" w:type="dxa"/>
                  <w:tcBorders>
                    <w:tl2br w:val="nil"/>
                    <w:tr2bl w:val="nil"/>
                  </w:tcBorders>
                  <w:shd w:val="clear" w:color="auto" w:fill="auto"/>
                  <w:noWrap/>
                  <w:vAlign w:val="center"/>
                </w:tcPr>
                <w:p w14:paraId="3D7D8B69">
                  <w:pPr>
                    <w:pStyle w:val="37"/>
                    <w:bidi w:val="0"/>
                    <w:rPr>
                      <w:rFonts w:hint="eastAsia"/>
                      <w:color w:val="auto"/>
                    </w:rPr>
                  </w:pPr>
                  <w:r>
                    <w:rPr>
                      <w:rFonts w:hint="eastAsia"/>
                      <w:color w:val="auto"/>
                      <w:lang w:val="en-US" w:eastAsia="zh-CN"/>
                    </w:rPr>
                    <w:t>21.63</w:t>
                  </w:r>
                </w:p>
              </w:tc>
              <w:tc>
                <w:tcPr>
                  <w:tcW w:w="849" w:type="dxa"/>
                  <w:tcBorders>
                    <w:tl2br w:val="nil"/>
                    <w:tr2bl w:val="nil"/>
                  </w:tcBorders>
                  <w:shd w:val="clear" w:color="auto" w:fill="auto"/>
                  <w:noWrap/>
                  <w:vAlign w:val="center"/>
                </w:tcPr>
                <w:p w14:paraId="333C5079">
                  <w:pPr>
                    <w:pStyle w:val="37"/>
                    <w:bidi w:val="0"/>
                    <w:rPr>
                      <w:rFonts w:hint="eastAsia"/>
                      <w:color w:val="auto"/>
                      <w:highlight w:val="none"/>
                    </w:rPr>
                  </w:pPr>
                  <w:r>
                    <w:rPr>
                      <w:rFonts w:hint="eastAsia"/>
                      <w:color w:val="auto"/>
                      <w:lang w:val="en-US" w:eastAsia="zh-CN"/>
                    </w:rPr>
                    <w:t>42</w:t>
                  </w:r>
                </w:p>
              </w:tc>
              <w:tc>
                <w:tcPr>
                  <w:tcW w:w="849" w:type="dxa"/>
                  <w:tcBorders>
                    <w:tl2br w:val="nil"/>
                    <w:tr2bl w:val="nil"/>
                  </w:tcBorders>
                  <w:shd w:val="clear" w:color="auto" w:fill="auto"/>
                  <w:noWrap/>
                  <w:vAlign w:val="center"/>
                </w:tcPr>
                <w:p w14:paraId="2D314166">
                  <w:pPr>
                    <w:pStyle w:val="37"/>
                    <w:bidi w:val="0"/>
                    <w:rPr>
                      <w:rFonts w:hint="eastAsia"/>
                      <w:color w:val="auto"/>
                    </w:rPr>
                  </w:pPr>
                  <w:r>
                    <w:rPr>
                      <w:rFonts w:hint="default"/>
                      <w:color w:val="auto"/>
                      <w:lang w:val="en-US" w:eastAsia="zh-CN"/>
                    </w:rPr>
                    <w:t>42.04</w:t>
                  </w:r>
                </w:p>
              </w:tc>
              <w:tc>
                <w:tcPr>
                  <w:tcW w:w="849" w:type="dxa"/>
                  <w:tcBorders>
                    <w:tl2br w:val="nil"/>
                    <w:tr2bl w:val="nil"/>
                  </w:tcBorders>
                  <w:shd w:val="clear" w:color="auto" w:fill="auto"/>
                  <w:noWrap/>
                  <w:vAlign w:val="center"/>
                </w:tcPr>
                <w:p w14:paraId="0827F8DA">
                  <w:pPr>
                    <w:pStyle w:val="37"/>
                    <w:bidi w:val="0"/>
                    <w:rPr>
                      <w:rFonts w:hint="eastAsia"/>
                      <w:color w:val="auto"/>
                      <w:highlight w:val="none"/>
                    </w:rPr>
                  </w:pPr>
                  <w:r>
                    <w:rPr>
                      <w:rFonts w:hint="eastAsia"/>
                      <w:color w:val="auto"/>
                      <w:lang w:val="en-US" w:eastAsia="zh-CN"/>
                    </w:rPr>
                    <w:t>21.63</w:t>
                  </w:r>
                </w:p>
              </w:tc>
              <w:tc>
                <w:tcPr>
                  <w:tcW w:w="849" w:type="dxa"/>
                  <w:tcBorders>
                    <w:tl2br w:val="nil"/>
                    <w:tr2bl w:val="nil"/>
                  </w:tcBorders>
                  <w:shd w:val="clear" w:color="auto" w:fill="auto"/>
                  <w:noWrap/>
                  <w:vAlign w:val="center"/>
                </w:tcPr>
                <w:p w14:paraId="442D78A1">
                  <w:pPr>
                    <w:pStyle w:val="37"/>
                    <w:bidi w:val="0"/>
                    <w:rPr>
                      <w:rFonts w:hint="eastAsia"/>
                      <w:color w:val="auto"/>
                      <w:highlight w:val="none"/>
                    </w:rPr>
                  </w:pPr>
                  <w:r>
                    <w:rPr>
                      <w:rFonts w:hint="eastAsia"/>
                      <w:color w:val="auto"/>
                      <w:lang w:val="en-US" w:eastAsia="zh-CN"/>
                    </w:rPr>
                    <w:t>40</w:t>
                  </w:r>
                </w:p>
              </w:tc>
              <w:tc>
                <w:tcPr>
                  <w:tcW w:w="849" w:type="dxa"/>
                  <w:tcBorders>
                    <w:tl2br w:val="nil"/>
                    <w:tr2bl w:val="nil"/>
                  </w:tcBorders>
                  <w:shd w:val="clear" w:color="auto" w:fill="auto"/>
                  <w:noWrap/>
                  <w:vAlign w:val="center"/>
                </w:tcPr>
                <w:p w14:paraId="399F62AE">
                  <w:pPr>
                    <w:pStyle w:val="37"/>
                    <w:bidi w:val="0"/>
                    <w:rPr>
                      <w:rFonts w:hint="eastAsia"/>
                      <w:color w:val="auto"/>
                    </w:rPr>
                  </w:pPr>
                  <w:r>
                    <w:rPr>
                      <w:rFonts w:hint="default"/>
                      <w:color w:val="auto"/>
                      <w:lang w:val="en-US" w:eastAsia="zh-CN"/>
                    </w:rPr>
                    <w:t>40.06</w:t>
                  </w:r>
                </w:p>
              </w:tc>
            </w:tr>
            <w:tr w14:paraId="4CF1CD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846" w:type="dxa"/>
                  <w:tcBorders>
                    <w:tl2br w:val="nil"/>
                    <w:tr2bl w:val="nil"/>
                  </w:tcBorders>
                  <w:shd w:val="clear" w:color="auto" w:fill="auto"/>
                  <w:noWrap/>
                  <w:vAlign w:val="center"/>
                </w:tcPr>
                <w:p w14:paraId="62824F24">
                  <w:pPr>
                    <w:pStyle w:val="37"/>
                    <w:bidi w:val="0"/>
                    <w:rPr>
                      <w:rFonts w:hint="eastAsia"/>
                      <w:color w:val="auto"/>
                      <w:highlight w:val="none"/>
                    </w:rPr>
                  </w:pPr>
                  <w:r>
                    <w:rPr>
                      <w:rFonts w:hint="eastAsia"/>
                      <w:color w:val="auto"/>
                      <w:lang w:val="en-US" w:eastAsia="zh-CN"/>
                    </w:rPr>
                    <w:t>西站界</w:t>
                  </w:r>
                </w:p>
              </w:tc>
              <w:tc>
                <w:tcPr>
                  <w:tcW w:w="654" w:type="dxa"/>
                  <w:tcBorders>
                    <w:tl2br w:val="nil"/>
                    <w:tr2bl w:val="nil"/>
                  </w:tcBorders>
                  <w:shd w:val="clear" w:color="auto" w:fill="auto"/>
                  <w:noWrap/>
                  <w:vAlign w:val="center"/>
                </w:tcPr>
                <w:p w14:paraId="0D2D743A">
                  <w:pPr>
                    <w:pStyle w:val="37"/>
                    <w:bidi w:val="0"/>
                    <w:rPr>
                      <w:rFonts w:hint="eastAsia"/>
                      <w:color w:val="auto"/>
                      <w:highlight w:val="none"/>
                    </w:rPr>
                  </w:pPr>
                  <w:r>
                    <w:rPr>
                      <w:rFonts w:hint="eastAsia"/>
                      <w:color w:val="auto"/>
                      <w:lang w:val="en-US" w:eastAsia="zh-CN"/>
                    </w:rPr>
                    <w:t>-10.2</w:t>
                  </w:r>
                </w:p>
              </w:tc>
              <w:tc>
                <w:tcPr>
                  <w:tcW w:w="689" w:type="dxa"/>
                  <w:tcBorders>
                    <w:tl2br w:val="nil"/>
                    <w:tr2bl w:val="nil"/>
                  </w:tcBorders>
                  <w:shd w:val="clear" w:color="auto" w:fill="auto"/>
                  <w:noWrap/>
                  <w:vAlign w:val="center"/>
                </w:tcPr>
                <w:p w14:paraId="5606FF0E">
                  <w:pPr>
                    <w:pStyle w:val="37"/>
                    <w:bidi w:val="0"/>
                    <w:rPr>
                      <w:rFonts w:hint="eastAsia"/>
                      <w:color w:val="auto"/>
                      <w:highlight w:val="none"/>
                    </w:rPr>
                  </w:pPr>
                  <w:r>
                    <w:rPr>
                      <w:rFonts w:hint="eastAsia"/>
                      <w:color w:val="auto"/>
                      <w:lang w:val="en-US" w:eastAsia="zh-CN"/>
                    </w:rPr>
                    <w:t>109.5</w:t>
                  </w:r>
                </w:p>
              </w:tc>
              <w:tc>
                <w:tcPr>
                  <w:tcW w:w="1066" w:type="dxa"/>
                  <w:tcBorders>
                    <w:tl2br w:val="nil"/>
                    <w:tr2bl w:val="nil"/>
                  </w:tcBorders>
                  <w:shd w:val="clear" w:color="auto" w:fill="auto"/>
                  <w:noWrap/>
                  <w:vAlign w:val="center"/>
                </w:tcPr>
                <w:p w14:paraId="587E2A09">
                  <w:pPr>
                    <w:pStyle w:val="37"/>
                    <w:bidi w:val="0"/>
                    <w:rPr>
                      <w:rFonts w:hint="eastAsia"/>
                      <w:color w:val="auto"/>
                      <w:highlight w:val="none"/>
                    </w:rPr>
                  </w:pPr>
                  <w:r>
                    <w:rPr>
                      <w:rFonts w:hint="eastAsia"/>
                      <w:color w:val="auto"/>
                      <w:lang w:val="en-US" w:eastAsia="zh-CN"/>
                    </w:rPr>
                    <w:t>1.2</w:t>
                  </w:r>
                </w:p>
              </w:tc>
              <w:tc>
                <w:tcPr>
                  <w:tcW w:w="849" w:type="dxa"/>
                  <w:tcBorders>
                    <w:tl2br w:val="nil"/>
                    <w:tr2bl w:val="nil"/>
                  </w:tcBorders>
                  <w:shd w:val="clear" w:color="auto" w:fill="auto"/>
                  <w:noWrap/>
                  <w:vAlign w:val="center"/>
                </w:tcPr>
                <w:p w14:paraId="5306FD80">
                  <w:pPr>
                    <w:pStyle w:val="37"/>
                    <w:bidi w:val="0"/>
                    <w:rPr>
                      <w:rFonts w:hint="eastAsia"/>
                      <w:color w:val="auto"/>
                    </w:rPr>
                  </w:pPr>
                  <w:r>
                    <w:rPr>
                      <w:rFonts w:hint="eastAsia"/>
                      <w:color w:val="auto"/>
                      <w:lang w:val="en-US" w:eastAsia="zh-CN"/>
                    </w:rPr>
                    <w:t>32.92</w:t>
                  </w:r>
                </w:p>
              </w:tc>
              <w:tc>
                <w:tcPr>
                  <w:tcW w:w="849" w:type="dxa"/>
                  <w:tcBorders>
                    <w:tl2br w:val="nil"/>
                    <w:tr2bl w:val="nil"/>
                  </w:tcBorders>
                  <w:shd w:val="clear" w:color="auto" w:fill="auto"/>
                  <w:noWrap/>
                  <w:vAlign w:val="center"/>
                </w:tcPr>
                <w:p w14:paraId="2536E311">
                  <w:pPr>
                    <w:pStyle w:val="37"/>
                    <w:bidi w:val="0"/>
                    <w:rPr>
                      <w:rFonts w:hint="eastAsia"/>
                      <w:color w:val="auto"/>
                      <w:highlight w:val="none"/>
                    </w:rPr>
                  </w:pPr>
                  <w:r>
                    <w:rPr>
                      <w:rFonts w:hint="eastAsia"/>
                      <w:color w:val="auto"/>
                      <w:lang w:val="en-US" w:eastAsia="zh-CN"/>
                    </w:rPr>
                    <w:t>42</w:t>
                  </w:r>
                </w:p>
              </w:tc>
              <w:tc>
                <w:tcPr>
                  <w:tcW w:w="849" w:type="dxa"/>
                  <w:tcBorders>
                    <w:tl2br w:val="nil"/>
                    <w:tr2bl w:val="nil"/>
                  </w:tcBorders>
                  <w:shd w:val="clear" w:color="auto" w:fill="auto"/>
                  <w:noWrap/>
                  <w:vAlign w:val="center"/>
                </w:tcPr>
                <w:p w14:paraId="2CD33675">
                  <w:pPr>
                    <w:pStyle w:val="37"/>
                    <w:bidi w:val="0"/>
                    <w:rPr>
                      <w:rFonts w:hint="eastAsia"/>
                      <w:color w:val="auto"/>
                    </w:rPr>
                  </w:pPr>
                  <w:r>
                    <w:rPr>
                      <w:rFonts w:hint="default"/>
                      <w:color w:val="auto"/>
                      <w:lang w:val="en-US" w:eastAsia="zh-CN"/>
                    </w:rPr>
                    <w:t>42.51</w:t>
                  </w:r>
                </w:p>
              </w:tc>
              <w:tc>
                <w:tcPr>
                  <w:tcW w:w="849" w:type="dxa"/>
                  <w:tcBorders>
                    <w:tl2br w:val="nil"/>
                    <w:tr2bl w:val="nil"/>
                  </w:tcBorders>
                  <w:shd w:val="clear" w:color="auto" w:fill="auto"/>
                  <w:noWrap/>
                  <w:vAlign w:val="center"/>
                </w:tcPr>
                <w:p w14:paraId="6F209523">
                  <w:pPr>
                    <w:pStyle w:val="37"/>
                    <w:bidi w:val="0"/>
                    <w:rPr>
                      <w:rFonts w:hint="eastAsia"/>
                      <w:color w:val="auto"/>
                      <w:highlight w:val="none"/>
                    </w:rPr>
                  </w:pPr>
                  <w:r>
                    <w:rPr>
                      <w:rFonts w:hint="eastAsia"/>
                      <w:color w:val="auto"/>
                      <w:lang w:val="en-US" w:eastAsia="zh-CN"/>
                    </w:rPr>
                    <w:t>32.92</w:t>
                  </w:r>
                </w:p>
              </w:tc>
              <w:tc>
                <w:tcPr>
                  <w:tcW w:w="849" w:type="dxa"/>
                  <w:tcBorders>
                    <w:tl2br w:val="nil"/>
                    <w:tr2bl w:val="nil"/>
                  </w:tcBorders>
                  <w:shd w:val="clear" w:color="auto" w:fill="auto"/>
                  <w:noWrap/>
                  <w:vAlign w:val="center"/>
                </w:tcPr>
                <w:p w14:paraId="7CD97743">
                  <w:pPr>
                    <w:pStyle w:val="37"/>
                    <w:bidi w:val="0"/>
                    <w:rPr>
                      <w:rFonts w:hint="eastAsia"/>
                      <w:color w:val="auto"/>
                      <w:highlight w:val="none"/>
                    </w:rPr>
                  </w:pPr>
                  <w:r>
                    <w:rPr>
                      <w:rFonts w:hint="eastAsia"/>
                      <w:color w:val="auto"/>
                      <w:lang w:val="en-US" w:eastAsia="zh-CN"/>
                    </w:rPr>
                    <w:t>38</w:t>
                  </w:r>
                </w:p>
              </w:tc>
              <w:tc>
                <w:tcPr>
                  <w:tcW w:w="849" w:type="dxa"/>
                  <w:tcBorders>
                    <w:tl2br w:val="nil"/>
                    <w:tr2bl w:val="nil"/>
                  </w:tcBorders>
                  <w:shd w:val="clear" w:color="auto" w:fill="auto"/>
                  <w:noWrap/>
                  <w:vAlign w:val="center"/>
                </w:tcPr>
                <w:p w14:paraId="4F177A15">
                  <w:pPr>
                    <w:pStyle w:val="37"/>
                    <w:bidi w:val="0"/>
                    <w:rPr>
                      <w:rFonts w:hint="eastAsia"/>
                      <w:color w:val="auto"/>
                    </w:rPr>
                  </w:pPr>
                  <w:r>
                    <w:rPr>
                      <w:rFonts w:hint="default"/>
                      <w:color w:val="auto"/>
                      <w:lang w:val="en-US" w:eastAsia="zh-CN"/>
                    </w:rPr>
                    <w:t>39.17</w:t>
                  </w:r>
                </w:p>
              </w:tc>
            </w:tr>
          </w:tbl>
          <w:p w14:paraId="7DB2E4B1">
            <w:pPr>
              <w:pStyle w:val="6"/>
              <w:bidi w:val="0"/>
              <w:rPr>
                <w:rFonts w:hint="default" w:eastAsia="宋体"/>
                <w:color w:val="auto"/>
                <w:highlight w:val="none"/>
                <w:lang w:val="en-US" w:eastAsia="zh-CN"/>
              </w:rPr>
            </w:pPr>
            <w:r>
              <w:rPr>
                <w:rFonts w:hint="eastAsia"/>
                <w:color w:val="auto"/>
                <w:highlight w:val="none"/>
                <w:lang w:val="en-US" w:eastAsia="zh-CN"/>
              </w:rPr>
              <w:t>在现有声源的基础上叠加新增声源后，厂界及敏感目标处的贡献噪声值均满足《工业企业厂界环境噪声排放标准》（GB12348-2008）1类声环境功能区限值要求，最大预测贡献值为北站界34.54dB(A)，低于标准限值55dB(A)；本次预测额外叠加现状厂界背景值，仍然达到《工业企业厂界环境噪声排放标准》（GB12348-2008）1类声环境功能区限值要求。</w:t>
            </w:r>
          </w:p>
          <w:p w14:paraId="0A52A76A">
            <w:pPr>
              <w:bidi w:val="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由上表预测结果可知，升压站建成投运后，升压站</w:t>
            </w:r>
            <w:r>
              <w:rPr>
                <w:rFonts w:hint="eastAsia" w:cs="Times New Roman"/>
                <w:color w:val="auto"/>
                <w:sz w:val="24"/>
                <w:highlight w:val="none"/>
                <w:lang w:val="en-US" w:eastAsia="zh-CN"/>
              </w:rPr>
              <w:t>站</w:t>
            </w:r>
            <w:r>
              <w:rPr>
                <w:rFonts w:hint="eastAsia" w:ascii="Times New Roman" w:hAnsi="Times New Roman" w:eastAsia="宋体" w:cs="Times New Roman"/>
                <w:color w:val="auto"/>
                <w:sz w:val="24"/>
                <w:highlight w:val="none"/>
              </w:rPr>
              <w:t>界</w:t>
            </w:r>
            <w:r>
              <w:rPr>
                <w:rFonts w:hint="eastAsia" w:cs="Times New Roman"/>
                <w:color w:val="auto"/>
                <w:sz w:val="24"/>
                <w:highlight w:val="none"/>
                <w:lang w:val="en-US" w:eastAsia="zh-CN"/>
              </w:rPr>
              <w:t>外噪声通过围墙衰减后，站界</w:t>
            </w:r>
            <w:r>
              <w:rPr>
                <w:rFonts w:hint="eastAsia" w:ascii="Times New Roman" w:hAnsi="Times New Roman" w:eastAsia="宋体" w:cs="Times New Roman"/>
                <w:color w:val="auto"/>
                <w:sz w:val="24"/>
                <w:highlight w:val="none"/>
              </w:rPr>
              <w:t>四周昼间、夜间噪声均能满足《工业企业厂界环境噪声排放标准》（GB12348-2008）中1类标准（昼间：55dB</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rPr>
              <w:t>A</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rPr>
              <w:t>，夜间：45dB</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rPr>
              <w:t>A</w:t>
            </w:r>
            <w:r>
              <w:rPr>
                <w:rFonts w:hint="eastAsia" w:ascii="Times New Roman" w:hAnsi="Times New Roman" w:eastAsia="宋体" w:cs="Times New Roman"/>
                <w:color w:val="auto"/>
                <w:sz w:val="24"/>
                <w:highlight w:val="none"/>
                <w:lang w:eastAsia="zh-CN"/>
              </w:rPr>
              <w:t>）</w:t>
            </w:r>
            <w:r>
              <w:rPr>
                <w:rFonts w:hint="eastAsia" w:ascii="Times New Roman" w:hAnsi="Times New Roman" w:eastAsia="宋体" w:cs="Times New Roman"/>
                <w:color w:val="auto"/>
                <w:sz w:val="24"/>
                <w:highlight w:val="none"/>
              </w:rPr>
              <w:t>）要求。升压站内设备噪声对周边声环境产生的影响较小。</w:t>
            </w:r>
          </w:p>
          <w:p w14:paraId="507B315D">
            <w:pPr>
              <w:pStyle w:val="27"/>
              <w:bidi w:val="0"/>
              <w:rPr>
                <w:rFonts w:hint="eastAsia" w:eastAsia="宋体"/>
                <w:color w:val="auto"/>
                <w:highlight w:val="yellow"/>
                <w:lang w:eastAsia="zh-CN"/>
              </w:rPr>
            </w:pPr>
            <w:r>
              <w:rPr>
                <w:rFonts w:hint="eastAsia" w:eastAsia="宋体"/>
                <w:color w:val="auto"/>
                <w:highlight w:val="yellow"/>
                <w:lang w:eastAsia="zh-CN"/>
              </w:rPr>
              <w:drawing>
                <wp:inline distT="0" distB="0" distL="114300" distR="114300">
                  <wp:extent cx="5186045" cy="4525010"/>
                  <wp:effectExtent l="0" t="0" r="14605" b="8890"/>
                  <wp:docPr id="39" name="图片 39" descr="a4cc9466649eb30e162608fde69948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a4cc9466649eb30e162608fde69948a5"/>
                          <pic:cNvPicPr>
                            <a:picLocks noChangeAspect="1"/>
                          </pic:cNvPicPr>
                        </pic:nvPicPr>
                        <pic:blipFill>
                          <a:blip r:embed="rId43"/>
                          <a:stretch>
                            <a:fillRect/>
                          </a:stretch>
                        </pic:blipFill>
                        <pic:spPr>
                          <a:xfrm>
                            <a:off x="0" y="0"/>
                            <a:ext cx="5186045" cy="4525010"/>
                          </a:xfrm>
                          <a:prstGeom prst="rect">
                            <a:avLst/>
                          </a:prstGeom>
                        </pic:spPr>
                      </pic:pic>
                    </a:graphicData>
                  </a:graphic>
                </wp:inline>
              </w:drawing>
            </w:r>
          </w:p>
          <w:p w14:paraId="6B1768AA">
            <w:pPr>
              <w:pStyle w:val="27"/>
              <w:bidi w:val="0"/>
              <w:rPr>
                <w:rFonts w:hint="eastAsia"/>
                <w:color w:val="auto"/>
                <w:highlight w:val="none"/>
              </w:rPr>
            </w:pPr>
            <w:r>
              <w:rPr>
                <w:rFonts w:hint="eastAsia"/>
                <w:color w:val="auto"/>
                <w:highlight w:val="none"/>
                <w:lang w:val="en-US" w:eastAsia="zh-CN"/>
              </w:rPr>
              <w:t>图4-6  升压站噪声等声值线图(1#主变、2#主变叠加贡献值)  单位：</w:t>
            </w:r>
            <w:r>
              <w:rPr>
                <w:rFonts w:hint="default"/>
                <w:color w:val="auto"/>
                <w:highlight w:val="none"/>
                <w:lang w:val="en-US" w:eastAsia="zh-CN"/>
              </w:rPr>
              <w:t>dB</w:t>
            </w:r>
            <w:r>
              <w:rPr>
                <w:rFonts w:hint="eastAsia"/>
                <w:color w:val="auto"/>
                <w:highlight w:val="none"/>
                <w:lang w:val="en-US" w:eastAsia="zh-CN"/>
              </w:rPr>
              <w:t>（</w:t>
            </w:r>
            <w:r>
              <w:rPr>
                <w:rFonts w:hint="default"/>
                <w:color w:val="auto"/>
                <w:highlight w:val="none"/>
                <w:lang w:val="en-US" w:eastAsia="zh-CN"/>
              </w:rPr>
              <w:t>A</w:t>
            </w:r>
            <w:r>
              <w:rPr>
                <w:rFonts w:hint="eastAsia"/>
                <w:color w:val="auto"/>
                <w:highlight w:val="none"/>
                <w:lang w:val="en-US" w:eastAsia="zh-CN"/>
              </w:rPr>
              <w:t>）</w:t>
            </w:r>
          </w:p>
          <w:p w14:paraId="506CF156">
            <w:pPr>
              <w:bidi w:val="0"/>
              <w:ind w:left="0" w:leftChars="0" w:firstLine="0" w:firstLineChars="0"/>
              <w:rPr>
                <w:rFonts w:hint="eastAsia"/>
                <w:b/>
                <w:bCs/>
                <w:color w:val="auto"/>
                <w:highlight w:val="none"/>
              </w:rPr>
            </w:pPr>
            <w:r>
              <w:rPr>
                <w:rFonts w:hint="eastAsia"/>
                <w:b/>
                <w:bCs/>
                <w:color w:val="auto"/>
                <w:highlight w:val="none"/>
                <w:lang w:val="en-US" w:eastAsia="zh-CN"/>
              </w:rPr>
              <w:t>6.</w:t>
            </w:r>
            <w:r>
              <w:rPr>
                <w:rFonts w:hint="eastAsia"/>
                <w:b/>
                <w:bCs/>
                <w:color w:val="auto"/>
                <w:highlight w:val="none"/>
              </w:rPr>
              <w:t>固体废弃物影响分析</w:t>
            </w:r>
          </w:p>
          <w:p w14:paraId="42F339A1">
            <w:pPr>
              <w:keepNext w:val="0"/>
              <w:keepLines w:val="0"/>
              <w:pageBreakBefore w:val="0"/>
              <w:kinsoku/>
              <w:wordWrap/>
              <w:overflowPunct/>
              <w:topLinePunct w:val="0"/>
              <w:bidi w:val="0"/>
              <w:adjustRightInd w:val="0"/>
              <w:spacing w:line="360" w:lineRule="auto"/>
              <w:ind w:firstLine="360" w:firstLineChars="150"/>
              <w:rPr>
                <w:rFonts w:hint="eastAsia" w:ascii="Times New Roman" w:hAnsi="Times New Roman" w:eastAsia="宋体"/>
                <w:b w:val="0"/>
                <w:bCs/>
                <w:color w:val="auto"/>
                <w:spacing w:val="0"/>
                <w:sz w:val="24"/>
                <w:highlight w:val="none"/>
              </w:rPr>
            </w:pPr>
            <w:r>
              <w:rPr>
                <w:rFonts w:hint="eastAsia" w:ascii="Times New Roman" w:hAnsi="Times New Roman" w:eastAsia="宋体"/>
                <w:b w:val="0"/>
                <w:bCs/>
                <w:color w:val="auto"/>
                <w:spacing w:val="0"/>
                <w:sz w:val="24"/>
                <w:highlight w:val="none"/>
              </w:rPr>
              <w:t>本项目固体废物主要为检修废油、变压器油、废旧蓄电池、退役后的风机叶片</w:t>
            </w:r>
            <w:r>
              <w:rPr>
                <w:rFonts w:hint="eastAsia" w:ascii="Times New Roman" w:hAnsi="Times New Roman" w:eastAsia="宋体"/>
                <w:b w:val="0"/>
                <w:bCs/>
                <w:color w:val="auto"/>
                <w:spacing w:val="0"/>
                <w:sz w:val="24"/>
                <w:highlight w:val="none"/>
                <w:lang w:val="en-US" w:eastAsia="zh-CN"/>
              </w:rPr>
              <w:t>等</w:t>
            </w:r>
            <w:r>
              <w:rPr>
                <w:rFonts w:hint="eastAsia" w:ascii="Times New Roman" w:hAnsi="Times New Roman" w:eastAsia="宋体"/>
                <w:b w:val="0"/>
                <w:bCs/>
                <w:color w:val="auto"/>
                <w:spacing w:val="0"/>
                <w:sz w:val="24"/>
                <w:highlight w:val="none"/>
              </w:rPr>
              <w:t>。</w:t>
            </w:r>
          </w:p>
          <w:p w14:paraId="2A047288">
            <w:pPr>
              <w:keepNext w:val="0"/>
              <w:keepLines w:val="0"/>
              <w:pageBreakBefore w:val="0"/>
              <w:kinsoku/>
              <w:wordWrap/>
              <w:overflowPunct/>
              <w:topLinePunct w:val="0"/>
              <w:bidi w:val="0"/>
              <w:adjustRightInd w:val="0"/>
              <w:spacing w:line="360" w:lineRule="auto"/>
              <w:ind w:firstLine="360" w:firstLineChars="150"/>
              <w:rPr>
                <w:rFonts w:hint="eastAsia" w:ascii="Times New Roman" w:hAnsi="Times New Roman" w:eastAsia="宋体"/>
                <w:b w:val="0"/>
                <w:bCs/>
                <w:color w:val="auto"/>
                <w:spacing w:val="0"/>
                <w:sz w:val="24"/>
                <w:highlight w:val="none"/>
              </w:rPr>
            </w:pPr>
            <w:r>
              <w:rPr>
                <w:rFonts w:hint="eastAsia" w:ascii="Times New Roman" w:hAnsi="Times New Roman" w:eastAsia="宋体"/>
                <w:b w:val="0"/>
                <w:bCs/>
                <w:color w:val="auto"/>
                <w:spacing w:val="0"/>
                <w:sz w:val="24"/>
                <w:highlight w:val="none"/>
                <w:lang w:eastAsia="zh-CN"/>
              </w:rPr>
              <w:t>（</w:t>
            </w:r>
            <w:r>
              <w:rPr>
                <w:rFonts w:hint="eastAsia" w:ascii="Times New Roman" w:hAnsi="Times New Roman" w:eastAsia="宋体"/>
                <w:b w:val="0"/>
                <w:bCs/>
                <w:color w:val="auto"/>
                <w:spacing w:val="0"/>
                <w:sz w:val="24"/>
                <w:highlight w:val="none"/>
                <w:lang w:val="en-US" w:eastAsia="zh-CN"/>
              </w:rPr>
              <w:t>1</w:t>
            </w:r>
            <w:r>
              <w:rPr>
                <w:rFonts w:hint="eastAsia" w:ascii="Times New Roman" w:hAnsi="Times New Roman" w:eastAsia="宋体"/>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检修废油</w:t>
            </w:r>
          </w:p>
          <w:p w14:paraId="142B604C">
            <w:pPr>
              <w:keepNext w:val="0"/>
              <w:keepLines w:val="0"/>
              <w:pageBreakBefore w:val="0"/>
              <w:kinsoku/>
              <w:wordWrap/>
              <w:overflowPunct/>
              <w:topLinePunct w:val="0"/>
              <w:bidi w:val="0"/>
              <w:adjustRightInd w:val="0"/>
              <w:spacing w:line="360" w:lineRule="auto"/>
              <w:ind w:firstLine="360" w:firstLineChars="150"/>
              <w:rPr>
                <w:rFonts w:ascii="Times New Roman" w:hAnsi="Times New Roman" w:eastAsia="宋体"/>
                <w:b w:val="0"/>
                <w:bCs/>
                <w:color w:val="auto"/>
                <w:spacing w:val="0"/>
                <w:sz w:val="24"/>
                <w:highlight w:val="none"/>
              </w:rPr>
            </w:pPr>
            <w:r>
              <w:rPr>
                <w:rFonts w:hint="eastAsia" w:ascii="Times New Roman" w:hAnsi="Times New Roman" w:eastAsia="宋体"/>
                <w:b w:val="0"/>
                <w:bCs/>
                <w:color w:val="auto"/>
                <w:spacing w:val="0"/>
                <w:sz w:val="24"/>
                <w:highlight w:val="none"/>
              </w:rPr>
              <w:t>风电场检修的废油，包括发电机前、后轴承润滑油脂、变桨减速器润滑油、偏航轴承、齿面、变桨轴承润滑油、箱变液压油和主变液压油</w:t>
            </w:r>
            <w:r>
              <w:rPr>
                <w:rFonts w:hint="eastAsia"/>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主要成分矿物油和锂皂基、锂-钙复合基为主的危险废弃物</w:t>
            </w:r>
            <w:r>
              <w:rPr>
                <w:rFonts w:hint="eastAsia"/>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根据《国家危险废物名录》2021版，废物类别为HW08-900-249-08</w:t>
            </w:r>
            <w:r>
              <w:rPr>
                <w:rFonts w:hint="eastAsia"/>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其他生产、销售、使用过程中产生的废矿物油及含矿物油废物</w:t>
            </w:r>
            <w:r>
              <w:rPr>
                <w:rFonts w:hint="eastAsia"/>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检修产生的废油量约0.25t/a。检修废油收集后运至</w:t>
            </w:r>
            <w:r>
              <w:rPr>
                <w:rFonts w:hint="eastAsia"/>
                <w:b w:val="0"/>
                <w:bCs/>
                <w:color w:val="auto"/>
                <w:spacing w:val="0"/>
                <w:sz w:val="24"/>
                <w:highlight w:val="none"/>
                <w:lang w:val="en-US" w:eastAsia="zh-CN"/>
              </w:rPr>
              <w:t>依托的</w:t>
            </w:r>
            <w:r>
              <w:rPr>
                <w:rFonts w:hint="eastAsia" w:ascii="Times New Roman" w:hAnsi="Times New Roman" w:eastAsia="宋体"/>
                <w:b w:val="0"/>
                <w:bCs/>
                <w:color w:val="auto"/>
                <w:spacing w:val="0"/>
                <w:sz w:val="24"/>
                <w:highlight w:val="none"/>
              </w:rPr>
              <w:t>升压站危废贮存</w:t>
            </w:r>
            <w:r>
              <w:rPr>
                <w:rFonts w:hint="eastAsia"/>
                <w:b w:val="0"/>
                <w:bCs/>
                <w:color w:val="auto"/>
                <w:spacing w:val="0"/>
                <w:sz w:val="24"/>
                <w:highlight w:val="none"/>
                <w:lang w:val="en-US" w:eastAsia="zh-CN"/>
              </w:rPr>
              <w:t>库</w:t>
            </w:r>
            <w:r>
              <w:rPr>
                <w:rFonts w:hint="eastAsia" w:ascii="Times New Roman" w:hAnsi="Times New Roman" w:eastAsia="宋体"/>
                <w:b w:val="0"/>
                <w:bCs/>
                <w:color w:val="auto"/>
                <w:spacing w:val="0"/>
                <w:sz w:val="24"/>
                <w:highlight w:val="none"/>
              </w:rPr>
              <w:t>，由专业资质单位统一处置。</w:t>
            </w:r>
          </w:p>
          <w:p w14:paraId="39E2F4D4">
            <w:pPr>
              <w:keepNext w:val="0"/>
              <w:keepLines w:val="0"/>
              <w:pageBreakBefore w:val="0"/>
              <w:kinsoku/>
              <w:wordWrap/>
              <w:overflowPunct/>
              <w:topLinePunct w:val="0"/>
              <w:bidi w:val="0"/>
              <w:adjustRightInd w:val="0"/>
              <w:spacing w:line="360" w:lineRule="auto"/>
              <w:ind w:firstLine="360" w:firstLineChars="150"/>
              <w:rPr>
                <w:rFonts w:hint="default" w:ascii="Times New Roman" w:hAnsi="Times New Roman" w:eastAsia="宋体"/>
                <w:b w:val="0"/>
                <w:bCs/>
                <w:color w:val="auto"/>
                <w:spacing w:val="0"/>
                <w:sz w:val="24"/>
                <w:highlight w:val="none"/>
                <w:lang w:val="en-US" w:eastAsia="zh-CN"/>
              </w:rPr>
            </w:pPr>
            <w:r>
              <w:rPr>
                <w:rFonts w:hint="eastAsia" w:ascii="Times New Roman" w:hAnsi="Times New Roman" w:eastAsia="宋体"/>
                <w:b w:val="0"/>
                <w:bCs/>
                <w:color w:val="auto"/>
                <w:spacing w:val="0"/>
                <w:sz w:val="24"/>
                <w:highlight w:val="none"/>
                <w:lang w:eastAsia="zh-CN"/>
              </w:rPr>
              <w:t>（</w:t>
            </w:r>
            <w:r>
              <w:rPr>
                <w:rFonts w:hint="eastAsia" w:ascii="Times New Roman" w:hAnsi="Times New Roman" w:eastAsia="宋体"/>
                <w:b w:val="0"/>
                <w:bCs/>
                <w:color w:val="auto"/>
                <w:spacing w:val="0"/>
                <w:sz w:val="24"/>
                <w:highlight w:val="none"/>
                <w:lang w:val="en-US" w:eastAsia="zh-CN"/>
              </w:rPr>
              <w:t>2</w:t>
            </w:r>
            <w:r>
              <w:rPr>
                <w:rFonts w:hint="eastAsia" w:ascii="Times New Roman" w:hAnsi="Times New Roman" w:eastAsia="宋体"/>
                <w:b w:val="0"/>
                <w:bCs/>
                <w:color w:val="auto"/>
                <w:spacing w:val="0"/>
                <w:sz w:val="24"/>
                <w:highlight w:val="none"/>
                <w:lang w:eastAsia="zh-CN"/>
              </w:rPr>
              <w:t>）</w:t>
            </w:r>
            <w:r>
              <w:rPr>
                <w:rFonts w:hint="eastAsia" w:ascii="Times New Roman" w:hAnsi="Times New Roman" w:eastAsia="宋体"/>
                <w:b w:val="0"/>
                <w:bCs/>
                <w:color w:val="auto"/>
                <w:spacing w:val="0"/>
                <w:sz w:val="24"/>
                <w:highlight w:val="none"/>
                <w:lang w:val="en-US" w:eastAsia="zh-CN"/>
              </w:rPr>
              <w:t>变压器油</w:t>
            </w:r>
          </w:p>
          <w:p w14:paraId="055B054A">
            <w:pPr>
              <w:keepNext w:val="0"/>
              <w:keepLines w:val="0"/>
              <w:pageBreakBefore w:val="0"/>
              <w:kinsoku/>
              <w:wordWrap/>
              <w:overflowPunct/>
              <w:topLinePunct w:val="0"/>
              <w:bidi w:val="0"/>
              <w:adjustRightInd w:val="0"/>
              <w:spacing w:line="360" w:lineRule="auto"/>
              <w:ind w:firstLine="360" w:firstLineChars="150"/>
              <w:rPr>
                <w:rFonts w:hint="eastAsia" w:ascii="Times New Roman" w:hAnsi="Times New Roman" w:eastAsia="宋体"/>
                <w:b w:val="0"/>
                <w:bCs/>
                <w:color w:val="auto"/>
                <w:spacing w:val="0"/>
                <w:sz w:val="24"/>
                <w:highlight w:val="none"/>
              </w:rPr>
            </w:pPr>
            <w:r>
              <w:rPr>
                <w:rFonts w:hint="eastAsia" w:ascii="Times New Roman" w:hAnsi="Times New Roman" w:eastAsia="宋体"/>
                <w:b w:val="0"/>
                <w:bCs/>
                <w:color w:val="auto"/>
                <w:spacing w:val="0"/>
                <w:sz w:val="24"/>
                <w:highlight w:val="none"/>
              </w:rPr>
              <w:t>本项目于升压站</w:t>
            </w:r>
            <w:r>
              <w:rPr>
                <w:rFonts w:hint="eastAsia" w:ascii="Times New Roman" w:hAnsi="Times New Roman" w:eastAsia="宋体"/>
                <w:b w:val="0"/>
                <w:bCs/>
                <w:color w:val="auto"/>
                <w:spacing w:val="0"/>
                <w:sz w:val="24"/>
                <w:highlight w:val="none"/>
                <w:lang w:val="en-US" w:eastAsia="zh-CN"/>
              </w:rPr>
              <w:t>扩建1座30</w:t>
            </w:r>
            <w:r>
              <w:rPr>
                <w:rFonts w:hint="eastAsia" w:ascii="Times New Roman" w:hAnsi="Times New Roman" w:eastAsia="宋体"/>
                <w:b w:val="0"/>
                <w:bCs/>
                <w:color w:val="auto"/>
                <w:spacing w:val="0"/>
                <w:sz w:val="24"/>
                <w:highlight w:val="none"/>
              </w:rPr>
              <w:t>MW的主变，根据建设单位提供资料可知，</w:t>
            </w:r>
            <w:r>
              <w:rPr>
                <w:rFonts w:hint="eastAsia" w:ascii="Times New Roman" w:hAnsi="Times New Roman" w:eastAsia="宋体"/>
                <w:b w:val="0"/>
                <w:bCs/>
                <w:color w:val="auto"/>
                <w:spacing w:val="0"/>
                <w:sz w:val="24"/>
                <w:highlight w:val="none"/>
                <w:lang w:val="en-US" w:eastAsia="zh-CN"/>
              </w:rPr>
              <w:t>30</w:t>
            </w:r>
            <w:r>
              <w:rPr>
                <w:rFonts w:hint="eastAsia" w:ascii="Times New Roman" w:hAnsi="Times New Roman" w:eastAsia="宋体"/>
                <w:b w:val="0"/>
                <w:bCs/>
                <w:color w:val="auto"/>
                <w:spacing w:val="0"/>
                <w:sz w:val="24"/>
                <w:highlight w:val="none"/>
              </w:rPr>
              <w:t>MW变压器油重约</w:t>
            </w:r>
            <w:r>
              <w:rPr>
                <w:rFonts w:hint="eastAsia"/>
                <w:b w:val="0"/>
                <w:bCs/>
                <w:color w:val="auto"/>
                <w:spacing w:val="0"/>
                <w:sz w:val="24"/>
                <w:highlight w:val="none"/>
                <w:lang w:val="en-US" w:eastAsia="zh-CN"/>
              </w:rPr>
              <w:t>23</w:t>
            </w:r>
            <w:r>
              <w:rPr>
                <w:rFonts w:hint="eastAsia" w:ascii="Times New Roman" w:hAnsi="Times New Roman" w:eastAsia="宋体"/>
                <w:b w:val="0"/>
                <w:bCs/>
                <w:color w:val="auto"/>
                <w:spacing w:val="0"/>
                <w:sz w:val="24"/>
                <w:highlight w:val="none"/>
              </w:rPr>
              <w:t>t。风电场采用一机一变（</w:t>
            </w:r>
            <w:r>
              <w:rPr>
                <w:rFonts w:hint="eastAsia"/>
                <w:b w:val="0"/>
                <w:bCs/>
                <w:color w:val="auto"/>
                <w:spacing w:val="0"/>
                <w:sz w:val="24"/>
                <w:highlight w:val="none"/>
                <w:lang w:eastAsia="zh-CN"/>
              </w:rPr>
              <w:t>箱式变压器</w:t>
            </w:r>
            <w:r>
              <w:rPr>
                <w:rFonts w:hint="eastAsia" w:ascii="Times New Roman" w:hAnsi="Times New Roman" w:eastAsia="宋体"/>
                <w:b w:val="0"/>
                <w:bCs/>
                <w:color w:val="auto"/>
                <w:spacing w:val="0"/>
                <w:sz w:val="24"/>
                <w:highlight w:val="none"/>
              </w:rPr>
              <w:t>）</w:t>
            </w:r>
            <w:r>
              <w:rPr>
                <w:rFonts w:hint="eastAsia" w:ascii="Times New Roman" w:hAnsi="Times New Roman" w:eastAsia="宋体"/>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根据建设单位提供资料可知，</w:t>
            </w:r>
            <w:r>
              <w:rPr>
                <w:rFonts w:hint="eastAsia" w:ascii="Times New Roman" w:hAnsi="Times New Roman" w:eastAsia="宋体"/>
                <w:b w:val="0"/>
                <w:bCs/>
                <w:color w:val="auto"/>
                <w:spacing w:val="0"/>
                <w:sz w:val="24"/>
                <w:highlight w:val="none"/>
                <w:lang w:val="en-US" w:eastAsia="zh-CN"/>
              </w:rPr>
              <w:t>每台</w:t>
            </w:r>
            <w:r>
              <w:rPr>
                <w:rFonts w:hint="eastAsia"/>
                <w:b w:val="0"/>
                <w:bCs/>
                <w:color w:val="auto"/>
                <w:spacing w:val="0"/>
                <w:sz w:val="24"/>
                <w:highlight w:val="none"/>
                <w:lang w:val="en-US" w:eastAsia="zh-CN"/>
              </w:rPr>
              <w:t>箱式变压器</w:t>
            </w:r>
            <w:r>
              <w:rPr>
                <w:rFonts w:hint="eastAsia" w:ascii="Times New Roman" w:hAnsi="Times New Roman" w:eastAsia="宋体"/>
                <w:b w:val="0"/>
                <w:bCs/>
                <w:color w:val="auto"/>
                <w:spacing w:val="0"/>
                <w:sz w:val="24"/>
                <w:highlight w:val="none"/>
              </w:rPr>
              <w:t>油重约</w:t>
            </w:r>
            <w:r>
              <w:rPr>
                <w:rFonts w:hint="eastAsia"/>
                <w:b w:val="0"/>
                <w:bCs/>
                <w:color w:val="auto"/>
                <w:spacing w:val="0"/>
                <w:sz w:val="24"/>
                <w:highlight w:val="none"/>
                <w:lang w:val="en-US" w:eastAsia="zh-CN"/>
              </w:rPr>
              <w:t>23</w:t>
            </w:r>
            <w:r>
              <w:rPr>
                <w:rFonts w:hint="eastAsia" w:ascii="Times New Roman" w:hAnsi="Times New Roman" w:eastAsia="宋体"/>
                <w:b w:val="0"/>
                <w:bCs/>
                <w:color w:val="auto"/>
                <w:spacing w:val="0"/>
                <w:sz w:val="24"/>
                <w:highlight w:val="none"/>
              </w:rPr>
              <w:t>t。主变场地设置有效容积为35m</w:t>
            </w:r>
            <w:r>
              <w:rPr>
                <w:rFonts w:hint="eastAsia" w:ascii="Times New Roman" w:hAnsi="Times New Roman" w:eastAsia="宋体"/>
                <w:b w:val="0"/>
                <w:bCs/>
                <w:color w:val="auto"/>
                <w:spacing w:val="0"/>
                <w:sz w:val="24"/>
                <w:highlight w:val="none"/>
                <w:vertAlign w:val="superscript"/>
              </w:rPr>
              <w:t>3</w:t>
            </w:r>
            <w:r>
              <w:rPr>
                <w:rFonts w:hint="eastAsia" w:ascii="Times New Roman" w:hAnsi="Times New Roman" w:eastAsia="宋体"/>
                <w:b w:val="0"/>
                <w:bCs/>
                <w:color w:val="auto"/>
                <w:spacing w:val="0"/>
                <w:sz w:val="24"/>
                <w:highlight w:val="none"/>
              </w:rPr>
              <w:t>的总事故油池一座，能满足主变压器事故状态下100%的排油量。</w:t>
            </w:r>
            <w:r>
              <w:rPr>
                <w:rFonts w:hint="eastAsia" w:ascii="Times New Roman" w:hAnsi="Times New Roman" w:eastAsia="宋体"/>
                <w:b w:val="0"/>
                <w:bCs/>
                <w:color w:val="auto"/>
                <w:spacing w:val="0"/>
                <w:sz w:val="24"/>
                <w:highlight w:val="none"/>
                <w:lang w:val="en-US" w:eastAsia="zh-CN"/>
              </w:rPr>
              <w:t>每台</w:t>
            </w:r>
            <w:r>
              <w:rPr>
                <w:rFonts w:hint="eastAsia"/>
                <w:b w:val="0"/>
                <w:bCs/>
                <w:color w:val="auto"/>
                <w:spacing w:val="0"/>
                <w:sz w:val="24"/>
                <w:highlight w:val="none"/>
                <w:lang w:eastAsia="zh-CN"/>
              </w:rPr>
              <w:t>箱式变压器</w:t>
            </w:r>
            <w:r>
              <w:rPr>
                <w:rFonts w:hint="eastAsia" w:ascii="Times New Roman" w:hAnsi="Times New Roman" w:eastAsia="宋体"/>
                <w:b w:val="0"/>
                <w:bCs/>
                <w:color w:val="auto"/>
                <w:spacing w:val="0"/>
                <w:sz w:val="24"/>
                <w:highlight w:val="none"/>
                <w:lang w:val="en-US" w:eastAsia="zh-CN"/>
              </w:rPr>
              <w:t>设有1座相变事故油池，容积为</w:t>
            </w:r>
            <w:r>
              <w:rPr>
                <w:rFonts w:hint="eastAsia"/>
                <w:b w:val="0"/>
                <w:bCs/>
                <w:color w:val="auto"/>
                <w:spacing w:val="0"/>
                <w:sz w:val="24"/>
                <w:highlight w:val="none"/>
                <w:lang w:val="en-US" w:eastAsia="zh-CN"/>
              </w:rPr>
              <w:t>3.0</w:t>
            </w:r>
            <w:r>
              <w:rPr>
                <w:rFonts w:hint="eastAsia" w:ascii="Times New Roman" w:hAnsi="Times New Roman" w:eastAsia="宋体"/>
                <w:b w:val="0"/>
                <w:bCs/>
                <w:color w:val="auto"/>
                <w:spacing w:val="0"/>
                <w:sz w:val="24"/>
                <w:highlight w:val="none"/>
              </w:rPr>
              <w:t>m</w:t>
            </w:r>
            <w:r>
              <w:rPr>
                <w:rFonts w:hint="eastAsia" w:ascii="Times New Roman" w:hAnsi="Times New Roman" w:eastAsia="宋体"/>
                <w:b w:val="0"/>
                <w:bCs/>
                <w:color w:val="auto"/>
                <w:spacing w:val="0"/>
                <w:sz w:val="24"/>
                <w:highlight w:val="none"/>
                <w:vertAlign w:val="superscript"/>
              </w:rPr>
              <w:t>3</w:t>
            </w:r>
            <w:r>
              <w:rPr>
                <w:rFonts w:hint="eastAsia" w:ascii="Times New Roman" w:hAnsi="Times New Roman" w:eastAsia="宋体"/>
                <w:b w:val="0"/>
                <w:bCs/>
                <w:color w:val="auto"/>
                <w:spacing w:val="0"/>
                <w:sz w:val="24"/>
                <w:highlight w:val="none"/>
                <w:lang w:val="en-US" w:eastAsia="zh-CN"/>
              </w:rPr>
              <w:t>，</w:t>
            </w:r>
            <w:r>
              <w:rPr>
                <w:rFonts w:hint="eastAsia" w:ascii="Times New Roman" w:hAnsi="Times New Roman" w:eastAsia="宋体"/>
                <w:b w:val="0"/>
                <w:bCs/>
                <w:color w:val="auto"/>
                <w:spacing w:val="0"/>
                <w:sz w:val="24"/>
                <w:highlight w:val="none"/>
              </w:rPr>
              <w:t>能满足</w:t>
            </w:r>
            <w:r>
              <w:rPr>
                <w:rFonts w:hint="eastAsia"/>
                <w:b w:val="0"/>
                <w:bCs/>
                <w:color w:val="auto"/>
                <w:spacing w:val="0"/>
                <w:sz w:val="24"/>
                <w:highlight w:val="none"/>
                <w:lang w:val="en-US" w:eastAsia="zh-CN"/>
              </w:rPr>
              <w:t>箱式变压器</w:t>
            </w:r>
            <w:r>
              <w:rPr>
                <w:rFonts w:hint="eastAsia" w:ascii="Times New Roman" w:hAnsi="Times New Roman" w:eastAsia="宋体"/>
                <w:b w:val="0"/>
                <w:bCs/>
                <w:color w:val="auto"/>
                <w:spacing w:val="0"/>
                <w:sz w:val="24"/>
                <w:highlight w:val="none"/>
              </w:rPr>
              <w:t>事故状态下100%的排油量。</w:t>
            </w:r>
          </w:p>
          <w:p w14:paraId="58FF06AD">
            <w:pPr>
              <w:keepNext w:val="0"/>
              <w:keepLines w:val="0"/>
              <w:pageBreakBefore w:val="0"/>
              <w:kinsoku/>
              <w:wordWrap/>
              <w:overflowPunct/>
              <w:topLinePunct w:val="0"/>
              <w:bidi w:val="0"/>
              <w:adjustRightInd w:val="0"/>
              <w:spacing w:line="360" w:lineRule="auto"/>
              <w:ind w:firstLine="360" w:firstLineChars="150"/>
              <w:rPr>
                <w:rFonts w:hint="eastAsia" w:ascii="Times New Roman" w:hAnsi="Times New Roman" w:eastAsia="宋体"/>
                <w:b w:val="0"/>
                <w:bCs/>
                <w:color w:val="auto"/>
                <w:spacing w:val="0"/>
                <w:sz w:val="24"/>
                <w:highlight w:val="none"/>
              </w:rPr>
            </w:pPr>
            <w:r>
              <w:rPr>
                <w:rFonts w:hint="eastAsia" w:ascii="Times New Roman" w:hAnsi="Times New Roman" w:eastAsia="宋体"/>
                <w:b w:val="0"/>
                <w:bCs/>
                <w:color w:val="auto"/>
                <w:spacing w:val="0"/>
                <w:sz w:val="24"/>
                <w:highlight w:val="none"/>
              </w:rPr>
              <w:t>若变压器发生漏油事故，其变压器油进入事故油池，事故油池设置有油水分离装置，进入事故油池的变压器油经油水分离后，</w:t>
            </w:r>
            <w:r>
              <w:rPr>
                <w:rFonts w:hint="eastAsia" w:ascii="Times New Roman" w:hAnsi="Times New Roman" w:eastAsia="宋体"/>
                <w:b w:val="0"/>
                <w:bCs/>
                <w:color w:val="auto"/>
                <w:spacing w:val="0"/>
                <w:sz w:val="24"/>
                <w:highlight w:val="none"/>
                <w:lang w:val="en-US" w:eastAsia="zh-CN"/>
              </w:rPr>
              <w:t>部分</w:t>
            </w:r>
            <w:r>
              <w:rPr>
                <w:rFonts w:hint="eastAsia" w:ascii="Times New Roman" w:hAnsi="Times New Roman" w:eastAsia="宋体"/>
                <w:b w:val="0"/>
                <w:bCs/>
                <w:color w:val="auto"/>
                <w:spacing w:val="0"/>
                <w:sz w:val="24"/>
                <w:highlight w:val="none"/>
              </w:rPr>
              <w:t>事故油经有资质单位待处理设施处理后属合格变压器油抽回变压器中继续使用，</w:t>
            </w:r>
            <w:r>
              <w:rPr>
                <w:rFonts w:hint="eastAsia" w:ascii="Times New Roman" w:hAnsi="Times New Roman" w:eastAsia="宋体"/>
                <w:b w:val="0"/>
                <w:bCs/>
                <w:color w:val="auto"/>
                <w:spacing w:val="0"/>
                <w:sz w:val="24"/>
                <w:highlight w:val="none"/>
                <w:lang w:val="en-US" w:eastAsia="zh-CN"/>
              </w:rPr>
              <w:t>其他</w:t>
            </w:r>
            <w:r>
              <w:rPr>
                <w:rFonts w:hint="eastAsia" w:ascii="Times New Roman" w:hAnsi="Times New Roman" w:eastAsia="宋体"/>
                <w:b w:val="0"/>
                <w:bCs/>
                <w:color w:val="auto"/>
                <w:spacing w:val="0"/>
                <w:sz w:val="24"/>
                <w:highlight w:val="none"/>
              </w:rPr>
              <w:t>变压器为废油不能使用，经收集在</w:t>
            </w:r>
            <w:r>
              <w:rPr>
                <w:rFonts w:hint="eastAsia"/>
                <w:b w:val="0"/>
                <w:bCs/>
                <w:color w:val="auto"/>
                <w:spacing w:val="0"/>
                <w:sz w:val="24"/>
                <w:highlight w:val="none"/>
                <w:lang w:eastAsia="zh-CN"/>
              </w:rPr>
              <w:t>危废贮存库</w:t>
            </w:r>
            <w:r>
              <w:rPr>
                <w:rFonts w:hint="eastAsia" w:ascii="Times New Roman" w:hAnsi="Times New Roman" w:eastAsia="宋体"/>
                <w:b w:val="0"/>
                <w:bCs/>
                <w:color w:val="auto"/>
                <w:spacing w:val="0"/>
                <w:sz w:val="24"/>
                <w:highlight w:val="none"/>
              </w:rPr>
              <w:t>后立刻委托有危废处理资质的单位处理。事故排油全过程没有含油废污水排放，对环境影响不大。</w:t>
            </w:r>
          </w:p>
          <w:p w14:paraId="6D5769F1">
            <w:pPr>
              <w:keepNext w:val="0"/>
              <w:keepLines w:val="0"/>
              <w:pageBreakBefore w:val="0"/>
              <w:kinsoku/>
              <w:wordWrap/>
              <w:overflowPunct/>
              <w:topLinePunct w:val="0"/>
              <w:bidi w:val="0"/>
              <w:adjustRightInd w:val="0"/>
              <w:spacing w:line="360" w:lineRule="auto"/>
              <w:ind w:firstLine="360" w:firstLineChars="150"/>
              <w:rPr>
                <w:rFonts w:hint="eastAsia" w:ascii="Times New Roman" w:hAnsi="Times New Roman" w:eastAsia="宋体"/>
                <w:b w:val="0"/>
                <w:bCs/>
                <w:color w:val="auto"/>
                <w:spacing w:val="0"/>
                <w:sz w:val="24"/>
                <w:highlight w:val="none"/>
              </w:rPr>
            </w:pPr>
            <w:r>
              <w:rPr>
                <w:rFonts w:hint="eastAsia" w:ascii="Times New Roman" w:hAnsi="Times New Roman" w:eastAsia="宋体"/>
                <w:b w:val="0"/>
                <w:bCs/>
                <w:color w:val="auto"/>
                <w:spacing w:val="0"/>
                <w:sz w:val="24"/>
                <w:highlight w:val="none"/>
                <w:lang w:eastAsia="zh-CN"/>
              </w:rPr>
              <w:t>（</w:t>
            </w:r>
            <w:r>
              <w:rPr>
                <w:rFonts w:hint="eastAsia" w:ascii="Times New Roman" w:hAnsi="Times New Roman" w:eastAsia="宋体"/>
                <w:b w:val="0"/>
                <w:bCs/>
                <w:color w:val="auto"/>
                <w:spacing w:val="0"/>
                <w:sz w:val="24"/>
                <w:highlight w:val="none"/>
                <w:lang w:val="en-US" w:eastAsia="zh-CN"/>
              </w:rPr>
              <w:t>3</w:t>
            </w:r>
            <w:r>
              <w:rPr>
                <w:rFonts w:hint="eastAsia" w:ascii="Times New Roman" w:hAnsi="Times New Roman" w:eastAsia="宋体"/>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废旧蓄电池</w:t>
            </w:r>
          </w:p>
          <w:p w14:paraId="50C9C3B5">
            <w:pPr>
              <w:keepNext w:val="0"/>
              <w:keepLines w:val="0"/>
              <w:pageBreakBefore w:val="0"/>
              <w:kinsoku/>
              <w:wordWrap/>
              <w:overflowPunct/>
              <w:topLinePunct w:val="0"/>
              <w:bidi w:val="0"/>
              <w:adjustRightInd w:val="0"/>
              <w:spacing w:line="360" w:lineRule="auto"/>
              <w:ind w:firstLine="360" w:firstLineChars="150"/>
              <w:rPr>
                <w:rFonts w:hint="eastAsia" w:ascii="Times New Roman" w:hAnsi="Times New Roman" w:eastAsia="宋体"/>
                <w:b w:val="0"/>
                <w:bCs/>
                <w:color w:val="auto"/>
                <w:spacing w:val="0"/>
                <w:sz w:val="24"/>
                <w:highlight w:val="none"/>
              </w:rPr>
            </w:pPr>
            <w:r>
              <w:rPr>
                <w:rFonts w:hint="eastAsia" w:ascii="Times New Roman" w:hAnsi="Times New Roman" w:eastAsia="宋体"/>
                <w:b w:val="0"/>
                <w:bCs/>
                <w:color w:val="auto"/>
                <w:spacing w:val="0"/>
                <w:sz w:val="24"/>
                <w:highlight w:val="none"/>
              </w:rPr>
              <w:t>升压站控制室内设有蓄电池室，使用约60只铅酸蓄电池，每只重量约18kg</w:t>
            </w:r>
            <w:r>
              <w:rPr>
                <w:rFonts w:hint="eastAsia"/>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总重量约1080kg。蓄电池用于升压站故障情况下，站内应急保护、测控供电及主控楼应急照明。废铅蓄电池属于危险废物</w:t>
            </w:r>
            <w:r>
              <w:rPr>
                <w:rFonts w:hint="eastAsia"/>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类别：HW31</w:t>
            </w:r>
            <w:r>
              <w:rPr>
                <w:rFonts w:hint="eastAsia"/>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含铅废物；代码：900-052-31</w:t>
            </w:r>
            <w:r>
              <w:rPr>
                <w:rFonts w:hint="eastAsia"/>
                <w:b w:val="0"/>
                <w:bCs/>
                <w:color w:val="auto"/>
                <w:spacing w:val="0"/>
                <w:sz w:val="24"/>
                <w:highlight w:val="none"/>
                <w:lang w:eastAsia="zh-CN"/>
              </w:rPr>
              <w:t>）</w:t>
            </w:r>
            <w:r>
              <w:rPr>
                <w:rFonts w:hint="eastAsia" w:ascii="Times New Roman" w:hAnsi="Times New Roman" w:eastAsia="宋体"/>
                <w:b w:val="0"/>
                <w:bCs/>
                <w:color w:val="auto"/>
                <w:spacing w:val="0"/>
                <w:sz w:val="24"/>
                <w:highlight w:val="none"/>
              </w:rPr>
              <w:t>。蓄电池由有运输和处置资质的厂家上门更换，更换下来的废蓄电池由厂家当场拉走处理，不在升压站内贮存。</w:t>
            </w:r>
          </w:p>
          <w:p w14:paraId="3D996BFE">
            <w:pPr>
              <w:keepNext w:val="0"/>
              <w:keepLines w:val="0"/>
              <w:pageBreakBefore w:val="0"/>
              <w:kinsoku/>
              <w:wordWrap/>
              <w:overflowPunct/>
              <w:topLinePunct w:val="0"/>
              <w:bidi w:val="0"/>
              <w:adjustRightInd w:val="0"/>
              <w:spacing w:line="360" w:lineRule="auto"/>
              <w:ind w:firstLine="360" w:firstLineChars="150"/>
              <w:rPr>
                <w:rFonts w:ascii="Times New Roman" w:hAnsi="Times New Roman" w:eastAsia="宋体"/>
                <w:b w:val="0"/>
                <w:bCs/>
                <w:color w:val="auto"/>
                <w:spacing w:val="0"/>
                <w:sz w:val="24"/>
                <w:highlight w:val="none"/>
              </w:rPr>
            </w:pPr>
            <w:r>
              <w:rPr>
                <w:rFonts w:hint="eastAsia" w:ascii="Times New Roman" w:hAnsi="Times New Roman" w:eastAsia="宋体"/>
                <w:b w:val="0"/>
                <w:bCs/>
                <w:color w:val="auto"/>
                <w:spacing w:val="0"/>
                <w:sz w:val="24"/>
                <w:highlight w:val="none"/>
              </w:rPr>
              <w:t>小结：项目运营期产生的检修废油集中收集后贮存于</w:t>
            </w:r>
            <w:r>
              <w:rPr>
                <w:rFonts w:hint="eastAsia"/>
                <w:b w:val="0"/>
                <w:bCs/>
                <w:color w:val="auto"/>
                <w:spacing w:val="0"/>
                <w:sz w:val="24"/>
                <w:highlight w:val="none"/>
                <w:lang w:eastAsia="zh-CN"/>
              </w:rPr>
              <w:t>危废贮存库</w:t>
            </w:r>
            <w:r>
              <w:rPr>
                <w:rFonts w:hint="eastAsia" w:ascii="Times New Roman" w:hAnsi="Times New Roman" w:eastAsia="宋体"/>
                <w:b w:val="0"/>
                <w:bCs/>
                <w:color w:val="auto"/>
                <w:spacing w:val="0"/>
                <w:sz w:val="24"/>
                <w:highlight w:val="none"/>
              </w:rPr>
              <w:t>，后期委托有资质的单位处置；</w:t>
            </w:r>
            <w:r>
              <w:rPr>
                <w:rFonts w:hint="eastAsia"/>
                <w:b w:val="0"/>
                <w:bCs/>
                <w:color w:val="auto"/>
                <w:spacing w:val="0"/>
                <w:sz w:val="24"/>
                <w:highlight w:val="none"/>
                <w:lang w:val="en-US" w:eastAsia="zh-CN"/>
              </w:rPr>
              <w:t>升压站现有危废贮存库采用C30混凝土进行浇筑的危废暂存间，并采用了环氧树脂和丙烯酸进行防腐防渗处理，内部设有截流沟，符合《危险废物贮存污染控制标准》（GB18597-2023）建设要求。项目运行后，需</w:t>
            </w:r>
            <w:r>
              <w:rPr>
                <w:rFonts w:hint="eastAsia" w:ascii="Times New Roman" w:hAnsi="Times New Roman" w:eastAsia="宋体"/>
                <w:b w:val="0"/>
                <w:bCs/>
                <w:color w:val="auto"/>
                <w:spacing w:val="0"/>
                <w:sz w:val="24"/>
                <w:highlight w:val="none"/>
              </w:rPr>
              <w:t>加强对箱变的巡检维护，针对箱变运行中的异常情况及时分析与检查，箱变发现漏油后，应及时</w:t>
            </w:r>
            <w:r>
              <w:rPr>
                <w:rFonts w:hint="eastAsia"/>
                <w:b w:val="0"/>
                <w:bCs/>
                <w:color w:val="auto"/>
                <w:spacing w:val="0"/>
                <w:sz w:val="24"/>
                <w:highlight w:val="none"/>
                <w:lang w:val="en-US" w:eastAsia="zh-CN"/>
              </w:rPr>
              <w:t>清理</w:t>
            </w:r>
            <w:r>
              <w:rPr>
                <w:rFonts w:hint="eastAsia" w:ascii="Times New Roman" w:hAnsi="Times New Roman" w:eastAsia="宋体"/>
                <w:b w:val="0"/>
                <w:bCs/>
                <w:color w:val="auto"/>
                <w:spacing w:val="0"/>
                <w:sz w:val="24"/>
                <w:highlight w:val="none"/>
              </w:rPr>
              <w:t>，</w:t>
            </w:r>
            <w:r>
              <w:rPr>
                <w:rFonts w:hint="eastAsia"/>
                <w:b w:val="0"/>
                <w:bCs/>
                <w:color w:val="auto"/>
                <w:spacing w:val="0"/>
                <w:sz w:val="24"/>
                <w:highlight w:val="none"/>
                <w:lang w:val="en-US" w:eastAsia="zh-CN"/>
              </w:rPr>
              <w:t>清理废物</w:t>
            </w:r>
            <w:r>
              <w:rPr>
                <w:rFonts w:hint="eastAsia" w:ascii="Times New Roman" w:hAnsi="Times New Roman" w:eastAsia="宋体"/>
                <w:b w:val="0"/>
                <w:bCs/>
                <w:color w:val="auto"/>
                <w:spacing w:val="0"/>
                <w:sz w:val="24"/>
                <w:highlight w:val="none"/>
              </w:rPr>
              <w:t>应妥善收集至</w:t>
            </w:r>
            <w:r>
              <w:rPr>
                <w:rFonts w:hint="eastAsia"/>
                <w:b w:val="0"/>
                <w:bCs/>
                <w:color w:val="auto"/>
                <w:spacing w:val="0"/>
                <w:sz w:val="24"/>
                <w:highlight w:val="none"/>
                <w:lang w:eastAsia="zh-CN"/>
              </w:rPr>
              <w:t>危废贮存库</w:t>
            </w:r>
            <w:r>
              <w:rPr>
                <w:rFonts w:hint="eastAsia" w:ascii="Times New Roman" w:hAnsi="Times New Roman" w:eastAsia="宋体"/>
                <w:b w:val="0"/>
                <w:bCs/>
                <w:color w:val="auto"/>
                <w:spacing w:val="0"/>
                <w:sz w:val="24"/>
                <w:highlight w:val="none"/>
              </w:rPr>
              <w:t>中；若漏油量较大，防止发生火灾，及时用沙土清理油污，在升压站设置一个事故油池，事故油池底部和四周设置防渗措施，变压器一旦发生事故漏油时，产生的事故油排入事故油池，对周围环境影响小。</w:t>
            </w:r>
          </w:p>
          <w:p w14:paraId="3DDF8269">
            <w:pPr>
              <w:keepNext w:val="0"/>
              <w:keepLines w:val="0"/>
              <w:pageBreakBefore w:val="0"/>
              <w:kinsoku/>
              <w:wordWrap/>
              <w:overflowPunct/>
              <w:topLinePunct w:val="0"/>
              <w:bidi w:val="0"/>
              <w:adjustRightInd w:val="0"/>
              <w:spacing w:line="360" w:lineRule="auto"/>
              <w:ind w:left="0" w:leftChars="0" w:firstLine="0" w:firstLineChars="0"/>
              <w:rPr>
                <w:rFonts w:ascii="Times New Roman" w:hAnsi="Times New Roman" w:eastAsia="宋体"/>
                <w:b/>
                <w:color w:val="auto"/>
                <w:spacing w:val="0"/>
                <w:sz w:val="24"/>
                <w:highlight w:val="none"/>
              </w:rPr>
            </w:pPr>
            <w:r>
              <w:rPr>
                <w:rFonts w:hint="eastAsia" w:ascii="Times New Roman" w:hAnsi="Times New Roman" w:eastAsia="宋体"/>
                <w:b/>
                <w:color w:val="auto"/>
                <w:spacing w:val="0"/>
                <w:sz w:val="24"/>
                <w:highlight w:val="none"/>
                <w:lang w:val="en-US" w:eastAsia="zh-CN"/>
              </w:rPr>
              <w:t>7.</w:t>
            </w:r>
            <w:r>
              <w:rPr>
                <w:rFonts w:ascii="Times New Roman" w:hAnsi="Times New Roman" w:eastAsia="宋体"/>
                <w:b/>
                <w:color w:val="auto"/>
                <w:spacing w:val="0"/>
                <w:sz w:val="24"/>
                <w:highlight w:val="none"/>
              </w:rPr>
              <w:t>环境风险</w:t>
            </w:r>
          </w:p>
          <w:p w14:paraId="164C4146">
            <w:pPr>
              <w:spacing w:line="480" w:lineRule="exact"/>
              <w:ind w:firstLine="482" w:firstLineChars="200"/>
              <w:rPr>
                <w:rFonts w:hint="eastAsia"/>
                <w:color w:val="auto"/>
                <w:sz w:val="24"/>
                <w:highlight w:val="none"/>
                <w:lang w:val="en-US" w:eastAsia="zh-CN"/>
              </w:rPr>
            </w:pPr>
            <w:r>
              <w:rPr>
                <w:rFonts w:hint="eastAsia"/>
                <w:b/>
                <w:bCs/>
                <w:color w:val="auto"/>
                <w:sz w:val="24"/>
                <w:highlight w:val="none"/>
                <w:lang w:val="en-US" w:eastAsia="zh-CN"/>
              </w:rPr>
              <w:t>7.1</w:t>
            </w:r>
            <w:r>
              <w:rPr>
                <w:b/>
                <w:bCs/>
                <w:color w:val="auto"/>
                <w:sz w:val="24"/>
                <w:highlight w:val="none"/>
              </w:rPr>
              <w:t>环境风险调查</w:t>
            </w:r>
          </w:p>
          <w:p w14:paraId="0E5DC7BA">
            <w:pPr>
              <w:spacing w:line="480" w:lineRule="exact"/>
              <w:ind w:firstLine="480" w:firstLineChars="200"/>
              <w:rPr>
                <w:rFonts w:hint="eastAsia" w:eastAsia="宋体"/>
                <w:b/>
                <w:bCs/>
                <w:color w:val="auto"/>
                <w:kern w:val="0"/>
                <w:szCs w:val="21"/>
                <w:highlight w:val="none"/>
                <w:lang w:val="en-US" w:eastAsia="zh-CN"/>
              </w:rPr>
            </w:pPr>
            <w:r>
              <w:rPr>
                <w:rFonts w:hint="eastAsia"/>
                <w:color w:val="auto"/>
                <w:sz w:val="24"/>
                <w:highlight w:val="none"/>
                <w:lang w:val="en-US" w:eastAsia="zh-CN"/>
              </w:rPr>
              <w:t>项目</w:t>
            </w:r>
            <w:r>
              <w:rPr>
                <w:color w:val="auto"/>
                <w:sz w:val="24"/>
                <w:highlight w:val="none"/>
              </w:rPr>
              <w:t>在运行过程中使用的有毒有害、易燃易爆物质主要有变压器油、</w:t>
            </w:r>
            <w:r>
              <w:rPr>
                <w:rFonts w:hint="eastAsia"/>
                <w:color w:val="auto"/>
                <w:sz w:val="24"/>
                <w:highlight w:val="none"/>
              </w:rPr>
              <w:t>铅酸蓄电池破损后泄漏的电解液</w:t>
            </w:r>
            <w:r>
              <w:rPr>
                <w:rFonts w:hint="eastAsia"/>
                <w:color w:val="auto"/>
                <w:sz w:val="24"/>
                <w:highlight w:val="none"/>
                <w:lang w:val="en-US" w:eastAsia="zh-CN"/>
              </w:rPr>
              <w:t>和</w:t>
            </w:r>
            <w:r>
              <w:rPr>
                <w:rFonts w:hint="eastAsia"/>
                <w:color w:val="auto"/>
                <w:lang w:val="en-US" w:eastAsia="zh-CN"/>
              </w:rPr>
              <w:t>风机机组的</w:t>
            </w:r>
            <w:r>
              <w:rPr>
                <w:rFonts w:hint="eastAsia"/>
                <w:color w:val="auto"/>
              </w:rPr>
              <w:t>检修废油</w:t>
            </w:r>
            <w:r>
              <w:rPr>
                <w:color w:val="auto"/>
                <w:sz w:val="24"/>
                <w:highlight w:val="none"/>
              </w:rPr>
              <w:t>。根据可研资料，每台箱式变压器油约</w:t>
            </w:r>
            <w:r>
              <w:rPr>
                <w:rFonts w:hint="eastAsia"/>
                <w:color w:val="auto"/>
                <w:sz w:val="24"/>
                <w:highlight w:val="none"/>
                <w:lang w:val="en-US" w:eastAsia="zh-CN"/>
              </w:rPr>
              <w:t>2.0</w:t>
            </w:r>
            <w:r>
              <w:rPr>
                <w:color w:val="auto"/>
                <w:sz w:val="24"/>
                <w:highlight w:val="none"/>
              </w:rPr>
              <w:t>t，本项目共</w:t>
            </w:r>
            <w:r>
              <w:rPr>
                <w:rFonts w:hint="eastAsia"/>
                <w:color w:val="auto"/>
                <w:sz w:val="24"/>
                <w:highlight w:val="none"/>
                <w:lang w:val="en-US" w:eastAsia="zh-CN"/>
              </w:rPr>
              <w:t>4</w:t>
            </w:r>
            <w:r>
              <w:rPr>
                <w:color w:val="auto"/>
                <w:sz w:val="24"/>
                <w:highlight w:val="none"/>
              </w:rPr>
              <w:t>台箱式变压器，1台主变中变压器油约为</w:t>
            </w:r>
            <w:r>
              <w:rPr>
                <w:rFonts w:hint="eastAsia"/>
                <w:color w:val="auto"/>
                <w:sz w:val="24"/>
                <w:highlight w:val="none"/>
                <w:lang w:val="en-US" w:eastAsia="zh-CN"/>
              </w:rPr>
              <w:t>23</w:t>
            </w:r>
            <w:r>
              <w:rPr>
                <w:color w:val="auto"/>
                <w:sz w:val="24"/>
                <w:highlight w:val="none"/>
              </w:rPr>
              <w:t>t，则项目可能存在变压器油为</w:t>
            </w:r>
            <w:r>
              <w:rPr>
                <w:rFonts w:hint="eastAsia"/>
                <w:color w:val="auto"/>
                <w:sz w:val="24"/>
                <w:highlight w:val="none"/>
                <w:lang w:val="en-US" w:eastAsia="zh-CN"/>
              </w:rPr>
              <w:t>31</w:t>
            </w:r>
            <w:r>
              <w:rPr>
                <w:rFonts w:hint="eastAsia"/>
                <w:color w:val="auto"/>
                <w:sz w:val="24"/>
                <w:highlight w:val="none"/>
              </w:rPr>
              <w:t>t</w:t>
            </w:r>
            <w:r>
              <w:rPr>
                <w:color w:val="auto"/>
                <w:sz w:val="24"/>
                <w:highlight w:val="none"/>
              </w:rPr>
              <w:t>。</w:t>
            </w:r>
            <w:r>
              <w:rPr>
                <w:rFonts w:hint="eastAsia" w:ascii="Times New Roman" w:hAnsi="Times New Roman" w:eastAsia="宋体"/>
                <w:b w:val="0"/>
                <w:bCs/>
                <w:color w:val="auto"/>
                <w:spacing w:val="0"/>
                <w:sz w:val="24"/>
                <w:highlight w:val="none"/>
              </w:rPr>
              <w:t>检修产生的废油量约0.25t/a。</w:t>
            </w:r>
            <w:r>
              <w:rPr>
                <w:color w:val="auto"/>
                <w:sz w:val="24"/>
                <w:highlight w:val="none"/>
              </w:rPr>
              <w:t>根据《国家危险废物名录》（202</w:t>
            </w:r>
            <w:r>
              <w:rPr>
                <w:rFonts w:hint="eastAsia"/>
                <w:color w:val="auto"/>
                <w:sz w:val="24"/>
                <w:highlight w:val="none"/>
              </w:rPr>
              <w:t>5</w:t>
            </w:r>
            <w:r>
              <w:rPr>
                <w:color w:val="auto"/>
                <w:sz w:val="24"/>
                <w:highlight w:val="none"/>
              </w:rPr>
              <w:t>年版），检修或者事故情况下产生的废变压器油为危险废物，类别为HW08</w:t>
            </w:r>
            <w:r>
              <w:rPr>
                <w:rFonts w:hint="eastAsia"/>
                <w:color w:val="auto"/>
                <w:sz w:val="24"/>
                <w:highlight w:val="none"/>
                <w:lang w:eastAsia="zh-CN"/>
              </w:rPr>
              <w:t>。</w:t>
            </w:r>
            <w:r>
              <w:rPr>
                <w:rFonts w:hint="eastAsia"/>
                <w:color w:val="auto"/>
                <w:sz w:val="24"/>
                <w:highlight w:val="none"/>
                <w:lang w:val="en-US" w:eastAsia="zh-CN"/>
              </w:rPr>
              <w:t>更换的铅酸蓄电池年产生量约为0.05t，也属于危险废物，类别为</w:t>
            </w:r>
            <w:r>
              <w:rPr>
                <w:color w:val="auto"/>
                <w:highlight w:val="none"/>
              </w:rPr>
              <w:t>HW31含铅废物900-052-31</w:t>
            </w:r>
            <w:r>
              <w:rPr>
                <w:rFonts w:hint="eastAsia"/>
                <w:color w:val="auto"/>
                <w:highlight w:val="none"/>
                <w:lang w:val="en-US" w:eastAsia="zh-CN"/>
              </w:rPr>
              <w:t>0。</w:t>
            </w:r>
          </w:p>
          <w:p w14:paraId="3E48934F">
            <w:pPr>
              <w:spacing w:line="480" w:lineRule="exact"/>
              <w:jc w:val="center"/>
              <w:rPr>
                <w:b/>
                <w:bCs/>
                <w:color w:val="auto"/>
                <w:kern w:val="0"/>
                <w:highlight w:val="none"/>
              </w:rPr>
            </w:pPr>
            <w:r>
              <w:rPr>
                <w:b/>
                <w:color w:val="auto"/>
                <w:szCs w:val="21"/>
                <w:highlight w:val="none"/>
              </w:rPr>
              <w:t>表</w:t>
            </w:r>
            <w:r>
              <w:rPr>
                <w:rFonts w:hint="eastAsia"/>
                <w:b/>
                <w:color w:val="auto"/>
                <w:szCs w:val="21"/>
                <w:highlight w:val="none"/>
              </w:rPr>
              <w:t>4-</w:t>
            </w:r>
            <w:r>
              <w:rPr>
                <w:rFonts w:hint="eastAsia"/>
                <w:b/>
                <w:color w:val="auto"/>
                <w:szCs w:val="21"/>
                <w:highlight w:val="none"/>
                <w:lang w:val="en-US" w:eastAsia="zh-CN"/>
              </w:rPr>
              <w:t xml:space="preserve">8  </w:t>
            </w:r>
            <w:r>
              <w:rPr>
                <w:b/>
                <w:color w:val="auto"/>
                <w:szCs w:val="21"/>
                <w:highlight w:val="none"/>
              </w:rPr>
              <w:t>工程主要危险有害物质一览表</w:t>
            </w:r>
          </w:p>
          <w:tbl>
            <w:tblPr>
              <w:tblStyle w:val="20"/>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05"/>
              <w:gridCol w:w="1779"/>
              <w:gridCol w:w="1577"/>
              <w:gridCol w:w="1326"/>
              <w:gridCol w:w="1870"/>
            </w:tblGrid>
            <w:tr w14:paraId="3F4CE2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5" w:type="dxa"/>
                  <w:tcBorders>
                    <w:tl2br w:val="nil"/>
                    <w:tr2bl w:val="nil"/>
                  </w:tcBorders>
                  <w:noWrap w:val="0"/>
                  <w:vAlign w:val="center"/>
                </w:tcPr>
                <w:p w14:paraId="09B438A8">
                  <w:pPr>
                    <w:pStyle w:val="37"/>
                    <w:bidi w:val="0"/>
                    <w:rPr>
                      <w:rFonts w:ascii="Times New Roman" w:hAnsi="Times New Roman"/>
                      <w:b/>
                      <w:bCs/>
                      <w:color w:val="auto"/>
                      <w:kern w:val="0"/>
                      <w:szCs w:val="21"/>
                      <w:highlight w:val="none"/>
                    </w:rPr>
                  </w:pPr>
                  <w:r>
                    <w:rPr>
                      <w:b/>
                      <w:bCs/>
                      <w:color w:val="auto"/>
                      <w:highlight w:val="none"/>
                    </w:rPr>
                    <w:t>序号</w:t>
                  </w:r>
                </w:p>
              </w:tc>
              <w:tc>
                <w:tcPr>
                  <w:tcW w:w="1779" w:type="dxa"/>
                  <w:tcBorders>
                    <w:tl2br w:val="nil"/>
                    <w:tr2bl w:val="nil"/>
                  </w:tcBorders>
                  <w:noWrap w:val="0"/>
                  <w:vAlign w:val="center"/>
                </w:tcPr>
                <w:p w14:paraId="1F1C85F3">
                  <w:pPr>
                    <w:pStyle w:val="37"/>
                    <w:bidi w:val="0"/>
                    <w:rPr>
                      <w:rFonts w:ascii="Times New Roman" w:hAnsi="Times New Roman"/>
                      <w:b/>
                      <w:bCs/>
                      <w:color w:val="auto"/>
                      <w:kern w:val="0"/>
                      <w:szCs w:val="21"/>
                      <w:highlight w:val="none"/>
                    </w:rPr>
                  </w:pPr>
                  <w:r>
                    <w:rPr>
                      <w:b/>
                      <w:bCs/>
                      <w:color w:val="auto"/>
                      <w:highlight w:val="none"/>
                    </w:rPr>
                    <w:t>名称</w:t>
                  </w:r>
                </w:p>
              </w:tc>
              <w:tc>
                <w:tcPr>
                  <w:tcW w:w="1577" w:type="dxa"/>
                  <w:tcBorders>
                    <w:tl2br w:val="nil"/>
                    <w:tr2bl w:val="nil"/>
                  </w:tcBorders>
                  <w:noWrap w:val="0"/>
                  <w:vAlign w:val="center"/>
                </w:tcPr>
                <w:p w14:paraId="0291BF06">
                  <w:pPr>
                    <w:pStyle w:val="37"/>
                    <w:bidi w:val="0"/>
                    <w:rPr>
                      <w:rFonts w:ascii="Times New Roman" w:hAnsi="Times New Roman"/>
                      <w:b/>
                      <w:bCs/>
                      <w:color w:val="auto"/>
                      <w:kern w:val="0"/>
                      <w:szCs w:val="21"/>
                      <w:highlight w:val="none"/>
                    </w:rPr>
                  </w:pPr>
                  <w:r>
                    <w:rPr>
                      <w:b/>
                      <w:bCs/>
                      <w:color w:val="auto"/>
                      <w:highlight w:val="none"/>
                    </w:rPr>
                    <w:t>存在位置</w:t>
                  </w:r>
                </w:p>
              </w:tc>
              <w:tc>
                <w:tcPr>
                  <w:tcW w:w="1326" w:type="dxa"/>
                  <w:tcBorders>
                    <w:tl2br w:val="nil"/>
                    <w:tr2bl w:val="nil"/>
                  </w:tcBorders>
                  <w:noWrap w:val="0"/>
                  <w:vAlign w:val="center"/>
                </w:tcPr>
                <w:p w14:paraId="55CBCBC5">
                  <w:pPr>
                    <w:pStyle w:val="37"/>
                    <w:bidi w:val="0"/>
                    <w:rPr>
                      <w:rFonts w:ascii="Times New Roman" w:hAnsi="Times New Roman"/>
                      <w:b/>
                      <w:bCs/>
                      <w:color w:val="auto"/>
                      <w:kern w:val="0"/>
                      <w:szCs w:val="21"/>
                      <w:highlight w:val="none"/>
                    </w:rPr>
                  </w:pPr>
                  <w:r>
                    <w:rPr>
                      <w:b/>
                      <w:bCs/>
                      <w:color w:val="auto"/>
                      <w:highlight w:val="none"/>
                    </w:rPr>
                    <w:t>数量</w:t>
                  </w:r>
                </w:p>
              </w:tc>
              <w:tc>
                <w:tcPr>
                  <w:tcW w:w="1870" w:type="dxa"/>
                  <w:tcBorders>
                    <w:tl2br w:val="nil"/>
                    <w:tr2bl w:val="nil"/>
                  </w:tcBorders>
                  <w:noWrap w:val="0"/>
                  <w:vAlign w:val="center"/>
                </w:tcPr>
                <w:p w14:paraId="07E956C9">
                  <w:pPr>
                    <w:pStyle w:val="37"/>
                    <w:bidi w:val="0"/>
                    <w:rPr>
                      <w:rFonts w:ascii="Times New Roman" w:hAnsi="Times New Roman"/>
                      <w:b/>
                      <w:bCs/>
                      <w:color w:val="auto"/>
                      <w:kern w:val="0"/>
                      <w:szCs w:val="21"/>
                      <w:highlight w:val="none"/>
                    </w:rPr>
                  </w:pPr>
                  <w:r>
                    <w:rPr>
                      <w:b/>
                      <w:bCs/>
                      <w:color w:val="auto"/>
                      <w:highlight w:val="none"/>
                    </w:rPr>
                    <w:t>用途</w:t>
                  </w:r>
                </w:p>
              </w:tc>
            </w:tr>
            <w:tr w14:paraId="65144B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005" w:type="dxa"/>
                  <w:tcBorders>
                    <w:tl2br w:val="nil"/>
                    <w:tr2bl w:val="nil"/>
                  </w:tcBorders>
                  <w:noWrap w:val="0"/>
                  <w:vAlign w:val="center"/>
                </w:tcPr>
                <w:p w14:paraId="358C2DFE">
                  <w:pPr>
                    <w:pStyle w:val="37"/>
                    <w:bidi w:val="0"/>
                    <w:rPr>
                      <w:rFonts w:ascii="Times New Roman" w:hAnsi="Times New Roman"/>
                      <w:bCs/>
                      <w:color w:val="auto"/>
                      <w:kern w:val="0"/>
                      <w:szCs w:val="21"/>
                      <w:highlight w:val="none"/>
                    </w:rPr>
                  </w:pPr>
                  <w:r>
                    <w:rPr>
                      <w:color w:val="auto"/>
                      <w:highlight w:val="none"/>
                    </w:rPr>
                    <w:t>1</w:t>
                  </w:r>
                </w:p>
              </w:tc>
              <w:tc>
                <w:tcPr>
                  <w:tcW w:w="1779" w:type="dxa"/>
                  <w:tcBorders>
                    <w:tl2br w:val="nil"/>
                    <w:tr2bl w:val="nil"/>
                  </w:tcBorders>
                  <w:noWrap w:val="0"/>
                  <w:vAlign w:val="center"/>
                </w:tcPr>
                <w:p w14:paraId="064815C1">
                  <w:pPr>
                    <w:pStyle w:val="37"/>
                    <w:bidi w:val="0"/>
                    <w:rPr>
                      <w:rFonts w:ascii="Times New Roman" w:hAnsi="Times New Roman"/>
                      <w:bCs/>
                      <w:color w:val="auto"/>
                      <w:kern w:val="0"/>
                      <w:szCs w:val="21"/>
                      <w:highlight w:val="none"/>
                    </w:rPr>
                  </w:pPr>
                  <w:r>
                    <w:rPr>
                      <w:color w:val="auto"/>
                      <w:highlight w:val="none"/>
                    </w:rPr>
                    <w:t>变压器油</w:t>
                  </w:r>
                </w:p>
              </w:tc>
              <w:tc>
                <w:tcPr>
                  <w:tcW w:w="1577" w:type="dxa"/>
                  <w:tcBorders>
                    <w:tl2br w:val="nil"/>
                    <w:tr2bl w:val="nil"/>
                  </w:tcBorders>
                  <w:noWrap w:val="0"/>
                  <w:vAlign w:val="center"/>
                </w:tcPr>
                <w:p w14:paraId="7DB1C2CB">
                  <w:pPr>
                    <w:pStyle w:val="37"/>
                    <w:bidi w:val="0"/>
                    <w:rPr>
                      <w:rFonts w:ascii="Times New Roman" w:hAnsi="Times New Roman"/>
                      <w:bCs/>
                      <w:color w:val="auto"/>
                      <w:kern w:val="0"/>
                      <w:szCs w:val="21"/>
                      <w:highlight w:val="none"/>
                    </w:rPr>
                  </w:pPr>
                  <w:r>
                    <w:rPr>
                      <w:color w:val="auto"/>
                      <w:highlight w:val="none"/>
                    </w:rPr>
                    <w:t>主变、箱变</w:t>
                  </w:r>
                </w:p>
              </w:tc>
              <w:tc>
                <w:tcPr>
                  <w:tcW w:w="1326" w:type="dxa"/>
                  <w:tcBorders>
                    <w:tl2br w:val="nil"/>
                    <w:tr2bl w:val="nil"/>
                  </w:tcBorders>
                  <w:noWrap w:val="0"/>
                  <w:vAlign w:val="center"/>
                </w:tcPr>
                <w:p w14:paraId="462224DA">
                  <w:pPr>
                    <w:pStyle w:val="37"/>
                    <w:bidi w:val="0"/>
                    <w:rPr>
                      <w:rFonts w:hint="default" w:ascii="Times New Roman" w:hAnsi="Times New Roman"/>
                      <w:bCs/>
                      <w:color w:val="auto"/>
                      <w:szCs w:val="21"/>
                      <w:highlight w:val="none"/>
                      <w:lang w:val="en-US"/>
                    </w:rPr>
                  </w:pPr>
                  <w:r>
                    <w:rPr>
                      <w:rFonts w:hint="eastAsia"/>
                      <w:color w:val="auto"/>
                      <w:highlight w:val="none"/>
                      <w:lang w:val="en-US" w:eastAsia="zh-CN"/>
                    </w:rPr>
                    <w:t>31.0t</w:t>
                  </w:r>
                </w:p>
              </w:tc>
              <w:tc>
                <w:tcPr>
                  <w:tcW w:w="1870" w:type="dxa"/>
                  <w:tcBorders>
                    <w:tl2br w:val="nil"/>
                    <w:tr2bl w:val="nil"/>
                  </w:tcBorders>
                  <w:noWrap w:val="0"/>
                  <w:vAlign w:val="center"/>
                </w:tcPr>
                <w:p w14:paraId="14C9B5A7">
                  <w:pPr>
                    <w:pStyle w:val="37"/>
                    <w:bidi w:val="0"/>
                    <w:rPr>
                      <w:rFonts w:ascii="Times New Roman" w:hAnsi="Times New Roman"/>
                      <w:bCs/>
                      <w:color w:val="auto"/>
                      <w:kern w:val="0"/>
                      <w:szCs w:val="21"/>
                      <w:highlight w:val="none"/>
                    </w:rPr>
                  </w:pPr>
                  <w:r>
                    <w:rPr>
                      <w:color w:val="auto"/>
                      <w:highlight w:val="none"/>
                    </w:rPr>
                    <w:t>冷却</w:t>
                  </w:r>
                </w:p>
              </w:tc>
            </w:tr>
            <w:tr w14:paraId="6E3B407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005" w:type="dxa"/>
                  <w:tcBorders>
                    <w:tl2br w:val="nil"/>
                    <w:tr2bl w:val="nil"/>
                  </w:tcBorders>
                  <w:noWrap w:val="0"/>
                  <w:vAlign w:val="center"/>
                </w:tcPr>
                <w:p w14:paraId="66D59EE7">
                  <w:pPr>
                    <w:pStyle w:val="37"/>
                    <w:bidi w:val="0"/>
                    <w:rPr>
                      <w:rFonts w:hint="eastAsia" w:eastAsia="宋体"/>
                      <w:color w:val="auto"/>
                      <w:highlight w:val="none"/>
                      <w:lang w:val="en-US" w:eastAsia="zh-CN"/>
                    </w:rPr>
                  </w:pPr>
                  <w:r>
                    <w:rPr>
                      <w:rFonts w:hint="eastAsia"/>
                      <w:color w:val="auto"/>
                      <w:highlight w:val="none"/>
                      <w:lang w:val="en-US" w:eastAsia="zh-CN"/>
                    </w:rPr>
                    <w:t>2</w:t>
                  </w:r>
                </w:p>
              </w:tc>
              <w:tc>
                <w:tcPr>
                  <w:tcW w:w="1779" w:type="dxa"/>
                  <w:tcBorders>
                    <w:tl2br w:val="nil"/>
                    <w:tr2bl w:val="nil"/>
                  </w:tcBorders>
                  <w:noWrap w:val="0"/>
                  <w:vAlign w:val="center"/>
                </w:tcPr>
                <w:p w14:paraId="27EFCD4D">
                  <w:pPr>
                    <w:pStyle w:val="37"/>
                    <w:bidi w:val="0"/>
                    <w:rPr>
                      <w:rFonts w:hint="eastAsia" w:eastAsia="宋体"/>
                      <w:color w:val="auto"/>
                      <w:highlight w:val="none"/>
                      <w:lang w:val="en-US" w:eastAsia="zh-CN"/>
                    </w:rPr>
                  </w:pPr>
                  <w:r>
                    <w:rPr>
                      <w:rFonts w:hint="eastAsia"/>
                      <w:color w:val="auto"/>
                      <w:highlight w:val="none"/>
                      <w:lang w:val="en-US" w:eastAsia="zh-CN"/>
                    </w:rPr>
                    <w:t>检修费油</w:t>
                  </w:r>
                </w:p>
              </w:tc>
              <w:tc>
                <w:tcPr>
                  <w:tcW w:w="1577" w:type="dxa"/>
                  <w:tcBorders>
                    <w:tl2br w:val="nil"/>
                    <w:tr2bl w:val="nil"/>
                  </w:tcBorders>
                  <w:noWrap w:val="0"/>
                  <w:vAlign w:val="center"/>
                </w:tcPr>
                <w:p w14:paraId="77461485">
                  <w:pPr>
                    <w:pStyle w:val="37"/>
                    <w:bidi w:val="0"/>
                    <w:rPr>
                      <w:rFonts w:hint="eastAsia" w:eastAsia="宋体"/>
                      <w:color w:val="auto"/>
                      <w:highlight w:val="none"/>
                      <w:lang w:val="en-US" w:eastAsia="zh-CN"/>
                    </w:rPr>
                  </w:pPr>
                  <w:r>
                    <w:rPr>
                      <w:rFonts w:hint="eastAsia"/>
                      <w:color w:val="auto"/>
                      <w:highlight w:val="none"/>
                      <w:lang w:val="en-US" w:eastAsia="zh-CN"/>
                    </w:rPr>
                    <w:t>风机机组</w:t>
                  </w:r>
                </w:p>
              </w:tc>
              <w:tc>
                <w:tcPr>
                  <w:tcW w:w="1326" w:type="dxa"/>
                  <w:tcBorders>
                    <w:tl2br w:val="nil"/>
                    <w:tr2bl w:val="nil"/>
                  </w:tcBorders>
                  <w:noWrap w:val="0"/>
                  <w:vAlign w:val="center"/>
                </w:tcPr>
                <w:p w14:paraId="18DCBBA5">
                  <w:pPr>
                    <w:pStyle w:val="37"/>
                    <w:bidi w:val="0"/>
                    <w:rPr>
                      <w:rFonts w:hint="default"/>
                      <w:color w:val="auto"/>
                      <w:highlight w:val="none"/>
                      <w:lang w:val="en-US" w:eastAsia="zh-CN"/>
                    </w:rPr>
                  </w:pPr>
                  <w:r>
                    <w:rPr>
                      <w:rFonts w:hint="eastAsia"/>
                      <w:color w:val="auto"/>
                      <w:highlight w:val="none"/>
                      <w:lang w:val="en-US" w:eastAsia="zh-CN"/>
                    </w:rPr>
                    <w:t>0.25t</w:t>
                  </w:r>
                </w:p>
              </w:tc>
              <w:tc>
                <w:tcPr>
                  <w:tcW w:w="1870" w:type="dxa"/>
                  <w:tcBorders>
                    <w:tl2br w:val="nil"/>
                    <w:tr2bl w:val="nil"/>
                  </w:tcBorders>
                  <w:noWrap w:val="0"/>
                  <w:vAlign w:val="center"/>
                </w:tcPr>
                <w:p w14:paraId="4DD16135">
                  <w:pPr>
                    <w:pStyle w:val="37"/>
                    <w:bidi w:val="0"/>
                    <w:rPr>
                      <w:rFonts w:hint="default" w:eastAsia="宋体"/>
                      <w:color w:val="auto"/>
                      <w:highlight w:val="none"/>
                      <w:lang w:val="en-US" w:eastAsia="zh-CN"/>
                    </w:rPr>
                  </w:pPr>
                  <w:r>
                    <w:rPr>
                      <w:rFonts w:hint="eastAsia"/>
                      <w:color w:val="auto"/>
                      <w:highlight w:val="none"/>
                      <w:lang w:val="en-US" w:eastAsia="zh-CN"/>
                    </w:rPr>
                    <w:t>润滑等</w:t>
                  </w:r>
                </w:p>
              </w:tc>
            </w:tr>
            <w:tr w14:paraId="719BE7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005" w:type="dxa"/>
                  <w:tcBorders>
                    <w:tl2br w:val="nil"/>
                    <w:tr2bl w:val="nil"/>
                  </w:tcBorders>
                  <w:noWrap w:val="0"/>
                  <w:vAlign w:val="center"/>
                </w:tcPr>
                <w:p w14:paraId="513A980B">
                  <w:pPr>
                    <w:pStyle w:val="37"/>
                    <w:bidi w:val="0"/>
                    <w:rPr>
                      <w:rFonts w:hint="eastAsia" w:eastAsia="宋体"/>
                      <w:color w:val="auto"/>
                      <w:highlight w:val="none"/>
                      <w:lang w:val="en-US" w:eastAsia="zh-CN"/>
                    </w:rPr>
                  </w:pPr>
                  <w:r>
                    <w:rPr>
                      <w:rFonts w:hint="eastAsia"/>
                      <w:color w:val="auto"/>
                      <w:highlight w:val="none"/>
                      <w:lang w:val="en-US" w:eastAsia="zh-CN"/>
                    </w:rPr>
                    <w:t>3</w:t>
                  </w:r>
                </w:p>
              </w:tc>
              <w:tc>
                <w:tcPr>
                  <w:tcW w:w="1779" w:type="dxa"/>
                  <w:tcBorders>
                    <w:tl2br w:val="nil"/>
                    <w:tr2bl w:val="nil"/>
                  </w:tcBorders>
                  <w:noWrap w:val="0"/>
                  <w:vAlign w:val="center"/>
                </w:tcPr>
                <w:p w14:paraId="3DB0A9FE">
                  <w:pPr>
                    <w:pStyle w:val="37"/>
                    <w:bidi w:val="0"/>
                    <w:rPr>
                      <w:color w:val="auto"/>
                      <w:highlight w:val="none"/>
                    </w:rPr>
                  </w:pPr>
                  <w:r>
                    <w:rPr>
                      <w:rFonts w:hint="eastAsia"/>
                      <w:color w:val="auto"/>
                      <w:highlight w:val="none"/>
                    </w:rPr>
                    <w:t>废铅酸蓄电池</w:t>
                  </w:r>
                </w:p>
              </w:tc>
              <w:tc>
                <w:tcPr>
                  <w:tcW w:w="1577" w:type="dxa"/>
                  <w:tcBorders>
                    <w:tl2br w:val="nil"/>
                    <w:tr2bl w:val="nil"/>
                  </w:tcBorders>
                  <w:noWrap w:val="0"/>
                  <w:vAlign w:val="center"/>
                </w:tcPr>
                <w:p w14:paraId="25ACF860">
                  <w:pPr>
                    <w:pStyle w:val="37"/>
                    <w:bidi w:val="0"/>
                    <w:rPr>
                      <w:color w:val="auto"/>
                      <w:highlight w:val="none"/>
                    </w:rPr>
                  </w:pPr>
                  <w:r>
                    <w:rPr>
                      <w:rFonts w:hint="eastAsia"/>
                      <w:color w:val="auto"/>
                      <w:highlight w:val="none"/>
                    </w:rPr>
                    <w:t>铅酸蓄电池</w:t>
                  </w:r>
                </w:p>
              </w:tc>
              <w:tc>
                <w:tcPr>
                  <w:tcW w:w="1326" w:type="dxa"/>
                  <w:tcBorders>
                    <w:tl2br w:val="nil"/>
                    <w:tr2bl w:val="nil"/>
                  </w:tcBorders>
                  <w:noWrap w:val="0"/>
                  <w:vAlign w:val="center"/>
                </w:tcPr>
                <w:p w14:paraId="082DAF8A">
                  <w:pPr>
                    <w:pStyle w:val="37"/>
                    <w:bidi w:val="0"/>
                    <w:rPr>
                      <w:rFonts w:hint="eastAsia"/>
                      <w:color w:val="auto"/>
                      <w:highlight w:val="none"/>
                      <w:lang w:val="en-US" w:eastAsia="zh-CN"/>
                    </w:rPr>
                  </w:pPr>
                  <w:r>
                    <w:rPr>
                      <w:color w:val="auto"/>
                      <w:highlight w:val="none"/>
                    </w:rPr>
                    <w:t>0.0</w:t>
                  </w:r>
                  <w:r>
                    <w:rPr>
                      <w:rFonts w:hint="eastAsia"/>
                      <w:color w:val="auto"/>
                      <w:highlight w:val="none"/>
                      <w:lang w:val="en-US" w:eastAsia="zh-CN"/>
                    </w:rPr>
                    <w:t>5</w:t>
                  </w:r>
                  <w:r>
                    <w:rPr>
                      <w:color w:val="auto"/>
                      <w:highlight w:val="none"/>
                    </w:rPr>
                    <w:t>t</w:t>
                  </w:r>
                </w:p>
              </w:tc>
              <w:tc>
                <w:tcPr>
                  <w:tcW w:w="1870" w:type="dxa"/>
                  <w:tcBorders>
                    <w:tl2br w:val="nil"/>
                    <w:tr2bl w:val="nil"/>
                  </w:tcBorders>
                  <w:noWrap w:val="0"/>
                  <w:vAlign w:val="center"/>
                </w:tcPr>
                <w:p w14:paraId="5B82E5D2">
                  <w:pPr>
                    <w:pStyle w:val="37"/>
                    <w:bidi w:val="0"/>
                    <w:rPr>
                      <w:rFonts w:hint="default" w:eastAsia="宋体"/>
                      <w:color w:val="auto"/>
                      <w:highlight w:val="none"/>
                      <w:lang w:val="en-US" w:eastAsia="zh-CN"/>
                    </w:rPr>
                  </w:pPr>
                  <w:r>
                    <w:rPr>
                      <w:rFonts w:hint="eastAsia"/>
                      <w:color w:val="auto"/>
                      <w:highlight w:val="none"/>
                      <w:lang w:val="en-US" w:eastAsia="zh-CN"/>
                    </w:rPr>
                    <w:t>蓄电</w:t>
                  </w:r>
                </w:p>
              </w:tc>
            </w:tr>
            <w:tr w14:paraId="466098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4361" w:type="dxa"/>
                  <w:gridSpan w:val="3"/>
                  <w:tcBorders>
                    <w:tl2br w:val="nil"/>
                    <w:tr2bl w:val="nil"/>
                  </w:tcBorders>
                  <w:noWrap w:val="0"/>
                  <w:vAlign w:val="center"/>
                </w:tcPr>
                <w:p w14:paraId="04EDF9E4">
                  <w:pPr>
                    <w:pStyle w:val="37"/>
                    <w:bidi w:val="0"/>
                    <w:rPr>
                      <w:rFonts w:hint="eastAsia" w:eastAsia="宋体"/>
                      <w:color w:val="auto"/>
                      <w:highlight w:val="none"/>
                      <w:lang w:val="en-US" w:eastAsia="zh-CN"/>
                    </w:rPr>
                  </w:pPr>
                  <w:r>
                    <w:rPr>
                      <w:rFonts w:hint="eastAsia"/>
                      <w:color w:val="auto"/>
                      <w:highlight w:val="none"/>
                      <w:lang w:val="en-US" w:eastAsia="zh-CN"/>
                    </w:rPr>
                    <w:t>合计</w:t>
                  </w:r>
                </w:p>
              </w:tc>
              <w:tc>
                <w:tcPr>
                  <w:tcW w:w="1326" w:type="dxa"/>
                  <w:tcBorders>
                    <w:tl2br w:val="nil"/>
                    <w:tr2bl w:val="nil"/>
                  </w:tcBorders>
                  <w:noWrap w:val="0"/>
                  <w:vAlign w:val="center"/>
                </w:tcPr>
                <w:p w14:paraId="3DB6665E">
                  <w:pPr>
                    <w:pStyle w:val="37"/>
                    <w:bidi w:val="0"/>
                    <w:rPr>
                      <w:rFonts w:hint="default" w:eastAsia="宋体"/>
                      <w:color w:val="auto"/>
                      <w:highlight w:val="none"/>
                      <w:lang w:val="en-US" w:eastAsia="zh-CN"/>
                    </w:rPr>
                  </w:pPr>
                  <w:r>
                    <w:rPr>
                      <w:rFonts w:hint="eastAsia"/>
                      <w:color w:val="auto"/>
                      <w:highlight w:val="none"/>
                      <w:lang w:val="en-US" w:eastAsia="zh-CN"/>
                    </w:rPr>
                    <w:t>31.3</w:t>
                  </w:r>
                  <w:r>
                    <w:rPr>
                      <w:color w:val="auto"/>
                      <w:highlight w:val="none"/>
                    </w:rPr>
                    <w:t>t</w:t>
                  </w:r>
                </w:p>
              </w:tc>
              <w:tc>
                <w:tcPr>
                  <w:tcW w:w="1870" w:type="dxa"/>
                  <w:tcBorders>
                    <w:tl2br w:val="nil"/>
                    <w:tr2bl w:val="nil"/>
                  </w:tcBorders>
                  <w:noWrap w:val="0"/>
                  <w:vAlign w:val="center"/>
                </w:tcPr>
                <w:p w14:paraId="147DABA0">
                  <w:pPr>
                    <w:pStyle w:val="37"/>
                    <w:bidi w:val="0"/>
                    <w:rPr>
                      <w:rFonts w:hint="default"/>
                      <w:color w:val="auto"/>
                      <w:highlight w:val="none"/>
                      <w:lang w:val="en-US" w:eastAsia="zh-CN"/>
                    </w:rPr>
                  </w:pPr>
                  <w:r>
                    <w:rPr>
                      <w:rFonts w:hint="eastAsia"/>
                      <w:color w:val="auto"/>
                      <w:highlight w:val="none"/>
                      <w:lang w:val="en-US" w:eastAsia="zh-CN"/>
                    </w:rPr>
                    <w:t>/</w:t>
                  </w:r>
                </w:p>
              </w:tc>
            </w:tr>
          </w:tbl>
          <w:p w14:paraId="774849AB">
            <w:pPr>
              <w:spacing w:line="480" w:lineRule="exact"/>
              <w:ind w:firstLine="482" w:firstLineChars="200"/>
              <w:rPr>
                <w:b/>
                <w:bCs/>
                <w:color w:val="auto"/>
                <w:sz w:val="24"/>
                <w:highlight w:val="none"/>
              </w:rPr>
            </w:pPr>
            <w:r>
              <w:rPr>
                <w:rFonts w:hint="eastAsia"/>
                <w:b/>
                <w:bCs/>
                <w:color w:val="auto"/>
                <w:sz w:val="24"/>
                <w:highlight w:val="none"/>
                <w:lang w:val="en-US" w:eastAsia="zh-CN"/>
              </w:rPr>
              <w:t>7.2</w:t>
            </w:r>
            <w:r>
              <w:rPr>
                <w:b/>
                <w:bCs/>
                <w:color w:val="auto"/>
                <w:sz w:val="24"/>
                <w:highlight w:val="none"/>
              </w:rPr>
              <w:t>风险潜势初判</w:t>
            </w:r>
          </w:p>
          <w:p w14:paraId="203BB6C9">
            <w:pPr>
              <w:spacing w:line="480" w:lineRule="exact"/>
              <w:ind w:firstLine="480" w:firstLineChars="200"/>
              <w:rPr>
                <w:color w:val="auto"/>
                <w:sz w:val="24"/>
                <w:highlight w:val="none"/>
              </w:rPr>
            </w:pPr>
            <w:r>
              <w:rPr>
                <w:color w:val="auto"/>
                <w:sz w:val="24"/>
                <w:highlight w:val="none"/>
              </w:rPr>
              <w:t>根据HJ169-2018附录C，计算所涉及的每种危险物质在厂界内的最大存在总量与其在附录B中对应临界量的比值Q，当只涉及一种危险物质时，计算该物质的总量与其临界量比值，即为Q；当存在多种危险物质时，则按下式计算物质总量与其临界量比值（Q）。</w:t>
            </w:r>
          </w:p>
          <w:p w14:paraId="62F1D04A">
            <w:pPr>
              <w:spacing w:line="480" w:lineRule="exact"/>
              <w:ind w:firstLine="480" w:firstLineChars="200"/>
              <w:jc w:val="center"/>
              <w:rPr>
                <w:color w:val="auto"/>
                <w:sz w:val="24"/>
                <w:highlight w:val="none"/>
              </w:rPr>
            </w:pPr>
            <w:r>
              <w:rPr>
                <w:color w:val="auto"/>
                <w:sz w:val="24"/>
                <w:highlight w:val="none"/>
              </w:rPr>
              <w:t>Q=q1/Q1+q</w:t>
            </w:r>
            <w:r>
              <w:rPr>
                <w:rFonts w:hint="eastAsia"/>
                <w:color w:val="auto"/>
                <w:sz w:val="24"/>
                <w:highlight w:val="none"/>
                <w:lang w:val="en-US" w:eastAsia="zh-CN"/>
              </w:rPr>
              <w:t>2</w:t>
            </w:r>
            <w:r>
              <w:rPr>
                <w:color w:val="auto"/>
                <w:sz w:val="24"/>
                <w:highlight w:val="none"/>
              </w:rPr>
              <w:t>/Q1+........+qn/Qn</w:t>
            </w:r>
          </w:p>
          <w:p w14:paraId="2D8BF374">
            <w:pPr>
              <w:spacing w:line="480" w:lineRule="exact"/>
              <w:ind w:firstLine="480" w:firstLineChars="200"/>
              <w:rPr>
                <w:color w:val="auto"/>
                <w:sz w:val="24"/>
                <w:highlight w:val="none"/>
              </w:rPr>
            </w:pPr>
            <w:r>
              <w:rPr>
                <w:color w:val="auto"/>
                <w:sz w:val="24"/>
                <w:highlight w:val="none"/>
              </w:rPr>
              <w:t>式中：q1，q2，…，qn——每种危险物质的最大存在总量，单位为吨（t）；</w:t>
            </w:r>
          </w:p>
          <w:p w14:paraId="2372E11C">
            <w:pPr>
              <w:spacing w:line="480" w:lineRule="exact"/>
              <w:ind w:firstLine="480" w:firstLineChars="200"/>
              <w:rPr>
                <w:color w:val="auto"/>
                <w:sz w:val="24"/>
                <w:highlight w:val="none"/>
              </w:rPr>
            </w:pPr>
            <w:r>
              <w:rPr>
                <w:color w:val="auto"/>
                <w:sz w:val="24"/>
                <w:highlight w:val="none"/>
              </w:rPr>
              <w:t>Q1，Q2，…，Qn——每种危险物质相对应的临界量，单位为吨（t）。</w:t>
            </w:r>
          </w:p>
          <w:p w14:paraId="09E84C3F">
            <w:pPr>
              <w:spacing w:line="480" w:lineRule="exact"/>
              <w:ind w:firstLine="480" w:firstLineChars="200"/>
              <w:rPr>
                <w:color w:val="auto"/>
                <w:sz w:val="24"/>
                <w:highlight w:val="none"/>
              </w:rPr>
            </w:pPr>
            <w:r>
              <w:rPr>
                <w:rFonts w:hint="eastAsia"/>
                <w:color w:val="auto"/>
                <w:sz w:val="24"/>
                <w:highlight w:val="none"/>
              </w:rPr>
              <w:t>油类物质</w:t>
            </w:r>
            <w:r>
              <w:rPr>
                <w:color w:val="auto"/>
                <w:sz w:val="24"/>
                <w:highlight w:val="none"/>
              </w:rPr>
              <w:t>临界量为</w:t>
            </w:r>
            <w:r>
              <w:rPr>
                <w:rFonts w:hint="eastAsia"/>
                <w:color w:val="auto"/>
                <w:sz w:val="24"/>
                <w:highlight w:val="none"/>
              </w:rPr>
              <w:t>2</w:t>
            </w:r>
            <w:r>
              <w:rPr>
                <w:rFonts w:hint="eastAsia"/>
                <w:color w:val="auto"/>
                <w:sz w:val="24"/>
                <w:highlight w:val="none"/>
                <w:lang w:val="en-US" w:eastAsia="zh-CN"/>
              </w:rPr>
              <w:t>500</w:t>
            </w:r>
            <w:r>
              <w:rPr>
                <w:color w:val="auto"/>
                <w:sz w:val="24"/>
                <w:highlight w:val="none"/>
              </w:rPr>
              <w:t>t，计算出Q</w:t>
            </w:r>
            <w:r>
              <w:rPr>
                <w:rFonts w:hint="eastAsia"/>
                <w:color w:val="auto"/>
                <w:sz w:val="24"/>
                <w:highlight w:val="none"/>
                <w:lang w:val="en-US" w:eastAsia="zh-CN"/>
              </w:rPr>
              <w:t>1</w:t>
            </w:r>
            <w:r>
              <w:rPr>
                <w:color w:val="auto"/>
                <w:sz w:val="24"/>
                <w:highlight w:val="none"/>
              </w:rPr>
              <w:t>=</w:t>
            </w:r>
            <w:r>
              <w:rPr>
                <w:rFonts w:hint="eastAsia"/>
                <w:color w:val="auto"/>
                <w:sz w:val="24"/>
                <w:highlight w:val="none"/>
                <w:lang w:val="en-US" w:eastAsia="zh-CN"/>
              </w:rPr>
              <w:t>0.0125</w:t>
            </w:r>
            <w:r>
              <w:rPr>
                <w:color w:val="auto"/>
                <w:sz w:val="24"/>
                <w:highlight w:val="none"/>
              </w:rPr>
              <w:t>，</w:t>
            </w:r>
            <w:r>
              <w:rPr>
                <w:rFonts w:hint="eastAsia"/>
                <w:color w:val="auto"/>
                <w:sz w:val="24"/>
                <w:highlight w:val="none"/>
                <w:lang w:val="en-US" w:eastAsia="zh-CN"/>
              </w:rPr>
              <w:t>铅酸蓄电池中硫酸的临界量为10t，</w:t>
            </w:r>
            <w:r>
              <w:rPr>
                <w:color w:val="auto"/>
                <w:sz w:val="24"/>
                <w:highlight w:val="none"/>
              </w:rPr>
              <w:t>计算出Q</w:t>
            </w:r>
            <w:r>
              <w:rPr>
                <w:rFonts w:hint="eastAsia"/>
                <w:color w:val="auto"/>
                <w:sz w:val="24"/>
                <w:highlight w:val="none"/>
                <w:lang w:val="en-US" w:eastAsia="zh-CN"/>
              </w:rPr>
              <w:t>1</w:t>
            </w:r>
            <w:r>
              <w:rPr>
                <w:color w:val="auto"/>
                <w:sz w:val="24"/>
                <w:highlight w:val="none"/>
              </w:rPr>
              <w:t>=</w:t>
            </w:r>
            <w:r>
              <w:rPr>
                <w:rFonts w:hint="eastAsia"/>
                <w:color w:val="auto"/>
                <w:sz w:val="24"/>
                <w:highlight w:val="none"/>
              </w:rPr>
              <w:t>0.</w:t>
            </w:r>
            <w:r>
              <w:rPr>
                <w:rFonts w:hint="eastAsia"/>
                <w:color w:val="auto"/>
                <w:sz w:val="24"/>
                <w:highlight w:val="none"/>
                <w:lang w:val="en-US" w:eastAsia="zh-CN"/>
              </w:rPr>
              <w:t>005</w:t>
            </w:r>
            <w:r>
              <w:rPr>
                <w:color w:val="auto"/>
                <w:sz w:val="24"/>
                <w:highlight w:val="none"/>
              </w:rPr>
              <w:t>，Q</w:t>
            </w:r>
            <w:r>
              <w:rPr>
                <w:rFonts w:hint="eastAsia"/>
                <w:color w:val="auto"/>
                <w:sz w:val="24"/>
                <w:highlight w:val="none"/>
                <w:lang w:val="en-US" w:eastAsia="zh-CN"/>
              </w:rPr>
              <w:t>=0.013</w:t>
            </w:r>
            <w:r>
              <w:rPr>
                <w:color w:val="auto"/>
                <w:sz w:val="24"/>
                <w:highlight w:val="none"/>
              </w:rPr>
              <w:t>＜1，故本项目的风险潜势为Ⅰ</w:t>
            </w:r>
            <w:r>
              <w:rPr>
                <w:rFonts w:hint="eastAsia"/>
                <w:color w:val="auto"/>
                <w:sz w:val="24"/>
                <w:highlight w:val="none"/>
              </w:rPr>
              <w:t>，</w:t>
            </w:r>
            <w:r>
              <w:rPr>
                <w:color w:val="auto"/>
                <w:sz w:val="24"/>
                <w:highlight w:val="none"/>
              </w:rPr>
              <w:t>根据《建设项目环境风险评价技术导则》（HJ169-2018），本次评价进行简单分析。</w:t>
            </w:r>
          </w:p>
          <w:p w14:paraId="5F9607BE">
            <w:pPr>
              <w:spacing w:line="480" w:lineRule="exact"/>
              <w:ind w:firstLine="482" w:firstLineChars="200"/>
              <w:rPr>
                <w:b/>
                <w:bCs/>
                <w:color w:val="auto"/>
                <w:sz w:val="24"/>
                <w:highlight w:val="none"/>
              </w:rPr>
            </w:pPr>
            <w:r>
              <w:rPr>
                <w:rFonts w:hint="eastAsia"/>
                <w:b/>
                <w:bCs/>
                <w:color w:val="auto"/>
                <w:sz w:val="24"/>
                <w:highlight w:val="none"/>
                <w:lang w:val="en-US" w:eastAsia="zh-CN"/>
              </w:rPr>
              <w:t>7.3</w:t>
            </w:r>
            <w:r>
              <w:rPr>
                <w:b/>
                <w:bCs/>
                <w:color w:val="auto"/>
                <w:sz w:val="24"/>
                <w:highlight w:val="none"/>
              </w:rPr>
              <w:t>环境敏感目标调查</w:t>
            </w:r>
          </w:p>
          <w:p w14:paraId="51CDF3BB">
            <w:pPr>
              <w:spacing w:line="480" w:lineRule="exact"/>
              <w:ind w:firstLine="480" w:firstLineChars="200"/>
              <w:rPr>
                <w:color w:val="auto"/>
                <w:sz w:val="24"/>
                <w:highlight w:val="none"/>
              </w:rPr>
            </w:pPr>
            <w:r>
              <w:rPr>
                <w:color w:val="auto"/>
                <w:sz w:val="24"/>
                <w:highlight w:val="none"/>
              </w:rPr>
              <w:t>环境风险主要为主变压器在运营期发生事故时泄漏对周边水体的影响。项目环境风险保护目标为</w:t>
            </w:r>
            <w:r>
              <w:rPr>
                <w:rFonts w:hint="eastAsia"/>
                <w:color w:val="auto"/>
                <w:sz w:val="24"/>
                <w:highlight w:val="none"/>
                <w:lang w:val="en-US" w:eastAsia="zh-CN" w:bidi="ar"/>
              </w:rPr>
              <w:t>者干河</w:t>
            </w:r>
            <w:r>
              <w:rPr>
                <w:rFonts w:hint="eastAsia"/>
                <w:color w:val="auto"/>
                <w:sz w:val="24"/>
                <w:highlight w:val="none"/>
                <w:lang w:val="en-US" w:eastAsia="zh-CN"/>
              </w:rPr>
              <w:t>及其支流</w:t>
            </w:r>
            <w:r>
              <w:rPr>
                <w:color w:val="auto"/>
                <w:sz w:val="24"/>
                <w:highlight w:val="none"/>
              </w:rPr>
              <w:t>。</w:t>
            </w:r>
          </w:p>
          <w:p w14:paraId="77828058">
            <w:pPr>
              <w:spacing w:line="480" w:lineRule="exact"/>
              <w:ind w:firstLine="482" w:firstLineChars="200"/>
              <w:rPr>
                <w:b/>
                <w:bCs/>
                <w:color w:val="auto"/>
                <w:sz w:val="24"/>
                <w:highlight w:val="none"/>
              </w:rPr>
            </w:pPr>
            <w:r>
              <w:rPr>
                <w:rFonts w:hint="eastAsia"/>
                <w:b/>
                <w:bCs/>
                <w:color w:val="auto"/>
                <w:sz w:val="24"/>
                <w:highlight w:val="none"/>
                <w:lang w:val="en-US" w:eastAsia="zh-CN"/>
              </w:rPr>
              <w:t>7.4</w:t>
            </w:r>
            <w:r>
              <w:rPr>
                <w:b/>
                <w:bCs/>
                <w:color w:val="auto"/>
                <w:sz w:val="24"/>
                <w:highlight w:val="none"/>
              </w:rPr>
              <w:t>环境风险识别</w:t>
            </w:r>
          </w:p>
          <w:p w14:paraId="13C46071">
            <w:pPr>
              <w:spacing w:line="480" w:lineRule="exact"/>
              <w:ind w:firstLine="480" w:firstLineChars="200"/>
              <w:rPr>
                <w:color w:val="auto"/>
                <w:sz w:val="24"/>
                <w:highlight w:val="none"/>
              </w:rPr>
            </w:pPr>
            <w:r>
              <w:rPr>
                <w:color w:val="auto"/>
                <w:sz w:val="24"/>
                <w:highlight w:val="none"/>
              </w:rPr>
              <w:t>项目环境风险主要</w:t>
            </w:r>
            <w:r>
              <w:rPr>
                <w:rFonts w:hint="eastAsia"/>
                <w:color w:val="auto"/>
                <w:sz w:val="24"/>
                <w:highlight w:val="none"/>
              </w:rPr>
              <w:t>为</w:t>
            </w:r>
            <w:r>
              <w:rPr>
                <w:color w:val="auto"/>
                <w:sz w:val="24"/>
                <w:highlight w:val="none"/>
              </w:rPr>
              <w:t>变压器油等可燃物</w:t>
            </w:r>
            <w:r>
              <w:rPr>
                <w:rFonts w:hint="eastAsia"/>
                <w:color w:val="auto"/>
                <w:sz w:val="24"/>
                <w:highlight w:val="none"/>
              </w:rPr>
              <w:t>（</w:t>
            </w:r>
            <w:r>
              <w:rPr>
                <w:color w:val="auto"/>
                <w:sz w:val="24"/>
                <w:highlight w:val="none"/>
              </w:rPr>
              <w:t>或助燃物</w:t>
            </w:r>
            <w:r>
              <w:rPr>
                <w:rFonts w:hint="eastAsia"/>
                <w:color w:val="auto"/>
                <w:sz w:val="24"/>
                <w:highlight w:val="none"/>
              </w:rPr>
              <w:t>）</w:t>
            </w:r>
            <w:r>
              <w:rPr>
                <w:color w:val="auto"/>
                <w:sz w:val="24"/>
                <w:highlight w:val="none"/>
              </w:rPr>
              <w:t>泄漏污染周边水体。</w:t>
            </w:r>
          </w:p>
          <w:p w14:paraId="4FC1DC2F">
            <w:pPr>
              <w:spacing w:line="480" w:lineRule="exact"/>
              <w:ind w:firstLine="482" w:firstLineChars="200"/>
              <w:rPr>
                <w:rFonts w:hint="eastAsia"/>
                <w:b/>
                <w:bCs/>
                <w:color w:val="auto"/>
                <w:sz w:val="24"/>
                <w:highlight w:val="none"/>
              </w:rPr>
            </w:pPr>
            <w:r>
              <w:rPr>
                <w:rFonts w:hint="eastAsia"/>
                <w:b/>
                <w:bCs/>
                <w:color w:val="auto"/>
                <w:sz w:val="24"/>
                <w:highlight w:val="none"/>
                <w:lang w:val="en-US" w:eastAsia="zh-CN"/>
              </w:rPr>
              <w:t>7.5</w:t>
            </w:r>
            <w:r>
              <w:rPr>
                <w:b/>
                <w:bCs/>
                <w:color w:val="auto"/>
                <w:sz w:val="24"/>
                <w:highlight w:val="none"/>
              </w:rPr>
              <w:t>环境风险分析及防范措施</w:t>
            </w:r>
          </w:p>
          <w:p w14:paraId="4EF3EAF8">
            <w:pPr>
              <w:spacing w:line="480" w:lineRule="exact"/>
              <w:ind w:firstLine="480" w:firstLineChars="200"/>
              <w:rPr>
                <w:rFonts w:hint="eastAsia"/>
                <w:color w:val="auto"/>
                <w:sz w:val="24"/>
                <w:highlight w:val="none"/>
              </w:rPr>
            </w:pPr>
            <w:r>
              <w:rPr>
                <w:rFonts w:hint="eastAsia"/>
                <w:color w:val="auto"/>
                <w:sz w:val="24"/>
                <w:highlight w:val="none"/>
                <w:lang w:eastAsia="zh-CN"/>
              </w:rPr>
              <w:t>（</w:t>
            </w:r>
            <w:r>
              <w:rPr>
                <w:color w:val="auto"/>
                <w:sz w:val="24"/>
                <w:highlight w:val="none"/>
              </w:rPr>
              <w:t>1）环境风险分析</w:t>
            </w:r>
          </w:p>
          <w:p w14:paraId="2E5629F1">
            <w:pPr>
              <w:spacing w:line="480" w:lineRule="exact"/>
              <w:ind w:firstLine="480" w:firstLineChars="200"/>
              <w:rPr>
                <w:rFonts w:hint="eastAsia"/>
                <w:color w:val="auto"/>
                <w:sz w:val="24"/>
                <w:highlight w:val="none"/>
              </w:rPr>
            </w:pPr>
            <w:r>
              <w:rPr>
                <w:color w:val="auto"/>
                <w:sz w:val="24"/>
                <w:highlight w:val="none"/>
              </w:rPr>
              <w:t>变压器外壳内装有大量变压器油，一般只有发生事故时才会排油。升压站在正常运行状态下，主变压器油定期补充，不会产生废变压器油。在变压器</w:t>
            </w:r>
            <w:r>
              <w:rPr>
                <w:rFonts w:hint="eastAsia"/>
                <w:color w:val="auto"/>
                <w:sz w:val="24"/>
                <w:highlight w:val="none"/>
                <w:lang w:val="en-US" w:eastAsia="zh-CN"/>
              </w:rPr>
              <w:t>或风机机组</w:t>
            </w:r>
            <w:r>
              <w:rPr>
                <w:color w:val="auto"/>
                <w:sz w:val="24"/>
                <w:highlight w:val="none"/>
              </w:rPr>
              <w:t>出现故障或检修时可能会有少量</w:t>
            </w:r>
            <w:r>
              <w:rPr>
                <w:rFonts w:hint="eastAsia"/>
                <w:color w:val="auto"/>
                <w:sz w:val="24"/>
                <w:highlight w:val="none"/>
                <w:lang w:val="en-US" w:eastAsia="zh-CN"/>
              </w:rPr>
              <w:t>检修</w:t>
            </w:r>
            <w:r>
              <w:rPr>
                <w:color w:val="auto"/>
                <w:sz w:val="24"/>
                <w:highlight w:val="none"/>
              </w:rPr>
              <w:t>废油产生</w:t>
            </w:r>
            <w:r>
              <w:rPr>
                <w:rFonts w:hint="eastAsia"/>
                <w:color w:val="auto"/>
                <w:sz w:val="24"/>
                <w:highlight w:val="none"/>
              </w:rPr>
              <w:t>。</w:t>
            </w:r>
            <w:r>
              <w:rPr>
                <w:rFonts w:hint="eastAsia"/>
                <w:color w:val="auto"/>
                <w:sz w:val="24"/>
                <w:highlight w:val="none"/>
                <w:lang w:val="en-US" w:eastAsia="zh-CN"/>
              </w:rPr>
              <w:t>设备</w:t>
            </w:r>
            <w:r>
              <w:rPr>
                <w:color w:val="auto"/>
                <w:sz w:val="24"/>
                <w:highlight w:val="none"/>
              </w:rPr>
              <w:t>检修时</w:t>
            </w:r>
            <w:r>
              <w:rPr>
                <w:rFonts w:hint="eastAsia"/>
                <w:color w:val="auto"/>
                <w:sz w:val="24"/>
                <w:highlight w:val="none"/>
              </w:rPr>
              <w:t>，</w:t>
            </w:r>
            <w:r>
              <w:rPr>
                <w:rFonts w:hint="eastAsia"/>
                <w:color w:val="auto"/>
                <w:sz w:val="24"/>
                <w:highlight w:val="none"/>
                <w:lang w:val="en-US" w:eastAsia="zh-CN"/>
              </w:rPr>
              <w:t>将检修费油收集和</w:t>
            </w:r>
            <w:r>
              <w:rPr>
                <w:color w:val="auto"/>
                <w:sz w:val="24"/>
                <w:highlight w:val="none"/>
              </w:rPr>
              <w:t>油抹布</w:t>
            </w:r>
            <w:r>
              <w:rPr>
                <w:rFonts w:hint="eastAsia"/>
                <w:color w:val="auto"/>
                <w:sz w:val="24"/>
                <w:highlight w:val="none"/>
                <w:lang w:val="en-US" w:eastAsia="zh-CN"/>
              </w:rPr>
              <w:t>等</w:t>
            </w:r>
            <w:r>
              <w:rPr>
                <w:color w:val="auto"/>
                <w:sz w:val="24"/>
                <w:highlight w:val="none"/>
              </w:rPr>
              <w:t>集中收集暂存</w:t>
            </w:r>
            <w:r>
              <w:rPr>
                <w:rFonts w:hint="eastAsia"/>
                <w:color w:val="auto"/>
                <w:sz w:val="24"/>
                <w:highlight w:val="none"/>
                <w:lang w:val="en-US" w:eastAsia="zh-CN"/>
              </w:rPr>
              <w:t>，</w:t>
            </w:r>
            <w:r>
              <w:rPr>
                <w:color w:val="auto"/>
                <w:sz w:val="24"/>
                <w:highlight w:val="none"/>
              </w:rPr>
              <w:t>定期委托有资质的单位进行清运及处置。在事故状态下会有部分变压器油外漏，进入事故油池内，然后交由有资质的单位统一处置，对环境的影响很小。</w:t>
            </w:r>
          </w:p>
          <w:p w14:paraId="1CC82C1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highlight w:val="none"/>
              </w:rPr>
            </w:pPr>
            <w:r>
              <w:rPr>
                <w:rFonts w:hint="eastAsia"/>
                <w:color w:val="auto"/>
                <w:sz w:val="24"/>
                <w:highlight w:val="none"/>
                <w:lang w:eastAsia="zh-CN"/>
              </w:rPr>
              <w:t>（</w:t>
            </w:r>
            <w:r>
              <w:rPr>
                <w:color w:val="auto"/>
                <w:sz w:val="24"/>
                <w:highlight w:val="none"/>
              </w:rPr>
              <w:t>2）防范措施</w:t>
            </w:r>
          </w:p>
          <w:p w14:paraId="7118FD6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highlight w:val="none"/>
              </w:rPr>
            </w:pPr>
            <w:r>
              <w:rPr>
                <w:color w:val="auto"/>
                <w:sz w:val="24"/>
                <w:highlight w:val="none"/>
              </w:rPr>
              <w:t>①变压器冷却油只在事故时排放，</w:t>
            </w:r>
            <w:r>
              <w:rPr>
                <w:rFonts w:hint="eastAsia"/>
                <w:color w:val="auto"/>
                <w:sz w:val="24"/>
                <w:highlight w:val="none"/>
              </w:rPr>
              <w:t>事故油</w:t>
            </w:r>
            <w:r>
              <w:rPr>
                <w:color w:val="auto"/>
                <w:sz w:val="24"/>
                <w:highlight w:val="none"/>
              </w:rPr>
              <w:t>通过排油管道排入事故油池，</w:t>
            </w:r>
            <w:r>
              <w:rPr>
                <w:rFonts w:hint="eastAsia"/>
                <w:color w:val="auto"/>
                <w:sz w:val="24"/>
                <w:highlight w:val="none"/>
              </w:rPr>
              <w:t>可回用的部分进行</w:t>
            </w:r>
            <w:r>
              <w:rPr>
                <w:color w:val="auto"/>
                <w:sz w:val="24"/>
                <w:highlight w:val="none"/>
              </w:rPr>
              <w:t>回收利用，不可回用的部分交由有危险废物处置资质的单位进行处置，并严格执行危险废物转移联单制度。危险废物还应按《危险废物转移联单管理办法》进行分类管理、存放、运输和处理处置。</w:t>
            </w:r>
          </w:p>
          <w:p w14:paraId="049E4FE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highlight w:val="none"/>
              </w:rPr>
            </w:pPr>
            <w:r>
              <w:rPr>
                <w:color w:val="auto"/>
                <w:sz w:val="24"/>
                <w:highlight w:val="none"/>
              </w:rPr>
              <w:t>②</w:t>
            </w:r>
            <w:r>
              <w:rPr>
                <w:rFonts w:hint="eastAsia"/>
                <w:color w:val="auto"/>
                <w:sz w:val="24"/>
                <w:highlight w:val="none"/>
              </w:rPr>
              <w:t>本项目升压站主变压器选用油浸式变压器，依靠变压器油作冷却介质。在事故状态下，可能会发生变压器油泄漏。根据建设单位资料，本项目</w:t>
            </w:r>
            <w:r>
              <w:rPr>
                <w:rFonts w:hint="eastAsia"/>
                <w:color w:val="auto"/>
                <w:sz w:val="24"/>
                <w:highlight w:val="none"/>
                <w:lang w:val="en-US" w:eastAsia="zh-CN"/>
              </w:rPr>
              <w:t>在现有升压站内新增</w:t>
            </w:r>
            <w:r>
              <w:rPr>
                <w:rFonts w:hint="eastAsia"/>
                <w:color w:val="auto"/>
                <w:sz w:val="24"/>
                <w:highlight w:val="none"/>
              </w:rPr>
              <w:t>1台主变压器，冷却油量约</w:t>
            </w:r>
            <w:r>
              <w:rPr>
                <w:rFonts w:hint="eastAsia"/>
                <w:color w:val="auto"/>
                <w:sz w:val="24"/>
                <w:highlight w:val="none"/>
                <w:lang w:val="en-US" w:eastAsia="zh-CN"/>
              </w:rPr>
              <w:t>23</w:t>
            </w:r>
            <w:r>
              <w:rPr>
                <w:rFonts w:hint="eastAsia"/>
                <w:color w:val="auto"/>
                <w:sz w:val="24"/>
                <w:highlight w:val="none"/>
              </w:rPr>
              <w:t>t。变压器油容重为0.895t/m</w:t>
            </w:r>
            <w:r>
              <w:rPr>
                <w:rFonts w:hint="eastAsia"/>
                <w:color w:val="auto"/>
                <w:sz w:val="24"/>
                <w:highlight w:val="none"/>
                <w:vertAlign w:val="superscript"/>
              </w:rPr>
              <w:t>3</w:t>
            </w:r>
            <w:r>
              <w:rPr>
                <w:rFonts w:hint="eastAsia"/>
                <w:color w:val="auto"/>
                <w:sz w:val="24"/>
                <w:highlight w:val="none"/>
              </w:rPr>
              <w:t>，计算后需在升压站主变场地内设置一座容积不小于</w:t>
            </w:r>
            <w:r>
              <w:rPr>
                <w:rFonts w:hint="eastAsia"/>
                <w:color w:val="auto"/>
                <w:sz w:val="24"/>
                <w:highlight w:val="none"/>
                <w:lang w:val="en-US" w:eastAsia="zh-CN"/>
              </w:rPr>
              <w:t>35</w:t>
            </w:r>
            <w:r>
              <w:rPr>
                <w:rFonts w:hint="eastAsia"/>
                <w:color w:val="auto"/>
                <w:sz w:val="24"/>
                <w:highlight w:val="none"/>
              </w:rPr>
              <w:t>m</w:t>
            </w:r>
            <w:r>
              <w:rPr>
                <w:rFonts w:hint="eastAsia"/>
                <w:color w:val="auto"/>
                <w:sz w:val="24"/>
                <w:highlight w:val="none"/>
                <w:vertAlign w:val="superscript"/>
              </w:rPr>
              <w:t>3</w:t>
            </w:r>
            <w:r>
              <w:rPr>
                <w:rFonts w:hint="eastAsia"/>
                <w:color w:val="auto"/>
                <w:sz w:val="24"/>
                <w:highlight w:val="none"/>
              </w:rPr>
              <w:t>的事故油池</w:t>
            </w:r>
            <w:r>
              <w:rPr>
                <w:rFonts w:hint="eastAsia"/>
                <w:color w:val="auto"/>
                <w:sz w:val="24"/>
                <w:highlight w:val="none"/>
                <w:lang w:eastAsia="zh-CN"/>
              </w:rPr>
              <w:t>。</w:t>
            </w:r>
            <w:r>
              <w:rPr>
                <w:color w:val="auto"/>
                <w:sz w:val="24"/>
                <w:highlight w:val="none"/>
              </w:rPr>
              <w:t>主变与事故油池</w:t>
            </w:r>
            <w:r>
              <w:rPr>
                <w:rFonts w:hint="eastAsia"/>
                <w:color w:val="auto"/>
                <w:sz w:val="24"/>
                <w:highlight w:val="none"/>
              </w:rPr>
              <w:t>由</w:t>
            </w:r>
            <w:r>
              <w:rPr>
                <w:color w:val="auto"/>
                <w:sz w:val="24"/>
                <w:highlight w:val="none"/>
              </w:rPr>
              <w:t>排油管道连接，主变漏油时，变压器废油经排油管道进入事故油池。事故油池</w:t>
            </w:r>
            <w:r>
              <w:rPr>
                <w:rFonts w:hint="eastAsia"/>
                <w:color w:val="auto"/>
                <w:sz w:val="24"/>
                <w:highlight w:val="none"/>
              </w:rPr>
              <w:t>设置</w:t>
            </w:r>
            <w:r>
              <w:rPr>
                <w:color w:val="auto"/>
                <w:sz w:val="24"/>
                <w:highlight w:val="none"/>
              </w:rPr>
              <w:t>耐腐蚀的硬化地面和基础防渗层（渗透系数≤1.0×10</w:t>
            </w:r>
            <w:r>
              <w:rPr>
                <w:rFonts w:hint="eastAsia"/>
                <w:color w:val="auto"/>
                <w:sz w:val="24"/>
                <w:highlight w:val="none"/>
                <w:vertAlign w:val="superscript"/>
                <w:lang w:val="en-US" w:eastAsia="zh-CN"/>
              </w:rPr>
              <w:t>-</w:t>
            </w:r>
            <w:r>
              <w:rPr>
                <w:color w:val="auto"/>
                <w:sz w:val="24"/>
                <w:highlight w:val="none"/>
                <w:vertAlign w:val="superscript"/>
              </w:rPr>
              <w:t>10</w:t>
            </w:r>
            <w:r>
              <w:rPr>
                <w:color w:val="auto"/>
                <w:sz w:val="24"/>
                <w:highlight w:val="none"/>
              </w:rPr>
              <w:t>cm/s），地面无裂隙；同时加强升压站场地内用油管理，制定环境风险防范措施和应急预案，严防升压站漏油事故影响区域水体。</w:t>
            </w:r>
          </w:p>
          <w:p w14:paraId="58CBAE95">
            <w:pPr>
              <w:tabs>
                <w:tab w:val="left" w:pos="713"/>
              </w:tabs>
              <w:bidi w:val="0"/>
              <w:jc w:val="left"/>
              <w:rPr>
                <w:rFonts w:hint="eastAsia" w:ascii="Times New Roman" w:hAnsi="Times New Roman" w:cs="Times New Roman" w:eastAsiaTheme="minorEastAsia"/>
                <w:color w:val="auto"/>
                <w:sz w:val="21"/>
                <w:szCs w:val="21"/>
                <w:highlight w:val="none"/>
                <w:lang w:val="en-US" w:eastAsia="zh-CN"/>
              </w:rPr>
            </w:pPr>
            <w:r>
              <w:rPr>
                <w:color w:val="auto"/>
                <w:sz w:val="24"/>
                <w:highlight w:val="none"/>
              </w:rPr>
              <w:t>③</w:t>
            </w:r>
            <w:r>
              <w:rPr>
                <w:rFonts w:hint="eastAsia"/>
                <w:color w:val="auto"/>
                <w:sz w:val="24"/>
                <w:highlight w:val="none"/>
                <w:lang w:val="en-US" w:eastAsia="zh-CN"/>
              </w:rPr>
              <w:t>项目拟</w:t>
            </w:r>
            <w:r>
              <w:rPr>
                <w:rFonts w:hint="eastAsia"/>
                <w:color w:val="auto"/>
                <w:sz w:val="24"/>
                <w:highlight w:val="none"/>
              </w:rPr>
              <w:t>在箱式变压器下方各建设一座容积为</w:t>
            </w:r>
            <w:r>
              <w:rPr>
                <w:rFonts w:hint="eastAsia"/>
                <w:color w:val="auto"/>
                <w:sz w:val="24"/>
                <w:highlight w:val="none"/>
                <w:lang w:val="en-US" w:eastAsia="zh-CN"/>
              </w:rPr>
              <w:t>3.0</w:t>
            </w:r>
            <w:r>
              <w:rPr>
                <w:rFonts w:hint="eastAsia"/>
                <w:color w:val="auto"/>
                <w:sz w:val="24"/>
                <w:highlight w:val="none"/>
              </w:rPr>
              <w:t>m</w:t>
            </w:r>
            <w:r>
              <w:rPr>
                <w:rFonts w:hint="eastAsia"/>
                <w:color w:val="auto"/>
                <w:sz w:val="24"/>
                <w:highlight w:val="none"/>
                <w:vertAlign w:val="superscript"/>
              </w:rPr>
              <w:t>3</w:t>
            </w:r>
            <w:r>
              <w:rPr>
                <w:rFonts w:hint="eastAsia"/>
                <w:color w:val="auto"/>
                <w:sz w:val="24"/>
                <w:highlight w:val="none"/>
              </w:rPr>
              <w:t>的事故油池，共建设</w:t>
            </w:r>
            <w:r>
              <w:rPr>
                <w:rFonts w:hint="eastAsia"/>
                <w:color w:val="auto"/>
                <w:sz w:val="24"/>
                <w:highlight w:val="none"/>
                <w:lang w:val="en-US" w:eastAsia="zh-CN"/>
              </w:rPr>
              <w:t>4</w:t>
            </w:r>
            <w:r>
              <w:rPr>
                <w:rFonts w:hint="eastAsia"/>
                <w:color w:val="auto"/>
                <w:sz w:val="24"/>
                <w:highlight w:val="none"/>
              </w:rPr>
              <w:t>座。本项目光伏阵列配套的箱式变压器选用油浸式变压器，依靠变压器油作冷却介质。在事故状态下，可能会发生变压器油泄漏。根据建设单位资料，本项目</w:t>
            </w:r>
            <w:r>
              <w:rPr>
                <w:rFonts w:hint="eastAsia"/>
                <w:color w:val="auto"/>
                <w:sz w:val="24"/>
                <w:highlight w:val="none"/>
                <w:lang w:val="en-US" w:eastAsia="zh-CN"/>
              </w:rPr>
              <w:t>共设置4台箱式变压器，</w:t>
            </w:r>
            <w:r>
              <w:rPr>
                <w:rFonts w:hint="eastAsia"/>
                <w:color w:val="auto"/>
                <w:sz w:val="24"/>
                <w:highlight w:val="none"/>
              </w:rPr>
              <w:t>根据建设单位资料，</w:t>
            </w:r>
            <w:r>
              <w:rPr>
                <w:rFonts w:hint="eastAsia"/>
                <w:color w:val="auto"/>
                <w:sz w:val="24"/>
                <w:highlight w:val="none"/>
                <w:lang w:val="en-US" w:eastAsia="zh-CN"/>
              </w:rPr>
              <w:t>单台箱变</w:t>
            </w:r>
            <w:r>
              <w:rPr>
                <w:rFonts w:hint="eastAsia"/>
                <w:color w:val="auto"/>
                <w:sz w:val="24"/>
                <w:highlight w:val="none"/>
              </w:rPr>
              <w:t>冷却油量约</w:t>
            </w:r>
            <w:r>
              <w:rPr>
                <w:rFonts w:hint="eastAsia"/>
                <w:color w:val="auto"/>
                <w:sz w:val="24"/>
                <w:highlight w:val="none"/>
                <w:lang w:val="en-US" w:eastAsia="zh-CN"/>
              </w:rPr>
              <w:t>2.0</w:t>
            </w:r>
            <w:r>
              <w:rPr>
                <w:rFonts w:hint="eastAsia"/>
                <w:color w:val="auto"/>
                <w:sz w:val="24"/>
                <w:highlight w:val="none"/>
              </w:rPr>
              <w:t>t</w:t>
            </w:r>
            <w:r>
              <w:rPr>
                <w:rFonts w:hint="eastAsia"/>
                <w:color w:val="auto"/>
                <w:sz w:val="24"/>
                <w:highlight w:val="none"/>
                <w:lang w:eastAsia="zh-CN"/>
              </w:rPr>
              <w:t>，</w:t>
            </w:r>
            <w:r>
              <w:rPr>
                <w:rFonts w:hint="eastAsia"/>
                <w:color w:val="auto"/>
                <w:sz w:val="24"/>
                <w:highlight w:val="none"/>
              </w:rPr>
              <w:t>变压器油容重为0.895t/m</w:t>
            </w:r>
            <w:r>
              <w:rPr>
                <w:rFonts w:hint="eastAsia"/>
                <w:color w:val="auto"/>
                <w:sz w:val="24"/>
                <w:highlight w:val="none"/>
                <w:vertAlign w:val="superscript"/>
              </w:rPr>
              <w:t>3</w:t>
            </w:r>
            <w:r>
              <w:rPr>
                <w:rFonts w:hint="eastAsia"/>
                <w:color w:val="auto"/>
                <w:sz w:val="24"/>
                <w:highlight w:val="none"/>
              </w:rPr>
              <w:t>，计算后需在</w:t>
            </w:r>
            <w:r>
              <w:rPr>
                <w:rFonts w:hint="eastAsia"/>
                <w:color w:val="auto"/>
                <w:sz w:val="24"/>
                <w:highlight w:val="none"/>
                <w:lang w:val="en-US" w:eastAsia="zh-CN"/>
              </w:rPr>
              <w:t>每台箱变下方</w:t>
            </w:r>
            <w:r>
              <w:rPr>
                <w:rFonts w:hint="eastAsia"/>
                <w:color w:val="auto"/>
                <w:sz w:val="24"/>
                <w:highlight w:val="none"/>
              </w:rPr>
              <w:t>设置一座容积不小于</w:t>
            </w:r>
            <w:r>
              <w:rPr>
                <w:rFonts w:hint="eastAsia"/>
                <w:color w:val="auto"/>
                <w:sz w:val="24"/>
                <w:highlight w:val="none"/>
                <w:lang w:val="en-US" w:eastAsia="zh-CN"/>
              </w:rPr>
              <w:t>3.0</w:t>
            </w:r>
            <w:r>
              <w:rPr>
                <w:rFonts w:hint="eastAsia"/>
                <w:color w:val="auto"/>
                <w:sz w:val="24"/>
                <w:highlight w:val="none"/>
              </w:rPr>
              <w:t>m</w:t>
            </w:r>
            <w:r>
              <w:rPr>
                <w:rFonts w:hint="eastAsia"/>
                <w:color w:val="auto"/>
                <w:sz w:val="24"/>
                <w:highlight w:val="none"/>
                <w:vertAlign w:val="superscript"/>
              </w:rPr>
              <w:t>3</w:t>
            </w:r>
            <w:r>
              <w:rPr>
                <w:rFonts w:hint="eastAsia"/>
                <w:color w:val="auto"/>
                <w:sz w:val="24"/>
                <w:highlight w:val="none"/>
              </w:rPr>
              <w:t>的事故油池</w:t>
            </w:r>
            <w:r>
              <w:rPr>
                <w:rFonts w:hint="eastAsia"/>
                <w:color w:val="auto"/>
                <w:sz w:val="24"/>
                <w:highlight w:val="none"/>
                <w:lang w:eastAsia="zh-CN"/>
              </w:rPr>
              <w:t>。</w:t>
            </w:r>
          </w:p>
          <w:p w14:paraId="133AA6A5">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color w:val="auto"/>
                <w:highlight w:val="none"/>
                <w:lang w:val="en-US" w:eastAsia="zh-CN"/>
              </w:rPr>
            </w:pPr>
            <w:r>
              <w:rPr>
                <w:rFonts w:hint="eastAsia"/>
                <w:color w:val="auto"/>
                <w:highlight w:val="none"/>
                <w:lang w:val="en-US" w:eastAsia="zh-CN"/>
              </w:rPr>
              <w:t>④项目依托现有升压站10m</w:t>
            </w:r>
            <w:r>
              <w:rPr>
                <w:rFonts w:hint="eastAsia"/>
                <w:color w:val="auto"/>
                <w:highlight w:val="none"/>
                <w:vertAlign w:val="superscript"/>
                <w:lang w:val="en-US" w:eastAsia="zh-CN"/>
              </w:rPr>
              <w:t>2</w:t>
            </w:r>
            <w:r>
              <w:rPr>
                <w:rFonts w:hint="eastAsia"/>
                <w:color w:val="auto"/>
                <w:highlight w:val="none"/>
                <w:lang w:val="en-US" w:eastAsia="zh-CN"/>
              </w:rPr>
              <w:t>危废贮存库。危废贮存点主要储存日常运营和风险状态下产生的检修费油和废变压器油，结合箱变和主变的事故油池容量，升压站危废贮存点容量满足本项目需求。</w:t>
            </w:r>
          </w:p>
          <w:p w14:paraId="1B562C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highlight w:val="none"/>
              </w:rPr>
            </w:pPr>
            <w:r>
              <w:rPr>
                <w:rFonts w:hint="eastAsia"/>
                <w:color w:val="auto"/>
                <w:sz w:val="24"/>
                <w:highlight w:val="none"/>
                <w:lang w:val="en-US" w:eastAsia="zh-CN"/>
              </w:rPr>
              <w:t>⑤</w:t>
            </w:r>
            <w:r>
              <w:rPr>
                <w:color w:val="auto"/>
                <w:sz w:val="24"/>
                <w:highlight w:val="none"/>
              </w:rPr>
              <w:t>箱变事故油池、</w:t>
            </w:r>
            <w:r>
              <w:rPr>
                <w:rFonts w:hint="eastAsia"/>
                <w:color w:val="auto"/>
                <w:sz w:val="24"/>
                <w:highlight w:val="none"/>
                <w:lang w:val="en-US" w:eastAsia="zh-CN"/>
              </w:rPr>
              <w:t>主变</w:t>
            </w:r>
            <w:r>
              <w:rPr>
                <w:color w:val="auto"/>
                <w:sz w:val="24"/>
                <w:highlight w:val="none"/>
              </w:rPr>
              <w:t>事故油池严格按照</w:t>
            </w:r>
            <w:r>
              <w:rPr>
                <w:rFonts w:hint="eastAsia"/>
                <w:color w:val="auto"/>
                <w:sz w:val="24"/>
                <w:highlight w:val="none"/>
              </w:rPr>
              <w:t>《危险废物贮存污染控制标准》（GB18597-2023）</w:t>
            </w:r>
            <w:r>
              <w:rPr>
                <w:color w:val="auto"/>
                <w:sz w:val="24"/>
                <w:highlight w:val="none"/>
              </w:rPr>
              <w:t>要求设计、运行和管理，防渗层</w:t>
            </w:r>
            <w:r>
              <w:rPr>
                <w:rFonts w:hint="eastAsia"/>
                <w:color w:val="auto"/>
                <w:sz w:val="24"/>
                <w:highlight w:val="none"/>
              </w:rPr>
              <w:t>要求</w:t>
            </w:r>
            <w:r>
              <w:rPr>
                <w:color w:val="auto"/>
                <w:sz w:val="24"/>
                <w:highlight w:val="none"/>
              </w:rPr>
              <w:t>为至少1m厚黏土层（渗透系数≤1.0×10</w:t>
            </w:r>
            <w:r>
              <w:rPr>
                <w:rFonts w:hint="eastAsia"/>
                <w:color w:val="auto"/>
                <w:sz w:val="24"/>
                <w:highlight w:val="none"/>
                <w:vertAlign w:val="superscript"/>
                <w:lang w:val="en-US" w:eastAsia="zh-CN"/>
              </w:rPr>
              <w:t>-</w:t>
            </w:r>
            <w:r>
              <w:rPr>
                <w:color w:val="auto"/>
                <w:sz w:val="24"/>
                <w:highlight w:val="none"/>
                <w:vertAlign w:val="superscript"/>
              </w:rPr>
              <w:t>7</w:t>
            </w:r>
            <w:r>
              <w:rPr>
                <w:color w:val="auto"/>
                <w:sz w:val="24"/>
                <w:highlight w:val="none"/>
              </w:rPr>
              <w:t>cm/s），或2mm厚高密度聚乙烯，或至少2mm厚的</w:t>
            </w:r>
            <w:r>
              <w:rPr>
                <w:rFonts w:hint="eastAsia"/>
                <w:color w:val="auto"/>
                <w:sz w:val="24"/>
                <w:highlight w:val="none"/>
                <w:lang w:eastAsia="zh-CN"/>
              </w:rPr>
              <w:t>其他人工</w:t>
            </w:r>
            <w:r>
              <w:rPr>
                <w:color w:val="auto"/>
                <w:sz w:val="24"/>
                <w:highlight w:val="none"/>
              </w:rPr>
              <w:t>材料，渗透系数≤1.0×10</w:t>
            </w:r>
            <w:r>
              <w:rPr>
                <w:rFonts w:hint="eastAsia"/>
                <w:color w:val="auto"/>
                <w:sz w:val="24"/>
                <w:highlight w:val="none"/>
                <w:vertAlign w:val="superscript"/>
                <w:lang w:val="en-US" w:eastAsia="zh-CN"/>
              </w:rPr>
              <w:t>-</w:t>
            </w:r>
            <w:r>
              <w:rPr>
                <w:color w:val="auto"/>
                <w:sz w:val="24"/>
                <w:highlight w:val="none"/>
                <w:vertAlign w:val="superscript"/>
              </w:rPr>
              <w:t>10</w:t>
            </w:r>
            <w:r>
              <w:rPr>
                <w:color w:val="auto"/>
                <w:sz w:val="24"/>
                <w:highlight w:val="none"/>
              </w:rPr>
              <w:t>cm/s。</w:t>
            </w:r>
          </w:p>
          <w:p w14:paraId="26AD1978">
            <w:pPr>
              <w:spacing w:line="480" w:lineRule="exact"/>
              <w:ind w:firstLine="482" w:firstLineChars="200"/>
              <w:rPr>
                <w:b/>
                <w:bCs/>
                <w:color w:val="auto"/>
                <w:sz w:val="24"/>
                <w:highlight w:val="none"/>
              </w:rPr>
            </w:pPr>
            <w:r>
              <w:rPr>
                <w:rFonts w:hint="eastAsia"/>
                <w:b/>
                <w:bCs/>
                <w:color w:val="auto"/>
                <w:sz w:val="24"/>
                <w:highlight w:val="none"/>
                <w:lang w:val="en-US" w:eastAsia="zh-CN"/>
              </w:rPr>
              <w:t>6.6</w:t>
            </w:r>
            <w:r>
              <w:rPr>
                <w:b/>
                <w:bCs/>
                <w:color w:val="auto"/>
                <w:sz w:val="24"/>
                <w:highlight w:val="none"/>
              </w:rPr>
              <w:t>事故应急预案</w:t>
            </w:r>
          </w:p>
          <w:p w14:paraId="6F690D59">
            <w:pPr>
              <w:spacing w:line="480" w:lineRule="exact"/>
              <w:ind w:firstLine="480" w:firstLineChars="200"/>
              <w:rPr>
                <w:color w:val="auto"/>
                <w:sz w:val="24"/>
                <w:highlight w:val="none"/>
              </w:rPr>
            </w:pPr>
            <w:r>
              <w:rPr>
                <w:color w:val="auto"/>
                <w:sz w:val="24"/>
                <w:highlight w:val="none"/>
              </w:rPr>
              <w:t>针对本项目可能发生的环境风险突发事故，为了将风险事故率降到最小，应</w:t>
            </w:r>
            <w:r>
              <w:rPr>
                <w:rFonts w:hint="eastAsia"/>
                <w:color w:val="auto"/>
                <w:sz w:val="24"/>
                <w:highlight w:val="none"/>
                <w:lang w:val="en-US" w:eastAsia="zh-CN"/>
              </w:rPr>
              <w:t>纳入西泽风电场</w:t>
            </w:r>
            <w:r>
              <w:rPr>
                <w:color w:val="auto"/>
                <w:sz w:val="24"/>
                <w:highlight w:val="none"/>
              </w:rPr>
              <w:t>突发环境事件应急预案，并报当地生态环境主管部门备案实施，并安排环境风险应急预案及风险污染处置演练，进行应急处置宣传、教育。</w:t>
            </w:r>
          </w:p>
          <w:p w14:paraId="12A570BC">
            <w:pPr>
              <w:spacing w:line="480" w:lineRule="exact"/>
              <w:ind w:firstLine="482" w:firstLineChars="200"/>
              <w:rPr>
                <w:rFonts w:hint="eastAsia"/>
                <w:b/>
                <w:bCs/>
                <w:color w:val="auto"/>
                <w:sz w:val="24"/>
                <w:highlight w:val="none"/>
              </w:rPr>
            </w:pPr>
            <w:r>
              <w:rPr>
                <w:rFonts w:hint="eastAsia"/>
                <w:b/>
                <w:bCs/>
                <w:color w:val="auto"/>
                <w:sz w:val="24"/>
                <w:highlight w:val="none"/>
                <w:lang w:val="en-US" w:eastAsia="zh-CN"/>
              </w:rPr>
              <w:t>6.7</w:t>
            </w:r>
            <w:r>
              <w:rPr>
                <w:rFonts w:hint="eastAsia"/>
                <w:b/>
                <w:bCs/>
                <w:color w:val="auto"/>
                <w:sz w:val="24"/>
                <w:highlight w:val="none"/>
              </w:rPr>
              <w:t>环境风险分析结论</w:t>
            </w:r>
          </w:p>
          <w:p w14:paraId="7BCE558F">
            <w:pPr>
              <w:rPr>
                <w:color w:val="auto"/>
              </w:rPr>
            </w:pPr>
            <w:r>
              <w:rPr>
                <w:rFonts w:hint="eastAsia"/>
                <w:color w:val="auto"/>
                <w:sz w:val="24"/>
                <w:highlight w:val="none"/>
              </w:rPr>
              <w:t>根据以上评价分析，通过采取以上各项风险防范措施及应急救援措施，可</w:t>
            </w:r>
            <w:r>
              <w:rPr>
                <w:rFonts w:hint="eastAsia"/>
                <w:color w:val="auto"/>
                <w:sz w:val="24"/>
                <w:highlight w:val="none"/>
                <w:lang w:eastAsia="zh-CN"/>
              </w:rPr>
              <w:t>防止</w:t>
            </w:r>
            <w:r>
              <w:rPr>
                <w:rFonts w:hint="eastAsia"/>
                <w:color w:val="auto"/>
                <w:sz w:val="24"/>
                <w:highlight w:val="none"/>
              </w:rPr>
              <w:t>各种事故的发生，降低对周围环境的不利影响，环境风险在可防控范围内。</w:t>
            </w:r>
          </w:p>
          <w:p w14:paraId="6F8FD571">
            <w:pPr>
              <w:keepNext w:val="0"/>
              <w:keepLines w:val="0"/>
              <w:pageBreakBefore w:val="0"/>
              <w:kinsoku/>
              <w:wordWrap/>
              <w:overflowPunct/>
              <w:topLinePunct w:val="0"/>
              <w:bidi w:val="0"/>
              <w:adjustRightInd w:val="0"/>
              <w:snapToGrid w:val="0"/>
              <w:spacing w:line="360" w:lineRule="auto"/>
              <w:ind w:firstLine="480" w:firstLineChars="200"/>
              <w:rPr>
                <w:rFonts w:hint="default" w:ascii="Times New Roman" w:hAnsi="Times New Roman" w:eastAsia="宋体"/>
                <w:color w:val="auto"/>
                <w:spacing w:val="0"/>
                <w:sz w:val="24"/>
                <w:highlight w:val="none"/>
                <w:lang w:val="en-US" w:eastAsia="zh-CN"/>
              </w:rPr>
            </w:pPr>
          </w:p>
        </w:tc>
      </w:tr>
      <w:tr w14:paraId="622FF52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601" w:type="dxa"/>
            <w:noWrap w:val="0"/>
            <w:vAlign w:val="center"/>
          </w:tcPr>
          <w:p w14:paraId="17AB4738">
            <w:pPr>
              <w:pStyle w:val="18"/>
              <w:keepNext w:val="0"/>
              <w:keepLines w:val="0"/>
              <w:pageBreakBefore w:val="0"/>
              <w:kinsoku/>
              <w:wordWrap/>
              <w:overflowPunct/>
              <w:topLinePunct w:val="0"/>
              <w:bidi w:val="0"/>
              <w:adjustRightInd w:val="0"/>
              <w:snapToGrid w:val="0"/>
              <w:spacing w:before="0" w:beforeAutospacing="0" w:after="0" w:afterAutospacing="0"/>
              <w:jc w:val="center"/>
              <w:rPr>
                <w:rFonts w:ascii="Times New Roman" w:hAnsi="Times New Roman" w:eastAsia="宋体" w:cs="宋体"/>
                <w:bCs/>
                <w:color w:val="auto"/>
                <w:kern w:val="2"/>
                <w:szCs w:val="24"/>
                <w:highlight w:val="none"/>
                <w:lang w:val="en-US" w:eastAsia="zh-CN"/>
              </w:rPr>
            </w:pPr>
            <w:r>
              <w:rPr>
                <w:rFonts w:hint="eastAsia" w:ascii="Times New Roman" w:hAnsi="Times New Roman" w:eastAsia="宋体" w:cs="宋体"/>
                <w:bCs/>
                <w:color w:val="auto"/>
                <w:kern w:val="2"/>
                <w:szCs w:val="24"/>
                <w:highlight w:val="none"/>
                <w:lang w:val="en-US" w:eastAsia="zh-CN"/>
              </w:rPr>
              <w:t>选址选线环境合理性分析</w:t>
            </w:r>
          </w:p>
        </w:tc>
        <w:tc>
          <w:tcPr>
            <w:tcW w:w="8389" w:type="dxa"/>
            <w:noWrap w:val="0"/>
            <w:vAlign w:val="top"/>
          </w:tcPr>
          <w:p w14:paraId="4D9E9E68">
            <w:pPr>
              <w:pStyle w:val="6"/>
              <w:bidi w:val="0"/>
              <w:ind w:left="0" w:leftChars="0" w:firstLine="0" w:firstLineChars="0"/>
              <w:rPr>
                <w:rFonts w:hint="eastAsia"/>
                <w:b/>
                <w:bCs/>
                <w:color w:val="auto"/>
              </w:rPr>
            </w:pPr>
            <w:r>
              <w:rPr>
                <w:rFonts w:hint="eastAsia"/>
                <w:b/>
                <w:bCs/>
                <w:color w:val="auto"/>
              </w:rPr>
              <w:t>1</w:t>
            </w:r>
            <w:r>
              <w:rPr>
                <w:rFonts w:hint="eastAsia"/>
                <w:b/>
                <w:bCs/>
                <w:color w:val="auto"/>
                <w:lang w:val="en-US" w:eastAsia="zh-CN"/>
              </w:rPr>
              <w:t>.</w:t>
            </w:r>
            <w:r>
              <w:rPr>
                <w:rFonts w:hint="eastAsia"/>
                <w:b/>
                <w:bCs/>
                <w:color w:val="auto"/>
              </w:rPr>
              <w:t>风场总体布局的环境合理性分析</w:t>
            </w:r>
          </w:p>
          <w:p w14:paraId="73FEC465">
            <w:pPr>
              <w:bidi w:val="0"/>
              <w:rPr>
                <w:rFonts w:hint="eastAsia"/>
                <w:color w:val="auto"/>
              </w:rPr>
            </w:pPr>
            <w:r>
              <w:rPr>
                <w:rFonts w:hint="eastAsia"/>
                <w:color w:val="auto"/>
              </w:rPr>
              <w:t>本工程风机、施工道路、施工临时设施布局坚决执行自然保护区、风景名胜区、水源保护区等相关要求，同时考虑尽量减轻对植被的破坏，尤其注重避让生态保护红线、集中连片分布的乔木林地的避让，通过将主体设计优化调整，目前本工程布置</w:t>
            </w:r>
            <w:r>
              <w:rPr>
                <w:rFonts w:hint="eastAsia"/>
                <w:color w:val="auto"/>
                <w:lang w:val="en-US" w:eastAsia="zh-CN"/>
              </w:rPr>
              <w:t>4</w:t>
            </w:r>
            <w:r>
              <w:rPr>
                <w:rFonts w:hint="eastAsia"/>
                <w:color w:val="auto"/>
              </w:rPr>
              <w:t>台风机。</w:t>
            </w:r>
          </w:p>
          <w:p w14:paraId="3FF40778">
            <w:pPr>
              <w:bidi w:val="0"/>
              <w:rPr>
                <w:rFonts w:hint="eastAsia"/>
                <w:color w:val="auto"/>
              </w:rPr>
            </w:pPr>
            <w:r>
              <w:rPr>
                <w:rFonts w:hint="eastAsia"/>
                <w:color w:val="auto"/>
                <w:lang w:val="en-US" w:eastAsia="zh-CN"/>
              </w:rPr>
              <w:t>项目已取得</w:t>
            </w:r>
            <w:r>
              <w:rPr>
                <w:rStyle w:val="24"/>
                <w:rFonts w:hint="eastAsia"/>
                <w:caps w:val="0"/>
                <w:color w:val="auto"/>
                <w:szCs w:val="44"/>
                <w:u w:val="none"/>
                <w:lang w:val="en-US" w:eastAsia="zh-CN"/>
              </w:rPr>
              <w:t>《云南省发展和改革委员会关于曲靖市宣威市西泽风电场（二期）项目核准的批复》（云发改能源〔2026〕113号），项目永久占地取得宣威市自然资源局、曲靖市生态环境局宣威分局、宣威市林业和草原局等选址意见，结合项目与周边敏感区的位置关系图，</w:t>
            </w:r>
            <w:r>
              <w:rPr>
                <w:rFonts w:hint="eastAsia"/>
                <w:color w:val="auto"/>
                <w:lang w:val="en-US" w:eastAsia="zh-CN"/>
              </w:rPr>
              <w:t>本项目</w:t>
            </w:r>
            <w:r>
              <w:rPr>
                <w:rFonts w:hint="eastAsia"/>
                <w:color w:val="auto"/>
              </w:rPr>
              <w:t>用地范围不涉及国家级公益林、世界自然遗产地、自然保护区、森林公园、国家公园、重要湿地、风景名胜区、饮用水水源保护区及云南省生态保护红线等环境敏感区域</w:t>
            </w:r>
            <w:r>
              <w:rPr>
                <w:rFonts w:hint="eastAsia"/>
                <w:color w:val="auto"/>
                <w:lang w:eastAsia="zh-CN"/>
              </w:rPr>
              <w:t>，</w:t>
            </w:r>
            <w:r>
              <w:rPr>
                <w:rFonts w:hint="eastAsia"/>
                <w:color w:val="auto"/>
                <w:lang w:val="en-US" w:eastAsia="zh-CN"/>
              </w:rPr>
              <w:t>不占用基本农田和天然林</w:t>
            </w:r>
            <w:r>
              <w:rPr>
                <w:rFonts w:hint="eastAsia"/>
                <w:color w:val="auto"/>
              </w:rPr>
              <w:t>。</w:t>
            </w:r>
            <w:r>
              <w:rPr>
                <w:rFonts w:hint="eastAsia"/>
                <w:color w:val="auto"/>
                <w:lang w:val="en-US" w:eastAsia="zh-CN"/>
              </w:rPr>
              <w:t>因周边地形限制，项目风机吊装平台占用省级公益林0.0338hm</w:t>
            </w:r>
            <w:r>
              <w:rPr>
                <w:rFonts w:hint="eastAsia"/>
                <w:color w:val="auto"/>
                <w:vertAlign w:val="superscript"/>
                <w:lang w:val="en-US" w:eastAsia="zh-CN"/>
              </w:rPr>
              <w:t>2</w:t>
            </w:r>
            <w:r>
              <w:rPr>
                <w:rFonts w:hint="eastAsia"/>
                <w:color w:val="auto"/>
                <w:lang w:val="en-US" w:eastAsia="zh-CN"/>
              </w:rPr>
              <w:t>，目前占用手续正在办理中。</w:t>
            </w:r>
            <w:r>
              <w:rPr>
                <w:rFonts w:hint="eastAsia"/>
                <w:color w:val="auto"/>
              </w:rPr>
              <w:t>同时，工程在减少植被破坏的前提下，充分利用风资源，尽可能维持工程的经济效益。</w:t>
            </w:r>
          </w:p>
          <w:p w14:paraId="7036AE1D">
            <w:pPr>
              <w:pStyle w:val="6"/>
              <w:bidi w:val="0"/>
              <w:ind w:left="0" w:leftChars="0" w:firstLine="0" w:firstLineChars="0"/>
              <w:rPr>
                <w:rFonts w:hint="eastAsia"/>
                <w:b/>
                <w:bCs/>
                <w:color w:val="auto"/>
              </w:rPr>
            </w:pPr>
            <w:r>
              <w:rPr>
                <w:rFonts w:hint="eastAsia"/>
                <w:b/>
                <w:bCs/>
                <w:color w:val="auto"/>
                <w:lang w:val="en-US" w:eastAsia="zh-CN"/>
              </w:rPr>
              <w:t>2.</w:t>
            </w:r>
            <w:r>
              <w:rPr>
                <w:rFonts w:hint="eastAsia"/>
                <w:b/>
                <w:bCs/>
                <w:color w:val="auto"/>
              </w:rPr>
              <w:t>施工“三场”选址的环境合理性分析</w:t>
            </w:r>
          </w:p>
          <w:p w14:paraId="54434D2F">
            <w:pPr>
              <w:bidi w:val="0"/>
              <w:rPr>
                <w:rFonts w:hint="eastAsia"/>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料场规划的环境合理性分析</w:t>
            </w:r>
          </w:p>
          <w:p w14:paraId="7DDC3343">
            <w:pPr>
              <w:bidi w:val="0"/>
              <w:rPr>
                <w:rFonts w:hint="eastAsia"/>
                <w:color w:val="auto"/>
              </w:rPr>
            </w:pPr>
            <w:r>
              <w:rPr>
                <w:rFonts w:hint="eastAsia"/>
                <w:color w:val="auto"/>
              </w:rPr>
              <w:t>据主体设计，本工程共需砂石骨料主要用于工程混凝土骨料、砂浆、场内道路等。由于粗细骨料用量不大，场址范围内无良好的天然建筑材料，场址附近的砂石料场有足够的成品料供应，故本工程不新建砂石料加工系统，减少了工程占地对项目区植被及生态环境的破坏，从环境保护角度，本工程料场规划方案是合理可行的。</w:t>
            </w:r>
          </w:p>
          <w:p w14:paraId="22E10FCD">
            <w:pPr>
              <w:bidi w:val="0"/>
              <w:rPr>
                <w:rFonts w:hint="eastAsia"/>
                <w:color w:val="auto"/>
                <w:lang w:eastAsia="zh-CN"/>
              </w:rPr>
            </w:pPr>
            <w:r>
              <w:rPr>
                <w:rFonts w:hint="eastAsia"/>
                <w:color w:val="auto"/>
                <w:lang w:eastAsia="zh-CN"/>
              </w:rPr>
              <w:t>（</w:t>
            </w:r>
            <w:r>
              <w:rPr>
                <w:rFonts w:hint="eastAsia"/>
                <w:color w:val="auto"/>
                <w:lang w:val="en-US" w:eastAsia="zh-CN"/>
              </w:rPr>
              <w:t>2</w:t>
            </w:r>
            <w:r>
              <w:rPr>
                <w:rFonts w:hint="eastAsia"/>
                <w:color w:val="auto"/>
                <w:lang w:eastAsia="zh-CN"/>
              </w:rPr>
              <w:t>）施工场地选址合理性分析</w:t>
            </w:r>
          </w:p>
          <w:p w14:paraId="59D2A8C7">
            <w:pPr>
              <w:bidi w:val="0"/>
              <w:rPr>
                <w:rFonts w:hint="eastAsia"/>
                <w:color w:val="auto"/>
                <w:highlight w:val="none"/>
                <w:lang w:eastAsia="zh-CN"/>
              </w:rPr>
            </w:pPr>
            <w:r>
              <w:rPr>
                <w:rFonts w:hint="eastAsia"/>
                <w:color w:val="auto"/>
                <w:lang w:eastAsia="zh-CN"/>
              </w:rPr>
              <w:t>施工生产、生活临时设施根据现场交通条件，考虑到生产及生活方便，临时占地尽量利用场区空旷、植被较少地区，且全部靠近道路进行布置，减少因修建施工道路而增加的占地破坏。</w:t>
            </w:r>
            <w:r>
              <w:rPr>
                <w:rFonts w:hint="eastAsia"/>
                <w:color w:val="auto"/>
                <w:highlight w:val="none"/>
                <w:lang w:eastAsia="zh-CN"/>
              </w:rPr>
              <w:t>主要包括材料仓库和</w:t>
            </w:r>
            <w:r>
              <w:rPr>
                <w:rFonts w:hint="eastAsia"/>
                <w:color w:val="auto"/>
                <w:highlight w:val="none"/>
                <w:lang w:val="en-US" w:eastAsia="zh-CN"/>
              </w:rPr>
              <w:t>临时表土堆场</w:t>
            </w:r>
            <w:r>
              <w:rPr>
                <w:rFonts w:hint="eastAsia"/>
                <w:color w:val="auto"/>
                <w:highlight w:val="none"/>
                <w:lang w:eastAsia="zh-CN"/>
              </w:rPr>
              <w:t>等。</w:t>
            </w:r>
          </w:p>
          <w:p w14:paraId="69B79EBD">
            <w:pPr>
              <w:bidi w:val="0"/>
              <w:rPr>
                <w:rFonts w:hint="eastAsia"/>
                <w:color w:val="auto"/>
                <w:lang w:eastAsia="zh-CN"/>
              </w:rPr>
            </w:pPr>
            <w:r>
              <w:rPr>
                <w:rFonts w:hint="eastAsia"/>
                <w:color w:val="auto"/>
                <w:lang w:eastAsia="zh-CN"/>
              </w:rPr>
              <w:t>本报告分析认为，从环境保护角度，各生产生活设施区不涉及环境敏感区、亦不占用公益林中的有林地，选址合理，但应做好施工过程中的施工管理，以及施工迹地的恢复工作。</w:t>
            </w:r>
          </w:p>
          <w:p w14:paraId="707334E2">
            <w:pPr>
              <w:pStyle w:val="6"/>
              <w:bidi w:val="0"/>
              <w:ind w:left="0" w:leftChars="0" w:firstLine="0" w:firstLineChars="0"/>
              <w:rPr>
                <w:rFonts w:hint="default"/>
                <w:b/>
                <w:bCs/>
                <w:color w:val="auto"/>
                <w:lang w:val="en-US" w:eastAsia="zh-CN"/>
              </w:rPr>
            </w:pPr>
            <w:r>
              <w:rPr>
                <w:rFonts w:hint="eastAsia"/>
                <w:b/>
                <w:bCs/>
                <w:color w:val="auto"/>
                <w:lang w:val="en-US" w:eastAsia="zh-CN"/>
              </w:rPr>
              <w:t>3.</w:t>
            </w:r>
            <w:r>
              <w:rPr>
                <w:rFonts w:hint="default"/>
                <w:b/>
                <w:bCs/>
                <w:color w:val="auto"/>
                <w:lang w:val="en-US" w:eastAsia="zh-CN"/>
              </w:rPr>
              <w:t>施工道路选线的环境合理性分析</w:t>
            </w:r>
          </w:p>
          <w:p w14:paraId="6FA0D7E7">
            <w:pPr>
              <w:bidi w:val="0"/>
              <w:rPr>
                <w:rFonts w:hint="eastAsia"/>
                <w:color w:val="auto"/>
                <w:lang w:val="en-US" w:eastAsia="zh-CN"/>
              </w:rPr>
            </w:pPr>
            <w:r>
              <w:rPr>
                <w:rFonts w:hint="default"/>
                <w:color w:val="auto"/>
                <w:lang w:val="en-US" w:eastAsia="zh-CN"/>
              </w:rPr>
              <w:t>风电场运输道路的基本要求主要受风机叶片、机舱和轮毂等超长、超重的设备限制。本项</w:t>
            </w:r>
            <w:r>
              <w:rPr>
                <w:rFonts w:hint="eastAsia"/>
                <w:color w:val="auto"/>
                <w:lang w:val="en-US" w:eastAsia="zh-CN"/>
              </w:rPr>
              <w:t>目新建道路346m，施工道路不涉及生态保护红线永久基本农田等环境敏感区。从新建场内道路占用的植被分析，主要占用稀树灌木草丛，本工程不利影响较小。</w:t>
            </w:r>
          </w:p>
          <w:p w14:paraId="076F2B19">
            <w:pPr>
              <w:bidi w:val="0"/>
              <w:rPr>
                <w:rFonts w:hint="default"/>
                <w:color w:val="auto"/>
                <w:lang w:val="en-US" w:eastAsia="zh-CN"/>
              </w:rPr>
            </w:pPr>
            <w:r>
              <w:rPr>
                <w:rFonts w:hint="default"/>
                <w:color w:val="auto"/>
                <w:lang w:val="en-US" w:eastAsia="zh-CN"/>
              </w:rPr>
              <w:t>工程设计已按相关环保要求，从尽可能减轻生态破坏角度进行优化调整。本报告也针对道路建设及运行对生态环境等的不利影响提出相应的环境保护及水土保持措施。因此，从环境保护的角度场内道路的选线基本环境可行。</w:t>
            </w:r>
          </w:p>
          <w:p w14:paraId="1F795C1D">
            <w:pPr>
              <w:numPr>
                <w:ilvl w:val="0"/>
                <w:numId w:val="0"/>
              </w:numPr>
              <w:bidi w:val="0"/>
              <w:ind w:left="0" w:leftChars="0" w:firstLine="0" w:firstLineChars="0"/>
              <w:rPr>
                <w:rFonts w:hint="eastAsia"/>
                <w:b/>
                <w:bCs/>
                <w:color w:val="auto"/>
                <w:lang w:val="en-US" w:eastAsia="zh-CN"/>
              </w:rPr>
            </w:pPr>
            <w:r>
              <w:rPr>
                <w:rFonts w:hint="eastAsia" w:ascii="Times New Roman" w:hAnsi="Times New Roman" w:eastAsia="宋体" w:cs="Arial"/>
                <w:b/>
                <w:bCs/>
                <w:snapToGrid w:val="0"/>
                <w:color w:val="auto"/>
                <w:kern w:val="0"/>
                <w:sz w:val="24"/>
                <w:szCs w:val="21"/>
                <w:lang w:val="en-US" w:eastAsia="zh-CN" w:bidi="ar-SA"/>
              </w:rPr>
              <w:t>4.</w:t>
            </w:r>
            <w:r>
              <w:rPr>
                <w:rFonts w:hint="eastAsia"/>
                <w:b/>
                <w:bCs/>
                <w:color w:val="auto"/>
                <w:lang w:val="en-US" w:eastAsia="zh-CN"/>
              </w:rPr>
              <w:t>依托工程依托可行性分析</w:t>
            </w:r>
          </w:p>
          <w:p w14:paraId="54790366">
            <w:pPr>
              <w:bidi w:val="0"/>
              <w:rPr>
                <w:rFonts w:hint="eastAsia"/>
                <w:b/>
                <w:bCs/>
                <w:color w:val="auto"/>
                <w:lang w:val="en-US" w:eastAsia="zh-CN"/>
              </w:rPr>
            </w:pPr>
            <w:r>
              <w:rPr>
                <w:rFonts w:hint="eastAsia"/>
                <w:b/>
                <w:bCs/>
                <w:color w:val="auto"/>
                <w:lang w:val="en-US" w:eastAsia="zh-CN"/>
              </w:rPr>
              <w:t>4.1运营期项目运营依托可行性分析</w:t>
            </w:r>
          </w:p>
          <w:p w14:paraId="560CDB0B">
            <w:pPr>
              <w:bidi w:val="0"/>
              <w:rPr>
                <w:rFonts w:hint="eastAsia"/>
                <w:color w:val="auto"/>
                <w:lang w:val="en-US" w:eastAsia="zh-CN"/>
              </w:rPr>
            </w:pPr>
            <w:r>
              <w:rPr>
                <w:rFonts w:hint="eastAsia"/>
                <w:color w:val="auto"/>
                <w:lang w:val="en-US" w:eastAsia="zh-CN"/>
              </w:rPr>
              <w:t>西泽风电场（二期）与西泽风电场升压站同属于一个建设单位，在西泽风电场（一期）B片区西北侧新增4台风机，较一期33台增加量较小，且风机距离西泽风电场（一期）B片区2.5km，增加的运维路程不长，通过研判，项目运营可依托西泽风电场升压站。</w:t>
            </w:r>
          </w:p>
          <w:p w14:paraId="3C01C6F5">
            <w:pPr>
              <w:bidi w:val="0"/>
              <w:rPr>
                <w:rFonts w:hint="default"/>
                <w:b/>
                <w:bCs/>
                <w:color w:val="auto"/>
                <w:lang w:val="en-US" w:eastAsia="zh-CN"/>
              </w:rPr>
            </w:pPr>
            <w:r>
              <w:rPr>
                <w:rFonts w:hint="eastAsia"/>
                <w:b/>
                <w:bCs/>
                <w:color w:val="auto"/>
                <w:lang w:val="en-US" w:eastAsia="zh-CN"/>
              </w:rPr>
              <w:t>4.2危废暂存库依托可行性分析</w:t>
            </w:r>
          </w:p>
          <w:p w14:paraId="70EF21B0">
            <w:pPr>
              <w:bidi w:val="0"/>
              <w:rPr>
                <w:rFonts w:hint="default"/>
                <w:color w:val="auto"/>
                <w:lang w:val="en-US" w:eastAsia="zh-CN"/>
              </w:rPr>
            </w:pPr>
            <w:r>
              <w:rPr>
                <w:rFonts w:hint="default"/>
                <w:color w:val="auto"/>
                <w:lang w:val="en-US" w:eastAsia="zh-CN"/>
              </w:rPr>
              <w:t>升压站内设1个10m³采用C30混凝土进行浇筑的危废暂存</w:t>
            </w:r>
            <w:r>
              <w:rPr>
                <w:rFonts w:hint="eastAsia"/>
                <w:color w:val="auto"/>
                <w:lang w:val="en-US" w:eastAsia="zh-CN"/>
              </w:rPr>
              <w:t>库</w:t>
            </w:r>
            <w:r>
              <w:rPr>
                <w:rFonts w:hint="default"/>
                <w:color w:val="auto"/>
                <w:lang w:val="en-US" w:eastAsia="zh-CN"/>
              </w:rPr>
              <w:t>，并采用了环氧树脂和丙烯酸进行防腐防渗处理，内部设有截流沟，符合《危险废物贮存污染控制标准》（GB18597-2023）建设要求。</w:t>
            </w:r>
            <w:r>
              <w:rPr>
                <w:rFonts w:hint="eastAsia"/>
                <w:color w:val="auto"/>
                <w:lang w:val="en-US" w:eastAsia="zh-CN"/>
              </w:rPr>
              <w:t>项目运营期间产生的危废清运至依托的</w:t>
            </w:r>
            <w:r>
              <w:rPr>
                <w:rFonts w:hint="default"/>
                <w:color w:val="auto"/>
                <w:lang w:val="en-US" w:eastAsia="zh-CN"/>
              </w:rPr>
              <w:t>危废暂存</w:t>
            </w:r>
            <w:r>
              <w:rPr>
                <w:rFonts w:hint="eastAsia"/>
                <w:color w:val="auto"/>
                <w:lang w:val="en-US" w:eastAsia="zh-CN"/>
              </w:rPr>
              <w:t>库后及时委托有资质的单位清运。依托的危废暂存库容量足够且已与有危废处置资质的单位签订危废处置协议，可依托。</w:t>
            </w:r>
          </w:p>
          <w:p w14:paraId="33FCE63A">
            <w:pPr>
              <w:bidi w:val="0"/>
              <w:rPr>
                <w:rFonts w:hint="default"/>
                <w:b/>
                <w:bCs/>
                <w:color w:val="auto"/>
                <w:lang w:val="en-US" w:eastAsia="zh-CN"/>
              </w:rPr>
            </w:pPr>
            <w:r>
              <w:rPr>
                <w:rFonts w:hint="eastAsia"/>
                <w:b/>
                <w:bCs/>
                <w:color w:val="auto"/>
                <w:lang w:val="en-US" w:eastAsia="zh-CN"/>
              </w:rPr>
              <w:t>4.3集电线路依托可行性分析</w:t>
            </w:r>
          </w:p>
          <w:p w14:paraId="2C9B710C">
            <w:pPr>
              <w:bidi w:val="0"/>
              <w:rPr>
                <w:rFonts w:hint="default"/>
                <w:color w:val="auto"/>
                <w:lang w:val="en-US" w:eastAsia="zh-CN"/>
              </w:rPr>
            </w:pPr>
            <w:r>
              <w:rPr>
                <w:rFonts w:hint="eastAsia"/>
                <w:color w:val="auto"/>
                <w:lang w:val="en-US" w:eastAsia="zh-CN"/>
              </w:rPr>
              <w:t>西泽风电场（二期）与西泽风电场升压站同属于一个建设单位，现有西泽风电场（一期）B片区集电线路为35kV双回线路，现有电缆无法满足西泽风电场（二期）接入，对电缆改造后可依托B片区集电线路。</w:t>
            </w:r>
            <w:r>
              <w:rPr>
                <w:rFonts w:hint="eastAsia" w:cs="宋体"/>
                <w:color w:val="auto"/>
                <w:kern w:val="0"/>
                <w:sz w:val="24"/>
                <w:highlight w:val="none"/>
                <w:lang w:val="en-US" w:eastAsia="zh-CN"/>
              </w:rPr>
              <w:t>西泽风电场（一期）B片区集电线路已通过依托西泽风电场（一期）项目通过环保验收，根据验收资料、现场实地踏勘情况与集电线路和周边敏感区叠图分析，该线路不占用生态保护红线、水源保护区、天然林和公益林等敏感因素。本项目换线时依托西泽风电场一期进场道路，线路牵张采用车载牵张系统，对环境的影响可接受。</w:t>
            </w:r>
          </w:p>
        </w:tc>
      </w:tr>
    </w:tbl>
    <w:p w14:paraId="205174B4">
      <w:pPr>
        <w:pStyle w:val="18"/>
        <w:pageBreakBefore w:val="0"/>
        <w:kinsoku/>
        <w:wordWrap/>
        <w:overflowPunct/>
        <w:bidi w:val="0"/>
        <w:jc w:val="center"/>
        <w:rPr>
          <w:rFonts w:ascii="Times New Roman" w:hAnsi="Times New Roman" w:eastAsia="宋体"/>
          <w:snapToGrid w:val="0"/>
          <w:color w:val="auto"/>
          <w:sz w:val="36"/>
          <w:szCs w:val="36"/>
          <w:highlight w:val="none"/>
        </w:rPr>
        <w:sectPr>
          <w:pgSz w:w="11906" w:h="16838"/>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14:paraId="0F5E82CC">
      <w:pPr>
        <w:pStyle w:val="18"/>
        <w:pageBreakBefore w:val="0"/>
        <w:kinsoku/>
        <w:wordWrap/>
        <w:overflowPunct/>
        <w:bidi w:val="0"/>
        <w:adjustRightInd w:val="0"/>
        <w:snapToGrid w:val="0"/>
        <w:spacing w:before="0" w:beforeAutospacing="0" w:after="0" w:afterAutospacing="0" w:line="14" w:lineRule="auto"/>
        <w:jc w:val="center"/>
        <w:rPr>
          <w:rFonts w:ascii="Times New Roman" w:hAnsi="Times New Roman" w:eastAsia="宋体"/>
          <w:snapToGrid w:val="0"/>
          <w:color w:val="auto"/>
          <w:sz w:val="30"/>
          <w:szCs w:val="30"/>
          <w:highlight w:val="none"/>
        </w:rPr>
      </w:pPr>
    </w:p>
    <w:p w14:paraId="56AB9185">
      <w:pPr>
        <w:pStyle w:val="18"/>
        <w:pageBreakBefore w:val="0"/>
        <w:kinsoku/>
        <w:wordWrap/>
        <w:overflowPunct/>
        <w:bidi w:val="0"/>
        <w:jc w:val="center"/>
        <w:outlineLvl w:val="0"/>
        <w:rPr>
          <w:rFonts w:ascii="Times New Roman" w:hAnsi="Times New Roman" w:eastAsia="宋体"/>
          <w:b/>
          <w:bCs/>
          <w:snapToGrid w:val="0"/>
          <w:color w:val="auto"/>
          <w:sz w:val="30"/>
          <w:szCs w:val="30"/>
          <w:highlight w:val="none"/>
        </w:rPr>
      </w:pPr>
      <w:bookmarkStart w:id="39" w:name="_Toc80288930"/>
      <w:bookmarkStart w:id="40" w:name="_Toc87972515"/>
      <w:bookmarkStart w:id="41" w:name="_Toc80363582"/>
      <w:bookmarkStart w:id="42" w:name="_Toc87457562"/>
      <w:bookmarkStart w:id="43" w:name="_Toc80363685"/>
      <w:bookmarkStart w:id="44" w:name="_Toc2237"/>
      <w:r>
        <w:rPr>
          <w:rFonts w:hint="eastAsia" w:ascii="Times New Roman" w:hAnsi="Times New Roman" w:eastAsia="宋体"/>
          <w:b/>
          <w:bCs/>
          <w:snapToGrid w:val="0"/>
          <w:color w:val="auto"/>
          <w:sz w:val="30"/>
          <w:szCs w:val="30"/>
          <w:highlight w:val="none"/>
        </w:rPr>
        <w:t>五、主要生态环境保护措施</w:t>
      </w:r>
      <w:bookmarkEnd w:id="39"/>
      <w:bookmarkEnd w:id="40"/>
      <w:bookmarkEnd w:id="41"/>
      <w:bookmarkEnd w:id="42"/>
      <w:bookmarkEnd w:id="43"/>
      <w:bookmarkEnd w:id="44"/>
    </w:p>
    <w:tbl>
      <w:tblPr>
        <w:tblStyle w:val="20"/>
        <w:tblW w:w="844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67"/>
        <w:gridCol w:w="7681"/>
      </w:tblGrid>
      <w:tr w14:paraId="308CF21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7" w:type="dxa"/>
            <w:noWrap w:val="0"/>
            <w:tcMar>
              <w:left w:w="28" w:type="dxa"/>
              <w:right w:w="28" w:type="dxa"/>
            </w:tcMar>
            <w:vAlign w:val="center"/>
          </w:tcPr>
          <w:p w14:paraId="68425FA1">
            <w:pPr>
              <w:pStyle w:val="18"/>
              <w:bidi w:val="0"/>
              <w:rPr>
                <w:color w:val="auto"/>
              </w:rPr>
            </w:pPr>
            <w:r>
              <w:rPr>
                <w:rFonts w:hint="eastAsia"/>
                <w:color w:val="auto"/>
              </w:rPr>
              <w:t>施工期生态环境保护措施</w:t>
            </w:r>
          </w:p>
        </w:tc>
        <w:tc>
          <w:tcPr>
            <w:tcW w:w="7681" w:type="dxa"/>
            <w:noWrap w:val="0"/>
            <w:vAlign w:val="top"/>
          </w:tcPr>
          <w:p w14:paraId="7A7843E0">
            <w:pPr>
              <w:bidi w:val="0"/>
              <w:ind w:left="0" w:leftChars="0" w:firstLine="0" w:firstLineChars="0"/>
              <w:rPr>
                <w:rFonts w:hint="eastAsia"/>
                <w:b/>
                <w:bCs/>
                <w:color w:val="auto"/>
              </w:rPr>
            </w:pPr>
            <w:r>
              <w:rPr>
                <w:rFonts w:hint="eastAsia"/>
                <w:b/>
                <w:bCs/>
                <w:color w:val="auto"/>
                <w:lang w:val="en-US" w:eastAsia="zh-CN"/>
              </w:rPr>
              <w:t>1.</w:t>
            </w:r>
            <w:r>
              <w:rPr>
                <w:rFonts w:hint="eastAsia"/>
                <w:b/>
                <w:bCs/>
                <w:color w:val="auto"/>
              </w:rPr>
              <w:t>声环境保护措施</w:t>
            </w:r>
          </w:p>
          <w:p w14:paraId="57381513">
            <w:pPr>
              <w:bidi w:val="0"/>
              <w:rPr>
                <w:rFonts w:hint="eastAsia"/>
                <w:color w:val="auto"/>
              </w:rPr>
            </w:pPr>
            <w:r>
              <w:rPr>
                <w:rFonts w:hint="eastAsia"/>
                <w:color w:val="auto"/>
                <w:lang w:eastAsia="zh-CN"/>
              </w:rPr>
              <w:t>（</w:t>
            </w:r>
            <w:r>
              <w:rPr>
                <w:rFonts w:hint="eastAsia"/>
                <w:color w:val="auto"/>
              </w:rPr>
              <w:t>1</w:t>
            </w:r>
            <w:r>
              <w:rPr>
                <w:rFonts w:hint="eastAsia"/>
                <w:color w:val="auto"/>
                <w:lang w:eastAsia="zh-CN"/>
              </w:rPr>
              <w:t>）</w:t>
            </w:r>
            <w:r>
              <w:rPr>
                <w:rFonts w:hint="eastAsia"/>
                <w:color w:val="auto"/>
              </w:rPr>
              <w:t>尽量选用低噪声设备和工艺，并加强设备的维护保养</w:t>
            </w:r>
            <w:r>
              <w:rPr>
                <w:rFonts w:hint="eastAsia"/>
                <w:color w:val="auto"/>
                <w:lang w:eastAsia="zh-CN"/>
              </w:rPr>
              <w:t>（</w:t>
            </w:r>
            <w:r>
              <w:rPr>
                <w:rFonts w:hint="eastAsia"/>
                <w:color w:val="auto"/>
              </w:rPr>
              <w:t>如使用润滑油等</w:t>
            </w:r>
            <w:r>
              <w:rPr>
                <w:rFonts w:hint="eastAsia"/>
                <w:color w:val="auto"/>
                <w:lang w:eastAsia="zh-CN"/>
              </w:rPr>
              <w:t>）</w:t>
            </w:r>
            <w:r>
              <w:rPr>
                <w:rFonts w:hint="eastAsia"/>
                <w:color w:val="auto"/>
              </w:rPr>
              <w:t>及施工人员培训，要求施工人员应按规范操作施工机械，使其保持正常运转。</w:t>
            </w:r>
          </w:p>
          <w:p w14:paraId="583492A1">
            <w:pPr>
              <w:bidi w:val="0"/>
              <w:rPr>
                <w:rFonts w:hint="eastAsia"/>
                <w:color w:val="auto"/>
              </w:rPr>
            </w:pPr>
            <w:r>
              <w:rPr>
                <w:rFonts w:hint="eastAsia"/>
                <w:color w:val="auto"/>
                <w:lang w:eastAsia="zh-CN"/>
              </w:rPr>
              <w:t>（</w:t>
            </w:r>
            <w:r>
              <w:rPr>
                <w:rFonts w:hint="eastAsia"/>
                <w:color w:val="auto"/>
              </w:rPr>
              <w:t>2</w:t>
            </w:r>
            <w:r>
              <w:rPr>
                <w:rFonts w:hint="eastAsia"/>
                <w:color w:val="auto"/>
                <w:lang w:eastAsia="zh-CN"/>
              </w:rPr>
              <w:t>）</w:t>
            </w:r>
            <w:r>
              <w:rPr>
                <w:rFonts w:hint="eastAsia"/>
                <w:color w:val="auto"/>
              </w:rPr>
              <w:t>对施工运输车辆行驶时间、行驶路线进行严格控制和管理。物资运输车辆在经过靠近村庄的道路时应保持低速行驶并禁止鸣笛，工程施工</w:t>
            </w:r>
            <w:r>
              <w:rPr>
                <w:rFonts w:hint="eastAsia"/>
                <w:color w:val="auto"/>
                <w:lang w:eastAsia="zh-CN"/>
              </w:rPr>
              <w:t>期间</w:t>
            </w:r>
            <w:r>
              <w:rPr>
                <w:rFonts w:hint="eastAsia"/>
                <w:color w:val="auto"/>
              </w:rPr>
              <w:t>应禁止物资运输车辆在夜间22:00</w:t>
            </w:r>
            <w:r>
              <w:rPr>
                <w:rFonts w:hint="eastAsia"/>
                <w:color w:val="auto"/>
                <w:lang w:eastAsia="zh-CN"/>
              </w:rPr>
              <w:t>～</w:t>
            </w:r>
            <w:r>
              <w:rPr>
                <w:rFonts w:hint="eastAsia"/>
                <w:color w:val="auto"/>
                <w:lang w:val="en-US" w:eastAsia="zh-CN"/>
              </w:rPr>
              <w:t>次日</w:t>
            </w:r>
            <w:r>
              <w:rPr>
                <w:rFonts w:hint="eastAsia"/>
                <w:color w:val="auto"/>
              </w:rPr>
              <w:t>凌晨6:00经过靠近村庄的道路。加强工程区施工道路的养护。</w:t>
            </w:r>
          </w:p>
          <w:p w14:paraId="582DB65F">
            <w:pPr>
              <w:bidi w:val="0"/>
              <w:rPr>
                <w:rFonts w:hint="eastAsia"/>
                <w:color w:val="auto"/>
              </w:rPr>
            </w:pPr>
            <w:r>
              <w:rPr>
                <w:rFonts w:hint="eastAsia"/>
                <w:color w:val="auto"/>
                <w:lang w:eastAsia="zh-CN"/>
              </w:rPr>
              <w:t>（</w:t>
            </w:r>
            <w:r>
              <w:rPr>
                <w:rFonts w:hint="eastAsia"/>
                <w:color w:val="auto"/>
              </w:rPr>
              <w:t>3</w:t>
            </w:r>
            <w:r>
              <w:rPr>
                <w:rFonts w:hint="eastAsia"/>
                <w:color w:val="auto"/>
                <w:lang w:eastAsia="zh-CN"/>
              </w:rPr>
              <w:t>）</w:t>
            </w:r>
            <w:r>
              <w:rPr>
                <w:rFonts w:hint="eastAsia"/>
                <w:color w:val="auto"/>
              </w:rPr>
              <w:t>加强施工管理，合理安排施工时间，禁止夜间22:00</w:t>
            </w:r>
            <w:r>
              <w:rPr>
                <w:rFonts w:hint="eastAsia"/>
                <w:color w:val="auto"/>
                <w:lang w:eastAsia="zh-CN"/>
              </w:rPr>
              <w:t>～</w:t>
            </w:r>
            <w:r>
              <w:rPr>
                <w:rFonts w:hint="eastAsia"/>
                <w:color w:val="auto"/>
                <w:lang w:val="en-US" w:eastAsia="zh-CN"/>
              </w:rPr>
              <w:t>次日</w:t>
            </w:r>
            <w:r>
              <w:rPr>
                <w:rFonts w:hint="eastAsia"/>
                <w:color w:val="auto"/>
              </w:rPr>
              <w:t>凌晨6:00施工。若因施工工艺需要，确需连续施工则需事先申报，经施工所在地</w:t>
            </w:r>
            <w:r>
              <w:rPr>
                <w:rFonts w:hint="eastAsia"/>
                <w:color w:val="auto"/>
                <w:lang w:val="en-US" w:eastAsia="zh-CN"/>
              </w:rPr>
              <w:t>相关部门</w:t>
            </w:r>
            <w:r>
              <w:rPr>
                <w:rFonts w:hint="eastAsia"/>
                <w:color w:val="auto"/>
              </w:rPr>
              <w:t>批准后方可进行，并提前</w:t>
            </w:r>
            <w:r>
              <w:rPr>
                <w:rFonts w:hint="eastAsia"/>
                <w:color w:val="auto"/>
                <w:lang w:eastAsia="zh-CN"/>
              </w:rPr>
              <w:t>告知</w:t>
            </w:r>
            <w:r>
              <w:rPr>
                <w:rFonts w:hint="eastAsia"/>
                <w:color w:val="auto"/>
              </w:rPr>
              <w:t>当地居民。</w:t>
            </w:r>
          </w:p>
          <w:p w14:paraId="60B2190E">
            <w:pPr>
              <w:bidi w:val="0"/>
              <w:ind w:left="0" w:leftChars="0" w:firstLine="0" w:firstLineChars="0"/>
              <w:rPr>
                <w:rFonts w:hint="eastAsia"/>
                <w:b/>
                <w:bCs/>
                <w:color w:val="auto"/>
              </w:rPr>
            </w:pPr>
            <w:r>
              <w:rPr>
                <w:rFonts w:hint="eastAsia"/>
                <w:b/>
                <w:bCs/>
                <w:color w:val="auto"/>
              </w:rPr>
              <w:t>2</w:t>
            </w:r>
            <w:r>
              <w:rPr>
                <w:rFonts w:hint="eastAsia"/>
                <w:b/>
                <w:bCs/>
                <w:color w:val="auto"/>
                <w:lang w:val="en-US" w:eastAsia="zh-CN"/>
              </w:rPr>
              <w:t>.</w:t>
            </w:r>
            <w:r>
              <w:rPr>
                <w:rFonts w:hint="eastAsia"/>
                <w:b/>
                <w:bCs/>
                <w:color w:val="auto"/>
              </w:rPr>
              <w:t>水环境保护措施</w:t>
            </w:r>
          </w:p>
          <w:p w14:paraId="05FF4356">
            <w:pPr>
              <w:bidi w:val="0"/>
              <w:rPr>
                <w:rFonts w:hint="eastAsia"/>
                <w:color w:val="auto"/>
              </w:rPr>
            </w:pPr>
            <w:r>
              <w:rPr>
                <w:rFonts w:hint="eastAsia"/>
                <w:color w:val="auto"/>
                <w:lang w:eastAsia="zh-CN"/>
              </w:rPr>
              <w:t>（</w:t>
            </w:r>
            <w:r>
              <w:rPr>
                <w:rFonts w:hint="eastAsia"/>
                <w:color w:val="auto"/>
              </w:rPr>
              <w:t>1</w:t>
            </w:r>
            <w:r>
              <w:rPr>
                <w:rFonts w:hint="eastAsia"/>
                <w:color w:val="auto"/>
                <w:lang w:eastAsia="zh-CN"/>
              </w:rPr>
              <w:t>）</w:t>
            </w:r>
            <w:r>
              <w:rPr>
                <w:rFonts w:hint="eastAsia"/>
                <w:color w:val="auto"/>
              </w:rPr>
              <w:t>尽量避</w:t>
            </w:r>
            <w:r>
              <w:rPr>
                <w:rFonts w:hint="eastAsia"/>
                <w:color w:val="auto"/>
                <w:lang w:eastAsia="zh-CN"/>
              </w:rPr>
              <w:t>免在</w:t>
            </w:r>
            <w:r>
              <w:rPr>
                <w:rFonts w:hint="eastAsia"/>
                <w:color w:val="auto"/>
              </w:rPr>
              <w:t>雨季进行大规模的地面开挖作业。</w:t>
            </w:r>
          </w:p>
          <w:p w14:paraId="0245C504">
            <w:pPr>
              <w:bidi w:val="0"/>
              <w:rPr>
                <w:rFonts w:hint="eastAsia"/>
                <w:color w:val="auto"/>
                <w:highlight w:val="none"/>
              </w:rPr>
            </w:pPr>
            <w:r>
              <w:rPr>
                <w:rFonts w:hint="eastAsia"/>
                <w:color w:val="auto"/>
                <w:highlight w:val="none"/>
                <w:lang w:eastAsia="zh-CN"/>
              </w:rPr>
              <w:t>（</w:t>
            </w:r>
            <w:r>
              <w:rPr>
                <w:rFonts w:hint="eastAsia"/>
                <w:color w:val="auto"/>
                <w:highlight w:val="none"/>
              </w:rPr>
              <w:t>2</w:t>
            </w:r>
            <w:r>
              <w:rPr>
                <w:rFonts w:hint="eastAsia"/>
                <w:color w:val="auto"/>
                <w:highlight w:val="none"/>
                <w:lang w:eastAsia="zh-CN"/>
              </w:rPr>
              <w:t>）</w:t>
            </w:r>
            <w:r>
              <w:rPr>
                <w:rFonts w:hint="eastAsia"/>
                <w:color w:val="auto"/>
                <w:highlight w:val="none"/>
              </w:rPr>
              <w:t>施工期在场内</w:t>
            </w:r>
            <w:r>
              <w:rPr>
                <w:rFonts w:hint="eastAsia"/>
                <w:color w:val="auto"/>
                <w:highlight w:val="none"/>
                <w:lang w:val="en-US" w:eastAsia="zh-CN"/>
              </w:rPr>
              <w:t>XZB02风机平台、XZB16风机平台、升压站</w:t>
            </w:r>
            <w:r>
              <w:rPr>
                <w:rFonts w:hint="eastAsia"/>
                <w:color w:val="auto"/>
                <w:highlight w:val="none"/>
              </w:rPr>
              <w:t>修建</w:t>
            </w:r>
            <w:r>
              <w:rPr>
                <w:rFonts w:hint="eastAsia"/>
                <w:color w:val="auto"/>
                <w:highlight w:val="none"/>
                <w:lang w:val="en-US" w:eastAsia="zh-CN"/>
              </w:rPr>
              <w:t>3</w:t>
            </w:r>
            <w:r>
              <w:rPr>
                <w:rFonts w:hint="eastAsia"/>
                <w:color w:val="auto"/>
                <w:highlight w:val="none"/>
              </w:rPr>
              <w:t>座临时沉淀池</w:t>
            </w:r>
            <w:r>
              <w:rPr>
                <w:rFonts w:hint="eastAsia"/>
                <w:color w:val="auto"/>
                <w:highlight w:val="none"/>
                <w:lang w:eastAsia="zh-CN"/>
              </w:rPr>
              <w:t>（</w:t>
            </w:r>
            <w:r>
              <w:rPr>
                <w:rFonts w:hint="eastAsia"/>
                <w:color w:val="auto"/>
                <w:highlight w:val="none"/>
              </w:rPr>
              <w:t>容积均为</w:t>
            </w:r>
            <w:r>
              <w:rPr>
                <w:rFonts w:hint="eastAsia"/>
                <w:color w:val="auto"/>
                <w:highlight w:val="none"/>
                <w:lang w:val="en-US" w:eastAsia="zh-CN"/>
              </w:rPr>
              <w:t>3</w:t>
            </w:r>
            <w:r>
              <w:rPr>
                <w:rFonts w:hint="eastAsia"/>
                <w:color w:val="auto"/>
                <w:highlight w:val="none"/>
              </w:rPr>
              <w:t>m</w:t>
            </w:r>
            <w:r>
              <w:rPr>
                <w:rFonts w:hint="eastAsia"/>
                <w:color w:val="auto"/>
                <w:highlight w:val="none"/>
                <w:vertAlign w:val="superscript"/>
              </w:rPr>
              <w:t>3</w:t>
            </w:r>
            <w:r>
              <w:rPr>
                <w:rFonts w:hint="eastAsia"/>
                <w:color w:val="auto"/>
                <w:highlight w:val="none"/>
                <w:lang w:eastAsia="zh-CN"/>
              </w:rPr>
              <w:t>）</w:t>
            </w:r>
            <w:r>
              <w:rPr>
                <w:rFonts w:hint="eastAsia"/>
                <w:color w:val="auto"/>
                <w:highlight w:val="none"/>
              </w:rPr>
              <w:t>和</w:t>
            </w:r>
            <w:r>
              <w:rPr>
                <w:rFonts w:hint="eastAsia"/>
                <w:color w:val="auto"/>
                <w:highlight w:val="none"/>
                <w:lang w:val="en-US" w:eastAsia="zh-CN"/>
              </w:rPr>
              <w:t>4</w:t>
            </w:r>
            <w:r>
              <w:rPr>
                <w:rFonts w:hint="eastAsia"/>
                <w:color w:val="auto"/>
                <w:highlight w:val="none"/>
              </w:rPr>
              <w:t>套临时简易雨水收集设施</w:t>
            </w:r>
            <w:r>
              <w:rPr>
                <w:rFonts w:hint="eastAsia"/>
                <w:color w:val="auto"/>
                <w:highlight w:val="none"/>
                <w:lang w:eastAsia="zh-CN"/>
              </w:rPr>
              <w:t>（</w:t>
            </w:r>
            <w:r>
              <w:rPr>
                <w:rFonts w:hint="eastAsia"/>
                <w:color w:val="auto"/>
                <w:highlight w:val="none"/>
                <w:lang w:val="en-US" w:eastAsia="zh-CN"/>
              </w:rPr>
              <w:t>每个风机平台1套</w:t>
            </w:r>
            <w:r>
              <w:rPr>
                <w:rFonts w:hint="eastAsia"/>
                <w:color w:val="auto"/>
                <w:highlight w:val="none"/>
                <w:lang w:eastAsia="zh-CN"/>
              </w:rPr>
              <w:t>）</w:t>
            </w:r>
            <w:r>
              <w:rPr>
                <w:rFonts w:hint="eastAsia"/>
                <w:color w:val="auto"/>
                <w:highlight w:val="none"/>
              </w:rPr>
              <w:t>，施工废水经收集后进入沉淀池处理。施工废水经收集沉淀处理后全部回用于施工或洒水降尘，不得外排。</w:t>
            </w:r>
          </w:p>
          <w:p w14:paraId="25262D86">
            <w:pPr>
              <w:bidi w:val="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rFonts w:hint="eastAsia"/>
                <w:color w:val="auto"/>
                <w:highlight w:val="none"/>
              </w:rPr>
              <w:t>施工现场生活污水分散且量小，在施工期现场设置</w:t>
            </w:r>
            <w:r>
              <w:rPr>
                <w:rFonts w:hint="eastAsia"/>
                <w:color w:val="auto"/>
                <w:highlight w:val="none"/>
                <w:lang w:val="en-US" w:eastAsia="zh-CN"/>
              </w:rPr>
              <w:t>1</w:t>
            </w:r>
            <w:r>
              <w:rPr>
                <w:rFonts w:hint="eastAsia"/>
                <w:color w:val="auto"/>
                <w:highlight w:val="none"/>
              </w:rPr>
              <w:t>座防渗</w:t>
            </w:r>
            <w:r>
              <w:rPr>
                <w:rFonts w:hint="eastAsia"/>
                <w:color w:val="auto"/>
                <w:highlight w:val="none"/>
                <w:lang w:val="en-US" w:eastAsia="zh-CN"/>
              </w:rPr>
              <w:t>移动式</w:t>
            </w:r>
            <w:r>
              <w:rPr>
                <w:rFonts w:hint="eastAsia"/>
                <w:color w:val="auto"/>
                <w:highlight w:val="none"/>
              </w:rPr>
              <w:t>旱厕、</w:t>
            </w:r>
            <w:r>
              <w:rPr>
                <w:rFonts w:hint="eastAsia"/>
                <w:color w:val="auto"/>
                <w:highlight w:val="none"/>
                <w:lang w:val="en-US" w:eastAsia="zh-CN"/>
              </w:rPr>
              <w:t>玻璃钢</w:t>
            </w:r>
            <w:r>
              <w:rPr>
                <w:rFonts w:hint="eastAsia"/>
                <w:color w:val="auto"/>
                <w:highlight w:val="none"/>
              </w:rPr>
              <w:t>化粪池</w:t>
            </w:r>
            <w:r>
              <w:rPr>
                <w:rFonts w:hint="eastAsia"/>
                <w:color w:val="auto"/>
                <w:highlight w:val="none"/>
                <w:lang w:eastAsia="zh-CN"/>
              </w:rPr>
              <w:t>（</w:t>
            </w:r>
            <w:r>
              <w:rPr>
                <w:rFonts w:hint="eastAsia"/>
                <w:color w:val="auto"/>
                <w:highlight w:val="none"/>
              </w:rPr>
              <w:t>10m</w:t>
            </w:r>
            <w:r>
              <w:rPr>
                <w:rFonts w:hint="eastAsia"/>
                <w:color w:val="auto"/>
                <w:highlight w:val="none"/>
                <w:vertAlign w:val="superscript"/>
                <w:lang w:val="en-US" w:eastAsia="zh-CN"/>
              </w:rPr>
              <w:t>3</w:t>
            </w:r>
            <w:r>
              <w:rPr>
                <w:rFonts w:hint="eastAsia"/>
                <w:color w:val="auto"/>
                <w:highlight w:val="none"/>
                <w:lang w:eastAsia="zh-CN"/>
              </w:rPr>
              <w:t>）</w:t>
            </w:r>
            <w:r>
              <w:rPr>
                <w:rFonts w:hint="eastAsia"/>
                <w:color w:val="auto"/>
                <w:highlight w:val="none"/>
              </w:rPr>
              <w:t>，收集施工人员的粪便污水，定期请当地农民清运作农家肥。施工结束后，</w:t>
            </w:r>
            <w:r>
              <w:rPr>
                <w:rFonts w:hint="eastAsia"/>
                <w:color w:val="auto"/>
                <w:highlight w:val="none"/>
                <w:lang w:eastAsia="zh-CN"/>
              </w:rPr>
              <w:t>旱</w:t>
            </w:r>
            <w:r>
              <w:rPr>
                <w:rFonts w:hint="eastAsia"/>
                <w:color w:val="auto"/>
                <w:highlight w:val="none"/>
              </w:rPr>
              <w:t>厕和化粪池全部拆除填埋，恢复植被或复耕</w:t>
            </w:r>
            <w:r>
              <w:rPr>
                <w:rFonts w:hint="eastAsia"/>
                <w:color w:val="auto"/>
                <w:highlight w:val="none"/>
                <w:lang w:eastAsia="zh-CN"/>
              </w:rPr>
              <w:t>。</w:t>
            </w:r>
          </w:p>
          <w:p w14:paraId="684FCAFF">
            <w:pPr>
              <w:bidi w:val="0"/>
              <w:rPr>
                <w:rFonts w:hint="eastAsia"/>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eastAsia"/>
                <w:color w:val="auto"/>
              </w:rPr>
              <w:t>为尽可能避免施工物料运输或发生交通事故，对周边水体水质造成污染</w:t>
            </w:r>
            <w:r>
              <w:rPr>
                <w:rFonts w:hint="eastAsia"/>
                <w:color w:val="auto"/>
                <w:lang w:eastAsia="zh-CN"/>
              </w:rPr>
              <w:t>，</w:t>
            </w:r>
            <w:r>
              <w:rPr>
                <w:rFonts w:hint="eastAsia"/>
                <w:color w:val="auto"/>
              </w:rPr>
              <w:t>应合理安排运输工作，并在场区内主要路口处设置警示牌或警示围栏，提醒驾驶员减速慢行，减小事故发生的</w:t>
            </w:r>
            <w:r>
              <w:rPr>
                <w:rFonts w:hint="eastAsia"/>
                <w:color w:val="auto"/>
                <w:lang w:eastAsia="zh-CN"/>
              </w:rPr>
              <w:t>概率</w:t>
            </w:r>
            <w:r>
              <w:rPr>
                <w:rFonts w:hint="eastAsia"/>
                <w:color w:val="auto"/>
              </w:rPr>
              <w:t>。</w:t>
            </w:r>
          </w:p>
          <w:p w14:paraId="193ABCB1">
            <w:pPr>
              <w:bidi w:val="0"/>
              <w:rPr>
                <w:rFonts w:hint="eastAsia"/>
                <w:color w:val="auto"/>
                <w:lang w:eastAsia="zh-CN"/>
              </w:rPr>
            </w:pPr>
            <w:r>
              <w:rPr>
                <w:rFonts w:hint="eastAsia"/>
                <w:color w:val="auto"/>
                <w:lang w:eastAsia="zh-CN"/>
              </w:rPr>
              <w:t>（</w:t>
            </w:r>
            <w:r>
              <w:rPr>
                <w:rFonts w:hint="eastAsia"/>
                <w:color w:val="auto"/>
                <w:lang w:val="en-US" w:eastAsia="zh-CN"/>
              </w:rPr>
              <w:t>5</w:t>
            </w:r>
            <w:r>
              <w:rPr>
                <w:rFonts w:hint="eastAsia"/>
                <w:color w:val="auto"/>
                <w:lang w:eastAsia="zh-CN"/>
              </w:rPr>
              <w:t>）结合水土保持方案，做好项目施工区的排水沟、沉沙池，减少水土流失和地表径流含沙量，不得向汇水区</w:t>
            </w:r>
            <w:r>
              <w:rPr>
                <w:rFonts w:hint="eastAsia"/>
                <w:color w:val="auto"/>
                <w:lang w:val="en-US" w:eastAsia="zh-CN"/>
              </w:rPr>
              <w:t>河流、水库或坝塘</w:t>
            </w:r>
            <w:r>
              <w:rPr>
                <w:rFonts w:hint="eastAsia"/>
                <w:color w:val="auto"/>
                <w:lang w:eastAsia="zh-CN"/>
              </w:rPr>
              <w:t>排水。施工结束后对施工区临时占地进行植被恢复，增强占地区的水土保持和水源涵养能力。</w:t>
            </w:r>
          </w:p>
          <w:p w14:paraId="3C61EF07">
            <w:pPr>
              <w:bidi w:val="0"/>
              <w:rPr>
                <w:rFonts w:hint="eastAsia"/>
                <w:color w:val="auto"/>
                <w:lang w:eastAsia="zh-CN"/>
              </w:rPr>
            </w:pPr>
            <w:r>
              <w:rPr>
                <w:rFonts w:hint="eastAsia"/>
                <w:color w:val="auto"/>
                <w:lang w:eastAsia="zh-CN"/>
              </w:rPr>
              <w:t>（</w:t>
            </w:r>
            <w:r>
              <w:rPr>
                <w:rFonts w:hint="eastAsia"/>
                <w:color w:val="auto"/>
                <w:lang w:val="en-US" w:eastAsia="zh-CN"/>
              </w:rPr>
              <w:t>6</w:t>
            </w:r>
            <w:r>
              <w:rPr>
                <w:rFonts w:hint="eastAsia"/>
                <w:color w:val="auto"/>
                <w:lang w:eastAsia="zh-CN"/>
              </w:rPr>
              <w:t>）严格管理建筑垃圾和施工人员生活垃圾，统一收集，避免污染附近水体水质。</w:t>
            </w:r>
          </w:p>
          <w:p w14:paraId="6275CA40">
            <w:pPr>
              <w:bidi w:val="0"/>
              <w:rPr>
                <w:rFonts w:hint="eastAsia"/>
                <w:color w:val="auto"/>
                <w:lang w:eastAsia="zh-CN"/>
              </w:rPr>
            </w:pPr>
            <w:r>
              <w:rPr>
                <w:rFonts w:hint="eastAsia"/>
                <w:color w:val="auto"/>
                <w:lang w:eastAsia="zh-CN"/>
              </w:rPr>
              <w:t>（</w:t>
            </w:r>
            <w:r>
              <w:rPr>
                <w:rFonts w:hint="eastAsia"/>
                <w:color w:val="auto"/>
                <w:lang w:val="en-US" w:eastAsia="zh-CN"/>
              </w:rPr>
              <w:t>7</w:t>
            </w:r>
            <w:r>
              <w:rPr>
                <w:rFonts w:hint="eastAsia"/>
                <w:color w:val="auto"/>
                <w:lang w:eastAsia="zh-CN"/>
              </w:rPr>
              <w:t>）本项目所在区域</w:t>
            </w:r>
            <w:r>
              <w:rPr>
                <w:rFonts w:hint="eastAsia"/>
                <w:color w:val="auto"/>
                <w:lang w:val="en-US" w:eastAsia="zh-CN"/>
              </w:rPr>
              <w:t>有一座</w:t>
            </w:r>
            <w:r>
              <w:rPr>
                <w:rFonts w:hint="eastAsia"/>
                <w:color w:val="auto"/>
                <w:lang w:eastAsia="zh-CN"/>
              </w:rPr>
              <w:t>灌溉用水的坝塘型水库</w:t>
            </w:r>
            <w:r>
              <w:rPr>
                <w:rFonts w:hint="eastAsia"/>
                <w:color w:val="auto"/>
                <w:lang w:val="en-US" w:eastAsia="zh-CN"/>
              </w:rPr>
              <w:t>双菱角水库</w:t>
            </w:r>
            <w:r>
              <w:rPr>
                <w:rFonts w:hint="eastAsia"/>
                <w:color w:val="auto"/>
                <w:lang w:eastAsia="zh-CN"/>
              </w:rPr>
              <w:t>，本项目禁止在任何水库汇水区范围内设置沉淀池、旱厕等临时措施。</w:t>
            </w:r>
          </w:p>
          <w:p w14:paraId="58FCA361">
            <w:pPr>
              <w:bidi w:val="0"/>
              <w:ind w:left="0" w:leftChars="0" w:firstLine="0" w:firstLineChars="0"/>
              <w:rPr>
                <w:rFonts w:hint="eastAsia"/>
                <w:b/>
                <w:bCs/>
                <w:color w:val="auto"/>
                <w:lang w:eastAsia="zh-CN"/>
              </w:rPr>
            </w:pPr>
            <w:r>
              <w:rPr>
                <w:rFonts w:hint="eastAsia"/>
                <w:b/>
                <w:bCs/>
                <w:color w:val="auto"/>
                <w:lang w:eastAsia="zh-CN"/>
              </w:rPr>
              <w:t>3</w:t>
            </w:r>
            <w:r>
              <w:rPr>
                <w:rFonts w:hint="eastAsia"/>
                <w:b/>
                <w:bCs/>
                <w:color w:val="auto"/>
                <w:lang w:val="en-US" w:eastAsia="zh-CN"/>
              </w:rPr>
              <w:t>.</w:t>
            </w:r>
            <w:r>
              <w:rPr>
                <w:rFonts w:hint="eastAsia"/>
                <w:b/>
                <w:bCs/>
                <w:color w:val="auto"/>
                <w:lang w:eastAsia="zh-CN"/>
              </w:rPr>
              <w:t>大气环境保护措施</w:t>
            </w:r>
          </w:p>
          <w:p w14:paraId="36131699">
            <w:pPr>
              <w:bidi w:val="0"/>
              <w:rPr>
                <w:rFonts w:hint="eastAsia"/>
                <w:color w:val="auto"/>
                <w:lang w:eastAsia="zh-CN"/>
              </w:rPr>
            </w:pPr>
            <w:r>
              <w:rPr>
                <w:rFonts w:hint="eastAsia"/>
                <w:color w:val="auto"/>
                <w:lang w:eastAsia="zh-CN"/>
              </w:rPr>
              <w:t>（1）料场堆放物料采用篷布遮盖、围挡等措施防尘抑尘。</w:t>
            </w:r>
          </w:p>
          <w:p w14:paraId="00CEB640">
            <w:pPr>
              <w:bidi w:val="0"/>
              <w:rPr>
                <w:rFonts w:hint="eastAsia"/>
                <w:color w:val="auto"/>
                <w:lang w:eastAsia="zh-CN"/>
              </w:rPr>
            </w:pPr>
            <w:r>
              <w:rPr>
                <w:rFonts w:hint="eastAsia"/>
                <w:color w:val="auto"/>
                <w:lang w:eastAsia="zh-CN"/>
              </w:rPr>
              <w:t>（2）运输车辆进入</w:t>
            </w:r>
            <w:r>
              <w:rPr>
                <w:rFonts w:hint="eastAsia"/>
                <w:color w:val="auto"/>
                <w:lang w:val="en-US" w:eastAsia="zh-CN"/>
              </w:rPr>
              <w:t>村庄区域</w:t>
            </w:r>
            <w:r>
              <w:rPr>
                <w:rFonts w:hint="eastAsia"/>
                <w:color w:val="auto"/>
                <w:lang w:eastAsia="zh-CN"/>
              </w:rPr>
              <w:t>应低速行驶或限速行驶，</w:t>
            </w:r>
            <w:r>
              <w:rPr>
                <w:rFonts w:hint="eastAsia"/>
                <w:color w:val="auto"/>
                <w:lang w:val="en-US" w:eastAsia="zh-CN"/>
              </w:rPr>
              <w:t>经过村庄和场区内的</w:t>
            </w:r>
            <w:r>
              <w:rPr>
                <w:rFonts w:hint="eastAsia"/>
                <w:color w:val="auto"/>
                <w:lang w:eastAsia="zh-CN"/>
              </w:rPr>
              <w:t>运输通道及时清扫、定期洒水，对运载建筑材料、建筑垃圾和粉状材料的车辆加盖篷布减少洒落；限制运输车辆的行驶速度，场地道路上行车速度</w:t>
            </w:r>
            <w:r>
              <w:rPr>
                <w:rFonts w:hint="eastAsia"/>
                <w:color w:val="auto"/>
                <w:lang w:val="en-US" w:eastAsia="zh-CN"/>
              </w:rPr>
              <w:t>尽量不</w:t>
            </w:r>
            <w:r>
              <w:rPr>
                <w:rFonts w:hint="eastAsia"/>
                <w:color w:val="auto"/>
                <w:lang w:eastAsia="zh-CN"/>
              </w:rPr>
              <w:t>超过20km/h。</w:t>
            </w:r>
          </w:p>
          <w:p w14:paraId="00A596A9">
            <w:pPr>
              <w:bidi w:val="0"/>
              <w:rPr>
                <w:rFonts w:hint="eastAsia"/>
                <w:color w:val="auto"/>
                <w:lang w:eastAsia="zh-CN"/>
              </w:rPr>
            </w:pPr>
            <w:r>
              <w:rPr>
                <w:rFonts w:hint="eastAsia"/>
                <w:color w:val="auto"/>
                <w:lang w:eastAsia="zh-CN"/>
              </w:rPr>
              <w:t>（3）施工期间根据具体情况适时对施工现场、交通道路洒水，每日至少2次（降雨日除外），春季干旱多风日可适当增加洒水次数，车辆物资运输经过的路段应增加洒水次数。</w:t>
            </w:r>
          </w:p>
          <w:p w14:paraId="493A6B53">
            <w:pPr>
              <w:bidi w:val="0"/>
              <w:rPr>
                <w:rFonts w:hint="eastAsia"/>
                <w:color w:val="auto"/>
                <w:lang w:eastAsia="zh-CN"/>
              </w:rPr>
            </w:pPr>
            <w:r>
              <w:rPr>
                <w:rFonts w:hint="eastAsia"/>
                <w:color w:val="auto"/>
                <w:lang w:eastAsia="zh-CN"/>
              </w:rPr>
              <w:t>（</w:t>
            </w:r>
            <w:r>
              <w:rPr>
                <w:rFonts w:hint="eastAsia"/>
                <w:color w:val="auto"/>
                <w:lang w:val="en-US" w:eastAsia="zh-CN"/>
              </w:rPr>
              <w:t>4</w:t>
            </w:r>
            <w:r>
              <w:rPr>
                <w:rFonts w:hint="eastAsia"/>
                <w:color w:val="auto"/>
                <w:lang w:eastAsia="zh-CN"/>
              </w:rPr>
              <w:t>）尽量减少临时占地，严禁破坏永久占地和临时占地外的植被。</w:t>
            </w:r>
          </w:p>
          <w:p w14:paraId="0F14D9FF">
            <w:pPr>
              <w:bidi w:val="0"/>
              <w:rPr>
                <w:rFonts w:hint="eastAsia"/>
                <w:color w:val="auto"/>
                <w:lang w:eastAsia="zh-CN"/>
              </w:rPr>
            </w:pPr>
            <w:r>
              <w:rPr>
                <w:rFonts w:hint="eastAsia"/>
                <w:color w:val="auto"/>
                <w:lang w:eastAsia="zh-CN"/>
              </w:rPr>
              <w:t>（</w:t>
            </w:r>
            <w:r>
              <w:rPr>
                <w:rFonts w:hint="eastAsia"/>
                <w:color w:val="auto"/>
                <w:lang w:val="en-US" w:eastAsia="zh-CN"/>
              </w:rPr>
              <w:t>5</w:t>
            </w:r>
            <w:r>
              <w:rPr>
                <w:rFonts w:hint="eastAsia"/>
                <w:color w:val="auto"/>
                <w:lang w:eastAsia="zh-CN"/>
              </w:rPr>
              <w:t>）施工期对风机基座开挖的土方</w:t>
            </w:r>
            <w:r>
              <w:rPr>
                <w:rFonts w:hint="eastAsia"/>
                <w:color w:val="auto"/>
                <w:lang w:val="en-US" w:eastAsia="zh-CN"/>
              </w:rPr>
              <w:t>及时</w:t>
            </w:r>
            <w:r>
              <w:rPr>
                <w:rFonts w:hint="eastAsia"/>
                <w:color w:val="auto"/>
                <w:lang w:eastAsia="zh-CN"/>
              </w:rPr>
              <w:t>回填，尽快恢复植被。</w:t>
            </w:r>
          </w:p>
          <w:p w14:paraId="73EBC424">
            <w:pPr>
              <w:bidi w:val="0"/>
              <w:rPr>
                <w:rFonts w:hint="eastAsia"/>
                <w:color w:val="auto"/>
                <w:lang w:eastAsia="zh-CN"/>
              </w:rPr>
            </w:pPr>
            <w:r>
              <w:rPr>
                <w:rFonts w:hint="eastAsia"/>
                <w:color w:val="auto"/>
                <w:lang w:eastAsia="zh-CN"/>
              </w:rPr>
              <w:t>（</w:t>
            </w:r>
            <w:r>
              <w:rPr>
                <w:rFonts w:hint="eastAsia"/>
                <w:color w:val="auto"/>
                <w:lang w:val="en-US" w:eastAsia="zh-CN"/>
              </w:rPr>
              <w:t>6</w:t>
            </w:r>
            <w:r>
              <w:rPr>
                <w:rFonts w:hint="eastAsia"/>
                <w:color w:val="auto"/>
                <w:lang w:eastAsia="zh-CN"/>
              </w:rPr>
              <w:t>）对临时堆土点的弃土弃渣应尽快回填利用，暂时不能利用的采用编织袋进行临时挡护，顶面用土工布进行覆盖。</w:t>
            </w:r>
          </w:p>
          <w:p w14:paraId="79FE65DF">
            <w:pPr>
              <w:bidi w:val="0"/>
              <w:rPr>
                <w:rFonts w:hint="eastAsia"/>
                <w:color w:val="auto"/>
                <w:lang w:eastAsia="zh-CN"/>
              </w:rPr>
            </w:pPr>
            <w:r>
              <w:rPr>
                <w:rFonts w:hint="eastAsia"/>
                <w:color w:val="auto"/>
                <w:lang w:eastAsia="zh-CN"/>
              </w:rPr>
              <w:t>（</w:t>
            </w:r>
            <w:r>
              <w:rPr>
                <w:rFonts w:hint="eastAsia"/>
                <w:color w:val="auto"/>
                <w:lang w:val="en-US" w:eastAsia="zh-CN"/>
              </w:rPr>
              <w:t>7</w:t>
            </w:r>
            <w:r>
              <w:rPr>
                <w:rFonts w:hint="eastAsia"/>
                <w:color w:val="auto"/>
                <w:lang w:eastAsia="zh-CN"/>
              </w:rPr>
              <w:t>）</w:t>
            </w:r>
            <w:r>
              <w:rPr>
                <w:rFonts w:hint="eastAsia"/>
                <w:color w:val="auto"/>
                <w:lang w:val="en-US" w:eastAsia="zh-CN"/>
              </w:rPr>
              <w:t>项目新建道路346m</w:t>
            </w:r>
            <w:r>
              <w:rPr>
                <w:rFonts w:hint="eastAsia"/>
                <w:color w:val="auto"/>
                <w:lang w:eastAsia="zh-CN"/>
              </w:rPr>
              <w:t>，由于多为挖方或半挖半填路段，其挖填形成的边坡较小，采用土工布覆盖临时防护。</w:t>
            </w:r>
          </w:p>
          <w:p w14:paraId="3D866434">
            <w:pPr>
              <w:bidi w:val="0"/>
              <w:ind w:left="0" w:leftChars="0" w:firstLine="0" w:firstLineChars="0"/>
              <w:rPr>
                <w:rFonts w:hint="eastAsia"/>
                <w:b/>
                <w:bCs/>
                <w:color w:val="auto"/>
                <w:lang w:eastAsia="zh-CN"/>
              </w:rPr>
            </w:pPr>
            <w:r>
              <w:rPr>
                <w:rFonts w:hint="eastAsia"/>
                <w:b/>
                <w:bCs/>
                <w:color w:val="auto"/>
                <w:lang w:eastAsia="zh-CN"/>
              </w:rPr>
              <w:t>4</w:t>
            </w:r>
            <w:r>
              <w:rPr>
                <w:rFonts w:hint="eastAsia"/>
                <w:b/>
                <w:bCs/>
                <w:color w:val="auto"/>
                <w:lang w:val="en-US" w:eastAsia="zh-CN"/>
              </w:rPr>
              <w:t>.</w:t>
            </w:r>
            <w:r>
              <w:rPr>
                <w:rFonts w:hint="eastAsia"/>
                <w:b/>
                <w:bCs/>
                <w:color w:val="auto"/>
                <w:lang w:eastAsia="zh-CN"/>
              </w:rPr>
              <w:t>固体废弃物防治措施</w:t>
            </w:r>
          </w:p>
          <w:p w14:paraId="64753C2E">
            <w:pPr>
              <w:bidi w:val="0"/>
              <w:rPr>
                <w:rFonts w:hint="eastAsia"/>
                <w:color w:val="auto"/>
                <w:lang w:eastAsia="zh-CN"/>
              </w:rPr>
            </w:pPr>
            <w:r>
              <w:rPr>
                <w:rFonts w:hint="eastAsia"/>
                <w:color w:val="auto"/>
                <w:lang w:eastAsia="zh-CN"/>
              </w:rPr>
              <w:t>（1）弃</w:t>
            </w:r>
            <w:r>
              <w:rPr>
                <w:rFonts w:hint="eastAsia"/>
                <w:color w:val="auto"/>
                <w:lang w:val="en-US" w:eastAsia="zh-CN"/>
              </w:rPr>
              <w:t>土</w:t>
            </w:r>
          </w:p>
          <w:p w14:paraId="013D6811">
            <w:pPr>
              <w:bidi w:val="0"/>
              <w:rPr>
                <w:rFonts w:hint="eastAsia"/>
                <w:color w:val="auto"/>
                <w:lang w:eastAsia="zh-CN"/>
              </w:rPr>
            </w:pPr>
            <w:r>
              <w:rPr>
                <w:rFonts w:hint="eastAsia"/>
                <w:color w:val="auto"/>
                <w:lang w:val="en-US" w:eastAsia="zh-CN"/>
              </w:rPr>
              <w:t>项目风机区的土石方就地回覆，升压站开挖的土石方运输至风机区用于场内道路回填，运输车辆加盖篷布减少洒落，施工期间土石方平衡，不产生额外弃土</w:t>
            </w:r>
            <w:r>
              <w:rPr>
                <w:rFonts w:hint="eastAsia"/>
                <w:color w:val="auto"/>
                <w:lang w:eastAsia="zh-CN"/>
              </w:rPr>
              <w:t>。</w:t>
            </w:r>
          </w:p>
          <w:p w14:paraId="5FE3EBED">
            <w:pPr>
              <w:bidi w:val="0"/>
              <w:rPr>
                <w:rFonts w:hint="eastAsia"/>
                <w:color w:val="auto"/>
                <w:lang w:eastAsia="zh-CN"/>
              </w:rPr>
            </w:pPr>
            <w:r>
              <w:rPr>
                <w:rFonts w:hint="eastAsia"/>
                <w:color w:val="auto"/>
                <w:lang w:eastAsia="zh-CN"/>
              </w:rPr>
              <w:t>（2）施工期生活垃圾、建筑垃圾</w:t>
            </w:r>
          </w:p>
          <w:p w14:paraId="7DFD2A10">
            <w:pPr>
              <w:bidi w:val="0"/>
              <w:rPr>
                <w:rFonts w:hint="eastAsia"/>
                <w:color w:val="auto"/>
                <w:lang w:eastAsia="zh-CN"/>
              </w:rPr>
            </w:pPr>
            <w:r>
              <w:rPr>
                <w:rFonts w:hint="eastAsia"/>
                <w:color w:val="auto"/>
                <w:lang w:eastAsia="zh-CN"/>
              </w:rPr>
              <w:t>1）施工期共配置12个垃圾收集桶统一收集施工人员产生的生活垃圾，施工期生活垃圾统一收集后运至附近村庄垃圾收集点由环卫部门处置。</w:t>
            </w:r>
          </w:p>
          <w:p w14:paraId="6CBA4F69">
            <w:pPr>
              <w:bidi w:val="0"/>
              <w:rPr>
                <w:rFonts w:hint="eastAsia"/>
                <w:color w:val="auto"/>
                <w:lang w:eastAsia="zh-CN"/>
              </w:rPr>
            </w:pPr>
            <w:r>
              <w:rPr>
                <w:rFonts w:hint="eastAsia"/>
                <w:color w:val="auto"/>
                <w:lang w:eastAsia="zh-CN"/>
              </w:rPr>
              <w:t>2）加强对施工承包商的管理，对施工期间产生的包装袋等建筑垃圾，要求施工单位使用防水布料覆盖建筑垃圾贮存点，并及时回收、清运。并将此纳入施工合同的相应条款中。</w:t>
            </w:r>
          </w:p>
          <w:p w14:paraId="3D4C7CC1">
            <w:pPr>
              <w:bidi w:val="0"/>
              <w:ind w:left="0" w:leftChars="0" w:firstLine="0" w:firstLineChars="0"/>
              <w:rPr>
                <w:rFonts w:hint="eastAsia"/>
                <w:b/>
                <w:bCs/>
                <w:color w:val="auto"/>
                <w:lang w:eastAsia="zh-CN"/>
              </w:rPr>
            </w:pPr>
            <w:r>
              <w:rPr>
                <w:rFonts w:hint="eastAsia"/>
                <w:b/>
                <w:bCs/>
                <w:color w:val="auto"/>
                <w:lang w:eastAsia="zh-CN"/>
              </w:rPr>
              <w:t>5</w:t>
            </w:r>
            <w:r>
              <w:rPr>
                <w:rFonts w:hint="eastAsia"/>
                <w:b/>
                <w:bCs/>
                <w:color w:val="auto"/>
                <w:lang w:val="en-US" w:eastAsia="zh-CN"/>
              </w:rPr>
              <w:t>.</w:t>
            </w:r>
            <w:r>
              <w:rPr>
                <w:rFonts w:hint="eastAsia"/>
                <w:b/>
                <w:bCs/>
                <w:color w:val="auto"/>
                <w:lang w:eastAsia="zh-CN"/>
              </w:rPr>
              <w:t>生态环境防治措施</w:t>
            </w:r>
          </w:p>
          <w:p w14:paraId="30628290">
            <w:pPr>
              <w:bidi w:val="0"/>
              <w:rPr>
                <w:rFonts w:hint="eastAsia"/>
                <w:color w:val="auto"/>
                <w:lang w:eastAsia="zh-CN"/>
              </w:rPr>
            </w:pPr>
            <w:r>
              <w:rPr>
                <w:rFonts w:hint="eastAsia"/>
                <w:color w:val="auto"/>
                <w:lang w:eastAsia="zh-CN"/>
              </w:rPr>
              <w:t>（1）禁止在</w:t>
            </w:r>
            <w:r>
              <w:rPr>
                <w:rFonts w:hint="eastAsia"/>
                <w:color w:val="auto"/>
                <w:lang w:val="en-US" w:eastAsia="zh-CN"/>
              </w:rPr>
              <w:t>生态保护红线，基本农田内</w:t>
            </w:r>
            <w:r>
              <w:rPr>
                <w:rFonts w:hint="eastAsia"/>
                <w:color w:val="auto"/>
                <w:lang w:eastAsia="zh-CN"/>
              </w:rPr>
              <w:t>新增占地；</w:t>
            </w:r>
          </w:p>
          <w:p w14:paraId="5686630C">
            <w:pPr>
              <w:bidi w:val="0"/>
              <w:rPr>
                <w:rFonts w:hint="eastAsia"/>
                <w:color w:val="auto"/>
                <w:lang w:eastAsia="zh-CN"/>
              </w:rPr>
            </w:pPr>
            <w:r>
              <w:rPr>
                <w:rFonts w:hint="eastAsia"/>
                <w:color w:val="auto"/>
                <w:lang w:eastAsia="zh-CN"/>
              </w:rPr>
              <w:t>（2）工程在靠近生态保护红线、</w:t>
            </w:r>
            <w:r>
              <w:rPr>
                <w:rFonts w:hint="eastAsia"/>
                <w:color w:val="auto"/>
                <w:lang w:val="en-US" w:eastAsia="zh-CN"/>
              </w:rPr>
              <w:t>天然林</w:t>
            </w:r>
            <w:r>
              <w:rPr>
                <w:rFonts w:hint="eastAsia"/>
                <w:color w:val="auto"/>
                <w:lang w:eastAsia="zh-CN"/>
              </w:rPr>
              <w:t>等敏感因素时，应对靠近的敏感因素边界以彩带围出，施工时禁止跨越以上敏感因素界域；</w:t>
            </w:r>
          </w:p>
          <w:p w14:paraId="6322E13D">
            <w:pPr>
              <w:bidi w:val="0"/>
              <w:rPr>
                <w:rFonts w:hint="eastAsia"/>
                <w:color w:val="auto"/>
                <w:lang w:eastAsia="zh-CN"/>
              </w:rPr>
            </w:pPr>
            <w:r>
              <w:rPr>
                <w:rFonts w:hint="eastAsia"/>
                <w:color w:val="auto"/>
                <w:lang w:eastAsia="zh-CN"/>
              </w:rPr>
              <w:t>（3）收集区域内的绿化树种用作后期植被恢复和绿化；</w:t>
            </w:r>
          </w:p>
          <w:p w14:paraId="1C2D6E28">
            <w:pPr>
              <w:bidi w:val="0"/>
              <w:rPr>
                <w:rFonts w:hint="eastAsia"/>
                <w:color w:val="auto"/>
                <w:lang w:eastAsia="zh-CN"/>
              </w:rPr>
            </w:pPr>
            <w:r>
              <w:rPr>
                <w:rFonts w:hint="eastAsia"/>
                <w:color w:val="auto"/>
                <w:lang w:eastAsia="zh-CN"/>
              </w:rPr>
              <w:t>（4）场内道路尽量沿用已有道路；</w:t>
            </w:r>
          </w:p>
          <w:p w14:paraId="6240377A">
            <w:pPr>
              <w:bidi w:val="0"/>
              <w:rPr>
                <w:rFonts w:hint="eastAsia"/>
                <w:color w:val="auto"/>
                <w:lang w:eastAsia="zh-CN"/>
              </w:rPr>
            </w:pPr>
            <w:r>
              <w:rPr>
                <w:rFonts w:hint="eastAsia"/>
                <w:color w:val="auto"/>
                <w:lang w:eastAsia="zh-CN"/>
              </w:rPr>
              <w:t>（5）施工时尽量避开植被较好的森林、灌丛，减小对动物生境的扰动；</w:t>
            </w:r>
          </w:p>
          <w:p w14:paraId="41230AB5">
            <w:pPr>
              <w:bidi w:val="0"/>
              <w:rPr>
                <w:rFonts w:hint="eastAsia"/>
                <w:color w:val="auto"/>
                <w:lang w:eastAsia="zh-CN"/>
              </w:rPr>
            </w:pPr>
            <w:r>
              <w:rPr>
                <w:rFonts w:hint="eastAsia"/>
                <w:color w:val="auto"/>
                <w:lang w:eastAsia="zh-CN"/>
              </w:rPr>
              <w:t>（6）尽量避免在鸟类繁殖期（春末夏初）进行道路及吊装平台开挖等可能破坏鸟巢及鸟卵的施工作业；控制</w:t>
            </w:r>
            <w:r>
              <w:rPr>
                <w:rFonts w:hint="eastAsia"/>
                <w:color w:val="auto"/>
                <w:lang w:val="en-US" w:eastAsia="zh-CN"/>
              </w:rPr>
              <w:t>土方开挖</w:t>
            </w:r>
            <w:r>
              <w:rPr>
                <w:rFonts w:hint="eastAsia"/>
                <w:color w:val="auto"/>
                <w:lang w:eastAsia="zh-CN"/>
              </w:rPr>
              <w:t>等产生较大噪声的施工，减轻施工噪声对鸟类繁殖的干扰；</w:t>
            </w:r>
          </w:p>
          <w:p w14:paraId="54792AA5">
            <w:pPr>
              <w:bidi w:val="0"/>
              <w:rPr>
                <w:rFonts w:hint="eastAsia"/>
                <w:color w:val="auto"/>
                <w:lang w:eastAsia="zh-CN"/>
              </w:rPr>
            </w:pPr>
            <w:r>
              <w:rPr>
                <w:rFonts w:hint="eastAsia"/>
                <w:color w:val="auto"/>
                <w:lang w:eastAsia="zh-CN"/>
              </w:rPr>
              <w:t>（7）加强鸟类的保护；</w:t>
            </w:r>
          </w:p>
          <w:p w14:paraId="3681C924">
            <w:pPr>
              <w:bidi w:val="0"/>
              <w:rPr>
                <w:rFonts w:hint="eastAsia"/>
                <w:color w:val="auto"/>
                <w:lang w:eastAsia="zh-CN"/>
              </w:rPr>
            </w:pPr>
            <w:r>
              <w:rPr>
                <w:rFonts w:hint="eastAsia"/>
                <w:color w:val="auto"/>
                <w:lang w:eastAsia="zh-CN"/>
              </w:rPr>
              <w:t>（8）加强对施工人员的环保宣传教育。</w:t>
            </w:r>
          </w:p>
        </w:tc>
      </w:tr>
      <w:tr w14:paraId="0D88E6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7" w:type="dxa"/>
            <w:noWrap w:val="0"/>
            <w:tcMar>
              <w:left w:w="28" w:type="dxa"/>
              <w:right w:w="28" w:type="dxa"/>
            </w:tcMar>
            <w:vAlign w:val="center"/>
          </w:tcPr>
          <w:p w14:paraId="477687D5">
            <w:pPr>
              <w:pStyle w:val="18"/>
              <w:bidi w:val="0"/>
              <w:rPr>
                <w:rFonts w:ascii="Times New Roman" w:hAnsi="Times New Roman" w:eastAsia="宋体" w:cs="宋体"/>
                <w:bCs/>
                <w:color w:val="auto"/>
                <w:spacing w:val="10"/>
                <w:sz w:val="24"/>
                <w:highlight w:val="none"/>
              </w:rPr>
            </w:pPr>
            <w:r>
              <w:rPr>
                <w:rStyle w:val="31"/>
                <w:rFonts w:hint="eastAsia"/>
                <w:color w:val="auto"/>
              </w:rPr>
              <w:t>运营期生态环境保护</w:t>
            </w:r>
            <w:r>
              <w:rPr>
                <w:rFonts w:hint="eastAsia" w:ascii="Times New Roman" w:hAnsi="Times New Roman" w:eastAsia="宋体" w:cs="宋体"/>
                <w:bCs/>
                <w:color w:val="auto"/>
                <w:spacing w:val="10"/>
                <w:sz w:val="24"/>
                <w:highlight w:val="none"/>
              </w:rPr>
              <w:t>措施</w:t>
            </w:r>
          </w:p>
        </w:tc>
        <w:tc>
          <w:tcPr>
            <w:tcW w:w="7681" w:type="dxa"/>
            <w:noWrap w:val="0"/>
            <w:vAlign w:val="top"/>
          </w:tcPr>
          <w:p w14:paraId="656718BA">
            <w:pPr>
              <w:pStyle w:val="6"/>
              <w:bidi w:val="0"/>
              <w:ind w:left="0" w:leftChars="0" w:firstLine="0" w:firstLineChars="0"/>
              <w:rPr>
                <w:rFonts w:hint="eastAsia"/>
                <w:b/>
                <w:bCs/>
                <w:color w:val="auto"/>
              </w:rPr>
            </w:pPr>
            <w:r>
              <w:rPr>
                <w:rFonts w:hint="eastAsia"/>
                <w:b/>
                <w:bCs/>
                <w:color w:val="auto"/>
              </w:rPr>
              <w:t>1</w:t>
            </w:r>
            <w:r>
              <w:rPr>
                <w:rFonts w:hint="eastAsia"/>
                <w:b/>
                <w:bCs/>
                <w:color w:val="auto"/>
                <w:lang w:val="en-US" w:eastAsia="zh-CN"/>
              </w:rPr>
              <w:t>.</w:t>
            </w:r>
            <w:r>
              <w:rPr>
                <w:rFonts w:hint="eastAsia"/>
                <w:b/>
                <w:bCs/>
                <w:color w:val="auto"/>
              </w:rPr>
              <w:t>生态环境保护措施</w:t>
            </w:r>
          </w:p>
          <w:p w14:paraId="52790446">
            <w:pPr>
              <w:bidi w:val="0"/>
              <w:rPr>
                <w:rFonts w:hint="default"/>
                <w:b/>
                <w:bCs/>
                <w:color w:val="auto"/>
                <w:lang w:val="en-US" w:eastAsia="zh-CN"/>
              </w:rPr>
            </w:pPr>
            <w:r>
              <w:rPr>
                <w:rFonts w:hint="eastAsia"/>
                <w:b/>
                <w:bCs/>
                <w:color w:val="auto"/>
                <w:lang w:val="en-US" w:eastAsia="zh-CN"/>
              </w:rPr>
              <w:t>1.1植被保护措施</w:t>
            </w:r>
          </w:p>
          <w:p w14:paraId="50D6E265">
            <w:pPr>
              <w:bidi w:val="0"/>
              <w:rPr>
                <w:rFonts w:hint="eastAsia"/>
                <w:color w:val="auto"/>
                <w:lang w:eastAsia="zh-CN"/>
              </w:rPr>
            </w:pPr>
            <w:r>
              <w:rPr>
                <w:rFonts w:hint="eastAsia"/>
                <w:color w:val="auto"/>
                <w:lang w:eastAsia="zh-CN"/>
              </w:rPr>
              <w:t>（1）对风机平台、集电线路塔基施工区、临时施工道路等进行植被恢复，植被恢复需选择当地</w:t>
            </w:r>
            <w:r>
              <w:rPr>
                <w:rFonts w:hint="eastAsia"/>
                <w:color w:val="auto"/>
                <w:lang w:val="en-US" w:eastAsia="zh-CN"/>
              </w:rPr>
              <w:t>乡土物种</w:t>
            </w:r>
            <w:r>
              <w:rPr>
                <w:rFonts w:hint="eastAsia"/>
                <w:color w:val="auto"/>
                <w:lang w:eastAsia="zh-CN"/>
              </w:rPr>
              <w:t>，禁止引入外来物种。</w:t>
            </w:r>
          </w:p>
          <w:p w14:paraId="353CC0D1">
            <w:pPr>
              <w:bidi w:val="0"/>
              <w:rPr>
                <w:rFonts w:hint="eastAsia"/>
                <w:color w:val="auto"/>
                <w:lang w:eastAsia="zh-CN"/>
              </w:rPr>
            </w:pPr>
            <w:r>
              <w:rPr>
                <w:rFonts w:hint="eastAsia"/>
                <w:color w:val="auto"/>
                <w:lang w:eastAsia="zh-CN"/>
              </w:rPr>
              <w:t>（2）加强对绿化恢复植被的抚育，保证成活率，若发现恢复效果不佳，及时进行补种。</w:t>
            </w:r>
          </w:p>
          <w:p w14:paraId="1123268E">
            <w:pPr>
              <w:bidi w:val="0"/>
              <w:rPr>
                <w:rFonts w:hint="eastAsia"/>
                <w:color w:val="auto"/>
                <w:lang w:eastAsia="zh-CN"/>
              </w:rPr>
            </w:pPr>
            <w:r>
              <w:rPr>
                <w:rFonts w:hint="eastAsia"/>
                <w:color w:val="auto"/>
                <w:lang w:eastAsia="zh-CN"/>
              </w:rPr>
              <w:t>（3）加强对工作人员的宣传教育，加强用火管理，避免运营期因工作人员原因造成山林火灾。</w:t>
            </w:r>
          </w:p>
          <w:p w14:paraId="6142B7D4">
            <w:pPr>
              <w:bidi w:val="0"/>
              <w:rPr>
                <w:rFonts w:hint="default" w:eastAsia="宋体"/>
                <w:b/>
                <w:bCs/>
                <w:color w:val="auto"/>
                <w:lang w:val="en-US" w:eastAsia="zh-CN"/>
              </w:rPr>
            </w:pPr>
            <w:r>
              <w:rPr>
                <w:rFonts w:hint="eastAsia"/>
                <w:b/>
                <w:bCs/>
                <w:color w:val="auto"/>
                <w:lang w:val="en-US" w:eastAsia="zh-CN"/>
              </w:rPr>
              <w:t>1.2动物保护措施</w:t>
            </w:r>
          </w:p>
          <w:p w14:paraId="3D2EE6F6">
            <w:pPr>
              <w:spacing w:line="360" w:lineRule="auto"/>
              <w:ind w:firstLine="480" w:firstLineChars="200"/>
              <w:rPr>
                <w:rFonts w:ascii="Times New Roman" w:hAnsi="Times New Roman" w:eastAsia="宋体" w:cs="Times New Roman"/>
                <w:caps w:val="0"/>
                <w:color w:val="auto"/>
                <w:spacing w:val="0"/>
                <w:kern w:val="2"/>
                <w:sz w:val="24"/>
                <w:highlight w:val="none"/>
                <w:shd w:val="clear" w:color="auto" w:fill="auto"/>
              </w:rPr>
            </w:pPr>
            <w:r>
              <w:rPr>
                <w:rFonts w:ascii="Times New Roman" w:hAnsi="Times New Roman" w:eastAsia="宋体" w:cs="Times New Roman"/>
                <w:caps w:val="0"/>
                <w:color w:val="auto"/>
                <w:spacing w:val="0"/>
                <w:kern w:val="2"/>
                <w:sz w:val="24"/>
                <w:highlight w:val="none"/>
                <w:shd w:val="clear" w:color="auto" w:fill="auto"/>
              </w:rPr>
              <w:t>（1）加强对场区的管理，在场区和主要路口设置警示牌，禁止无关人员在场区范围内进行捕鸟、破坏鸟类生境等活动。</w:t>
            </w:r>
          </w:p>
          <w:p w14:paraId="6203D3EC">
            <w:pPr>
              <w:spacing w:line="360" w:lineRule="auto"/>
              <w:ind w:firstLine="480" w:firstLineChars="200"/>
              <w:rPr>
                <w:rFonts w:ascii="Times New Roman" w:hAnsi="Times New Roman" w:eastAsia="宋体" w:cs="Times New Roman"/>
                <w:caps w:val="0"/>
                <w:color w:val="auto"/>
                <w:spacing w:val="0"/>
                <w:kern w:val="2"/>
                <w:sz w:val="24"/>
                <w:highlight w:val="none"/>
                <w:shd w:val="clear" w:color="auto" w:fill="auto"/>
              </w:rPr>
            </w:pPr>
            <w:r>
              <w:rPr>
                <w:rFonts w:ascii="Times New Roman" w:hAnsi="Times New Roman" w:eastAsia="宋体" w:cs="Times New Roman"/>
                <w:caps w:val="0"/>
                <w:color w:val="auto"/>
                <w:spacing w:val="0"/>
                <w:kern w:val="2"/>
                <w:sz w:val="24"/>
                <w:highlight w:val="none"/>
                <w:shd w:val="clear" w:color="auto" w:fill="auto"/>
              </w:rPr>
              <w:t>（2）风电场建成后，应加强场区巡视，密切关注风电场内的鸟类死亡情况，一旦发现异常，应及时研究，采取措施来解决问题；同时在必要时对受伤鸟类实施救护。</w:t>
            </w:r>
          </w:p>
          <w:p w14:paraId="3E6BD7CD">
            <w:pPr>
              <w:spacing w:line="360" w:lineRule="auto"/>
              <w:ind w:firstLine="480" w:firstLineChars="200"/>
              <w:rPr>
                <w:rFonts w:ascii="Times New Roman" w:hAnsi="Times New Roman" w:eastAsia="宋体" w:cs="Times New Roman"/>
                <w:caps w:val="0"/>
                <w:color w:val="auto"/>
                <w:spacing w:val="0"/>
                <w:kern w:val="2"/>
                <w:sz w:val="24"/>
                <w:highlight w:val="none"/>
                <w:shd w:val="clear" w:color="auto" w:fill="auto"/>
              </w:rPr>
            </w:pPr>
            <w:r>
              <w:rPr>
                <w:rFonts w:ascii="Times New Roman" w:hAnsi="Times New Roman" w:eastAsia="宋体" w:cs="Times New Roman"/>
                <w:caps w:val="0"/>
                <w:color w:val="auto"/>
                <w:spacing w:val="0"/>
                <w:kern w:val="2"/>
                <w:sz w:val="24"/>
                <w:highlight w:val="none"/>
                <w:shd w:val="clear" w:color="auto" w:fill="auto"/>
              </w:rPr>
              <w:t>（3）在风机叶片上绘制驱鸟图案，减少鸟类撞击叶片事故概率。</w:t>
            </w:r>
          </w:p>
          <w:p w14:paraId="067B8EC1">
            <w:pPr>
              <w:spacing w:line="360" w:lineRule="auto"/>
              <w:ind w:firstLine="480" w:firstLineChars="200"/>
              <w:rPr>
                <w:rFonts w:ascii="Times New Roman" w:hAnsi="Times New Roman" w:eastAsia="宋体" w:cs="Times New Roman"/>
                <w:caps w:val="0"/>
                <w:color w:val="auto"/>
                <w:spacing w:val="0"/>
                <w:kern w:val="2"/>
                <w:sz w:val="24"/>
                <w:highlight w:val="none"/>
                <w:shd w:val="clear" w:color="auto" w:fill="auto"/>
              </w:rPr>
            </w:pPr>
            <w:r>
              <w:rPr>
                <w:rFonts w:ascii="Times New Roman" w:hAnsi="Times New Roman" w:eastAsia="宋体" w:cs="Times New Roman"/>
                <w:caps w:val="0"/>
                <w:color w:val="auto"/>
                <w:spacing w:val="0"/>
                <w:kern w:val="2"/>
                <w:sz w:val="24"/>
                <w:highlight w:val="none"/>
                <w:shd w:val="clear" w:color="auto" w:fill="auto"/>
              </w:rPr>
              <w:t>（4）加强鸟类的保护管理，加强对电场工作人员和当地居民的爱鸟护鸟教育宣传工作，避免人为伤害或干扰鸟类的事件发生。</w:t>
            </w:r>
          </w:p>
          <w:p w14:paraId="489F8EAB">
            <w:pPr>
              <w:spacing w:line="360" w:lineRule="auto"/>
              <w:ind w:firstLine="480" w:firstLineChars="200"/>
              <w:rPr>
                <w:rFonts w:ascii="Times New Roman" w:hAnsi="Times New Roman" w:eastAsia="宋体" w:cs="Times New Roman"/>
                <w:caps w:val="0"/>
                <w:color w:val="auto"/>
                <w:spacing w:val="0"/>
                <w:kern w:val="2"/>
                <w:sz w:val="24"/>
                <w:highlight w:val="none"/>
                <w:shd w:val="clear" w:color="auto" w:fill="auto"/>
              </w:rPr>
            </w:pPr>
            <w:r>
              <w:rPr>
                <w:rFonts w:ascii="Times New Roman" w:hAnsi="Times New Roman" w:eastAsia="宋体" w:cs="Times New Roman"/>
                <w:caps w:val="0"/>
                <w:color w:val="auto"/>
                <w:spacing w:val="0"/>
                <w:kern w:val="2"/>
                <w:sz w:val="24"/>
                <w:highlight w:val="none"/>
                <w:shd w:val="clear" w:color="auto" w:fill="auto"/>
              </w:rPr>
              <w:t>（5）风电场场区内应密闭保存工人食物以避免吸引啮齿目动物的到来，从而不人为增加猛禽在区域出现的频率。</w:t>
            </w:r>
          </w:p>
          <w:p w14:paraId="51FD6CF6">
            <w:pPr>
              <w:spacing w:line="360" w:lineRule="auto"/>
              <w:ind w:firstLine="482" w:firstLineChars="200"/>
              <w:rPr>
                <w:rFonts w:hint="eastAsia" w:cs="Times New Roman"/>
                <w:b/>
                <w:bCs/>
                <w:caps w:val="0"/>
                <w:color w:val="auto"/>
                <w:spacing w:val="0"/>
                <w:kern w:val="2"/>
                <w:sz w:val="24"/>
                <w:highlight w:val="none"/>
                <w:shd w:val="clear" w:color="auto" w:fill="auto"/>
                <w:lang w:val="en-US" w:eastAsia="zh-CN"/>
              </w:rPr>
            </w:pPr>
            <w:r>
              <w:rPr>
                <w:rFonts w:hint="eastAsia" w:cs="Times New Roman"/>
                <w:b/>
                <w:bCs/>
                <w:caps w:val="0"/>
                <w:color w:val="auto"/>
                <w:spacing w:val="0"/>
                <w:kern w:val="2"/>
                <w:sz w:val="24"/>
                <w:highlight w:val="none"/>
                <w:shd w:val="clear" w:color="auto" w:fill="auto"/>
                <w:lang w:val="en-US" w:eastAsia="zh-CN"/>
              </w:rPr>
              <w:t>1.3生态敏感区保护措施</w:t>
            </w:r>
          </w:p>
          <w:p w14:paraId="30B3C3BB">
            <w:pPr>
              <w:spacing w:line="360" w:lineRule="auto"/>
              <w:ind w:firstLine="480" w:firstLineChars="200"/>
              <w:rPr>
                <w:rFonts w:hint="default" w:cs="Times New Roman"/>
                <w:caps w:val="0"/>
                <w:color w:val="auto"/>
                <w:spacing w:val="0"/>
                <w:kern w:val="2"/>
                <w:sz w:val="24"/>
                <w:highlight w:val="none"/>
                <w:shd w:val="clear" w:color="auto" w:fill="auto"/>
                <w:lang w:val="en-US" w:eastAsia="zh-CN"/>
              </w:rPr>
            </w:pPr>
            <w:r>
              <w:rPr>
                <w:rFonts w:hint="default" w:cs="Times New Roman"/>
                <w:caps w:val="0"/>
                <w:color w:val="auto"/>
                <w:spacing w:val="0"/>
                <w:kern w:val="2"/>
                <w:sz w:val="24"/>
                <w:highlight w:val="none"/>
                <w:shd w:val="clear" w:color="auto" w:fill="auto"/>
                <w:lang w:val="en-US" w:eastAsia="zh-CN"/>
              </w:rPr>
              <w:t>（1）严禁项目永久占地和临时占地进入生态保护红线。项目施工营地、施工便道等临时工程选址禁止新增占用生态保护红线，并尽量远离生态保护红线。</w:t>
            </w:r>
          </w:p>
          <w:p w14:paraId="688F2A55">
            <w:pPr>
              <w:spacing w:line="360" w:lineRule="auto"/>
              <w:ind w:firstLine="480" w:firstLineChars="200"/>
              <w:rPr>
                <w:rFonts w:hint="eastAsia"/>
                <w:color w:val="auto"/>
                <w:sz w:val="24"/>
                <w:highlight w:val="none"/>
              </w:rPr>
            </w:pPr>
            <w:r>
              <w:rPr>
                <w:rFonts w:hint="eastAsia" w:cs="Times New Roman"/>
                <w:caps w:val="0"/>
                <w:color w:val="auto"/>
                <w:spacing w:val="0"/>
                <w:kern w:val="2"/>
                <w:sz w:val="24"/>
                <w:highlight w:val="none"/>
                <w:shd w:val="clear" w:color="auto" w:fill="auto"/>
                <w:lang w:val="en-US" w:eastAsia="zh-CN"/>
              </w:rPr>
              <w:t>（2）项目不占用天然乔木林地，但与天然乔木林地的距离较近，为避免对天然乔木林地的影响，XZB01风机平台、XZB02风机平台临近天然乔木林地的区域严格控制施工边界，</w:t>
            </w:r>
            <w:r>
              <w:rPr>
                <w:rFonts w:hint="eastAsia"/>
                <w:color w:val="auto"/>
                <w:sz w:val="24"/>
                <w:highlight w:val="none"/>
                <w:lang w:val="en-US" w:eastAsia="zh-CN"/>
              </w:rPr>
              <w:t>禁止越线施工，</w:t>
            </w:r>
            <w:r>
              <w:rPr>
                <w:rFonts w:hint="eastAsia"/>
                <w:color w:val="auto"/>
                <w:sz w:val="24"/>
                <w:highlight w:val="none"/>
              </w:rPr>
              <w:t>不会对</w:t>
            </w:r>
            <w:r>
              <w:rPr>
                <w:rFonts w:hint="eastAsia"/>
                <w:color w:val="auto"/>
                <w:sz w:val="24"/>
                <w:highlight w:val="none"/>
                <w:lang w:val="en-US" w:eastAsia="zh-CN"/>
              </w:rPr>
              <w:t>占地范围线外的</w:t>
            </w:r>
            <w:r>
              <w:rPr>
                <w:rFonts w:hint="eastAsia" w:cs="Times New Roman"/>
                <w:caps w:val="0"/>
                <w:color w:val="auto"/>
                <w:spacing w:val="0"/>
                <w:kern w:val="2"/>
                <w:sz w:val="24"/>
                <w:highlight w:val="none"/>
                <w:shd w:val="clear" w:color="auto" w:fill="auto"/>
                <w:lang w:val="en-US" w:eastAsia="zh-CN"/>
              </w:rPr>
              <w:t>天然乔木林地</w:t>
            </w:r>
            <w:r>
              <w:rPr>
                <w:rFonts w:hint="eastAsia"/>
                <w:color w:val="auto"/>
                <w:sz w:val="24"/>
                <w:highlight w:val="none"/>
              </w:rPr>
              <w:t>造成扰动。</w:t>
            </w:r>
          </w:p>
          <w:p w14:paraId="615DB083">
            <w:pPr>
              <w:spacing w:line="360" w:lineRule="auto"/>
              <w:ind w:firstLine="480" w:firstLineChars="200"/>
              <w:rPr>
                <w:rFonts w:hint="eastAsia" w:eastAsia="宋体"/>
                <w:color w:val="auto"/>
                <w:sz w:val="24"/>
                <w:highlight w:val="none"/>
                <w:lang w:val="en-US" w:eastAsia="zh-CN"/>
              </w:rPr>
            </w:pPr>
            <w:r>
              <w:rPr>
                <w:rFonts w:hint="eastAsia"/>
                <w:color w:val="auto"/>
                <w:sz w:val="24"/>
                <w:highlight w:val="none"/>
                <w:lang w:eastAsia="zh-CN"/>
              </w:rPr>
              <w:t>（</w:t>
            </w:r>
            <w:r>
              <w:rPr>
                <w:rFonts w:hint="eastAsia"/>
                <w:color w:val="auto"/>
                <w:sz w:val="24"/>
                <w:highlight w:val="none"/>
                <w:lang w:val="en-US" w:eastAsia="zh-CN"/>
              </w:rPr>
              <w:t>3</w:t>
            </w:r>
            <w:r>
              <w:rPr>
                <w:rFonts w:hint="eastAsia"/>
                <w:color w:val="auto"/>
                <w:sz w:val="24"/>
                <w:highlight w:val="none"/>
                <w:lang w:eastAsia="zh-CN"/>
              </w:rPr>
              <w:t>）</w:t>
            </w:r>
            <w:r>
              <w:rPr>
                <w:rFonts w:hint="eastAsia"/>
                <w:color w:val="auto"/>
                <w:sz w:val="24"/>
                <w:highlight w:val="none"/>
                <w:lang w:val="en-US" w:eastAsia="zh-CN"/>
              </w:rPr>
              <w:t>XZB16号风机</w:t>
            </w:r>
            <w:r>
              <w:rPr>
                <w:rFonts w:hint="eastAsia" w:cs="Times New Roman"/>
                <w:caps w:val="0"/>
                <w:color w:val="auto"/>
                <w:spacing w:val="0"/>
                <w:kern w:val="2"/>
                <w:sz w:val="24"/>
                <w:highlight w:val="none"/>
                <w:shd w:val="clear" w:color="auto" w:fill="auto"/>
                <w:lang w:val="en-US" w:eastAsia="zh-CN"/>
              </w:rPr>
              <w:t>占用省级公益林，占用省级公益林的区域</w:t>
            </w:r>
            <w:r>
              <w:rPr>
                <w:rFonts w:hint="eastAsia" w:ascii="Times New Roman" w:hAnsi="Times New Roman" w:eastAsia="宋体" w:cs="Times New Roman"/>
                <w:color w:val="auto"/>
                <w:kern w:val="2"/>
                <w:sz w:val="24"/>
                <w:szCs w:val="28"/>
                <w:highlight w:val="none"/>
                <w:lang w:val="en-US" w:eastAsia="zh-CN" w:bidi="ar-SA"/>
              </w:rPr>
              <w:t>布设彩条和警示牌，禁止施工人员越线施工</w:t>
            </w:r>
            <w:r>
              <w:rPr>
                <w:rFonts w:hint="eastAsia"/>
                <w:color w:val="auto"/>
                <w:sz w:val="24"/>
                <w:highlight w:val="none"/>
              </w:rPr>
              <w:t>。通过加强施工期管理，采取有效的抑尘、降噪措施，项目建设对</w:t>
            </w:r>
            <w:r>
              <w:rPr>
                <w:rFonts w:hint="eastAsia" w:cs="Times New Roman"/>
                <w:caps w:val="0"/>
                <w:color w:val="auto"/>
                <w:spacing w:val="0"/>
                <w:kern w:val="2"/>
                <w:sz w:val="24"/>
                <w:highlight w:val="none"/>
                <w:shd w:val="clear" w:color="auto" w:fill="auto"/>
                <w:lang w:val="en-US" w:eastAsia="zh-CN"/>
              </w:rPr>
              <w:t>天然乔木林地和省级公益林</w:t>
            </w:r>
            <w:r>
              <w:rPr>
                <w:rFonts w:hint="eastAsia"/>
                <w:color w:val="auto"/>
                <w:sz w:val="24"/>
                <w:highlight w:val="none"/>
              </w:rPr>
              <w:t>的影响不大。</w:t>
            </w:r>
          </w:p>
          <w:p w14:paraId="03E7308A">
            <w:pPr>
              <w:bidi w:val="0"/>
              <w:ind w:left="0" w:leftChars="0" w:firstLine="0" w:firstLineChars="0"/>
              <w:rPr>
                <w:rFonts w:hint="eastAsia"/>
                <w:b/>
                <w:bCs/>
                <w:color w:val="auto"/>
                <w:lang w:val="en-US" w:eastAsia="zh-CN"/>
              </w:rPr>
            </w:pPr>
            <w:r>
              <w:rPr>
                <w:rFonts w:hint="eastAsia"/>
                <w:b/>
                <w:bCs/>
                <w:color w:val="auto"/>
                <w:lang w:eastAsia="zh-CN"/>
              </w:rPr>
              <w:t>2.</w:t>
            </w:r>
            <w:r>
              <w:rPr>
                <w:rFonts w:hint="eastAsia"/>
                <w:b/>
                <w:bCs/>
                <w:color w:val="auto"/>
                <w:lang w:val="en-US" w:eastAsia="zh-CN"/>
              </w:rPr>
              <w:t>水环境保护措施</w:t>
            </w:r>
          </w:p>
          <w:p w14:paraId="64D8EF68">
            <w:pPr>
              <w:pStyle w:val="19"/>
              <w:bidi w:val="0"/>
              <w:rPr>
                <w:rFonts w:hint="default"/>
                <w:color w:val="auto"/>
                <w:lang w:val="en-US" w:eastAsia="zh-CN"/>
              </w:rPr>
            </w:pPr>
            <w:r>
              <w:rPr>
                <w:rFonts w:hint="eastAsia"/>
                <w:color w:val="auto"/>
                <w:lang w:val="en-US" w:eastAsia="zh-CN"/>
              </w:rPr>
              <w:t>项目运营期无生产废水产生，项目运营依托升压站现有人员班组，不新增劳动定员，无新增生活污水。现有劳动定员生活污水依托现有污水处理设施处置后回用，不外排。升压站内现有一体化污水处理设备标识标牌应更换完善。</w:t>
            </w:r>
          </w:p>
          <w:p w14:paraId="6D782960">
            <w:pPr>
              <w:bidi w:val="0"/>
              <w:ind w:left="0" w:leftChars="0" w:firstLine="0" w:firstLineChars="0"/>
              <w:rPr>
                <w:rFonts w:hint="eastAsia"/>
                <w:b/>
                <w:bCs/>
                <w:color w:val="auto"/>
              </w:rPr>
            </w:pPr>
            <w:r>
              <w:rPr>
                <w:rFonts w:hint="eastAsia"/>
                <w:b/>
                <w:bCs/>
                <w:color w:val="auto"/>
                <w:lang w:val="en-US" w:eastAsia="zh-CN"/>
              </w:rPr>
              <w:t>3.</w:t>
            </w:r>
            <w:r>
              <w:rPr>
                <w:rFonts w:hint="eastAsia"/>
                <w:b/>
                <w:bCs/>
                <w:color w:val="auto"/>
              </w:rPr>
              <w:t>声环境保护措施</w:t>
            </w:r>
          </w:p>
          <w:p w14:paraId="79DF997B">
            <w:pPr>
              <w:bidi w:val="0"/>
              <w:rPr>
                <w:rFonts w:hint="eastAsia"/>
                <w:color w:val="auto"/>
              </w:rPr>
            </w:pPr>
            <w:r>
              <w:rPr>
                <w:rFonts w:hint="eastAsia"/>
                <w:color w:val="auto"/>
                <w:lang w:eastAsia="zh-CN"/>
              </w:rPr>
              <w:t>（</w:t>
            </w:r>
            <w:r>
              <w:rPr>
                <w:rFonts w:hint="eastAsia"/>
                <w:color w:val="auto"/>
              </w:rPr>
              <w:t>1</w:t>
            </w:r>
            <w:r>
              <w:rPr>
                <w:rFonts w:hint="eastAsia"/>
                <w:color w:val="auto"/>
                <w:lang w:eastAsia="zh-CN"/>
              </w:rPr>
              <w:t>）加大</w:t>
            </w:r>
            <w:r>
              <w:rPr>
                <w:rFonts w:hint="eastAsia"/>
                <w:color w:val="auto"/>
              </w:rPr>
              <w:t>场内</w:t>
            </w:r>
            <w:r>
              <w:rPr>
                <w:rFonts w:hint="eastAsia"/>
                <w:color w:val="auto"/>
                <w:lang w:val="en-US" w:eastAsia="zh-CN"/>
              </w:rPr>
              <w:t>道路</w:t>
            </w:r>
            <w:r>
              <w:rPr>
                <w:rFonts w:hint="eastAsia"/>
                <w:color w:val="auto"/>
              </w:rPr>
              <w:t>的维护力度，使路面保持平整，尽量减少因路面坑洼不平而产生噪声。</w:t>
            </w:r>
          </w:p>
          <w:p w14:paraId="0931239A">
            <w:pPr>
              <w:bidi w:val="0"/>
              <w:rPr>
                <w:rFonts w:hint="eastAsia"/>
                <w:color w:val="auto"/>
              </w:rPr>
            </w:pPr>
            <w:r>
              <w:rPr>
                <w:rFonts w:hint="eastAsia"/>
                <w:color w:val="auto"/>
                <w:lang w:eastAsia="zh-CN"/>
              </w:rPr>
              <w:t>（</w:t>
            </w:r>
            <w:r>
              <w:rPr>
                <w:rFonts w:hint="eastAsia"/>
                <w:color w:val="auto"/>
              </w:rPr>
              <w:t>2</w:t>
            </w:r>
            <w:r>
              <w:rPr>
                <w:rFonts w:hint="eastAsia"/>
                <w:color w:val="auto"/>
                <w:lang w:eastAsia="zh-CN"/>
              </w:rPr>
              <w:t>）</w:t>
            </w:r>
            <w:r>
              <w:rPr>
                <w:rFonts w:hint="eastAsia"/>
                <w:color w:val="auto"/>
              </w:rPr>
              <w:t>加强风机运行维护，避免设备非正常运行产生的噪声。</w:t>
            </w:r>
          </w:p>
          <w:p w14:paraId="385483EC">
            <w:pPr>
              <w:bidi w:val="0"/>
              <w:rPr>
                <w:rFonts w:hint="default" w:eastAsia="宋体"/>
                <w:color w:val="auto"/>
                <w:lang w:val="en-US" w:eastAsia="zh-CN"/>
              </w:rPr>
            </w:pPr>
            <w:r>
              <w:rPr>
                <w:rFonts w:hint="eastAsia"/>
                <w:color w:val="auto"/>
                <w:lang w:eastAsia="zh-CN"/>
              </w:rPr>
              <w:t>（</w:t>
            </w:r>
            <w:r>
              <w:rPr>
                <w:rFonts w:hint="eastAsia"/>
                <w:color w:val="auto"/>
              </w:rPr>
              <w:t>3</w:t>
            </w:r>
            <w:r>
              <w:rPr>
                <w:rFonts w:hint="eastAsia"/>
                <w:color w:val="auto"/>
                <w:lang w:eastAsia="zh-CN"/>
              </w:rPr>
              <w:t>）</w:t>
            </w:r>
            <w:r>
              <w:rPr>
                <w:rFonts w:hint="eastAsia"/>
                <w:color w:val="auto"/>
              </w:rPr>
              <w:t>加强运行期间风机噪声监测，妥善处理</w:t>
            </w:r>
            <w:r>
              <w:rPr>
                <w:rFonts w:hint="eastAsia"/>
                <w:color w:val="auto"/>
                <w:lang w:eastAsia="zh-CN"/>
              </w:rPr>
              <w:t>居民合理</w:t>
            </w:r>
            <w:r>
              <w:rPr>
                <w:rFonts w:hint="eastAsia"/>
                <w:color w:val="auto"/>
              </w:rPr>
              <w:t>诉求。</w:t>
            </w:r>
            <w:r>
              <w:rPr>
                <w:rFonts w:hint="eastAsia"/>
                <w:color w:val="auto"/>
                <w:lang w:val="en-US" w:eastAsia="zh-CN"/>
              </w:rPr>
              <w:t>对距离项目风机最近的叠水箐村开展常规声环境质量监测，一旦发生超标情况，</w:t>
            </w:r>
            <w:r>
              <w:rPr>
                <w:rFonts w:hint="eastAsia"/>
                <w:color w:val="auto"/>
              </w:rPr>
              <w:t>降低</w:t>
            </w:r>
            <w:r>
              <w:rPr>
                <w:rFonts w:hint="eastAsia"/>
                <w:color w:val="auto"/>
                <w:lang w:val="en-US" w:eastAsia="zh-CN"/>
              </w:rPr>
              <w:t>XZB02</w:t>
            </w:r>
            <w:r>
              <w:rPr>
                <w:rFonts w:hint="eastAsia"/>
                <w:color w:val="auto"/>
              </w:rPr>
              <w:t>风机的载荷，以降低发电量为代价，确保气动噪声的降低。</w:t>
            </w:r>
          </w:p>
          <w:p w14:paraId="0F7A0EDF">
            <w:pPr>
              <w:bidi w:val="0"/>
              <w:rPr>
                <w:rFonts w:hint="eastAsia"/>
                <w:color w:val="auto"/>
              </w:rPr>
            </w:pPr>
            <w:r>
              <w:rPr>
                <w:rFonts w:hint="eastAsia"/>
                <w:color w:val="auto"/>
                <w:lang w:eastAsia="zh-CN"/>
              </w:rPr>
              <w:t>（</w:t>
            </w:r>
            <w:r>
              <w:rPr>
                <w:rFonts w:hint="eastAsia"/>
                <w:color w:val="auto"/>
              </w:rPr>
              <w:t>4</w:t>
            </w:r>
            <w:r>
              <w:rPr>
                <w:rFonts w:hint="eastAsia"/>
                <w:color w:val="auto"/>
                <w:lang w:eastAsia="zh-CN"/>
              </w:rPr>
              <w:t>）</w:t>
            </w:r>
            <w:r>
              <w:rPr>
                <w:rFonts w:hint="eastAsia"/>
                <w:color w:val="auto"/>
              </w:rPr>
              <w:t>本项目设置</w:t>
            </w:r>
            <w:r>
              <w:rPr>
                <w:rFonts w:hint="eastAsia"/>
                <w:color w:val="auto"/>
                <w:lang w:val="en-US" w:eastAsia="zh-CN"/>
              </w:rPr>
              <w:t>50</w:t>
            </w:r>
            <w:r>
              <w:rPr>
                <w:rFonts w:hint="eastAsia"/>
                <w:color w:val="auto"/>
              </w:rPr>
              <w:t>0m的噪声防护距离，风机建设前向主管部门备案，</w:t>
            </w:r>
            <w:r>
              <w:rPr>
                <w:rFonts w:hint="eastAsia"/>
                <w:color w:val="auto"/>
                <w:lang w:eastAsia="zh-CN"/>
              </w:rPr>
              <w:t>风机平台</w:t>
            </w:r>
            <w:r>
              <w:rPr>
                <w:rFonts w:hint="eastAsia"/>
                <w:color w:val="auto"/>
                <w:lang w:val="en-US" w:eastAsia="zh-CN"/>
              </w:rPr>
              <w:t>50</w:t>
            </w:r>
            <w:r>
              <w:rPr>
                <w:rFonts w:hint="eastAsia"/>
                <w:color w:val="auto"/>
              </w:rPr>
              <w:t>0m范围内不得新建居民区，并告知</w:t>
            </w:r>
            <w:r>
              <w:rPr>
                <w:rFonts w:hint="eastAsia"/>
                <w:color w:val="auto"/>
                <w:lang w:val="en-US" w:eastAsia="zh-CN"/>
              </w:rPr>
              <w:t>宣威市</w:t>
            </w:r>
            <w:r>
              <w:rPr>
                <w:rFonts w:hint="eastAsia"/>
                <w:color w:val="auto"/>
              </w:rPr>
              <w:t>及相关村委会。</w:t>
            </w:r>
          </w:p>
          <w:p w14:paraId="0D66FF34">
            <w:pPr>
              <w:bidi w:val="0"/>
              <w:ind w:left="0" w:leftChars="0" w:firstLine="0" w:firstLineChars="0"/>
              <w:rPr>
                <w:rFonts w:hint="eastAsia"/>
                <w:b/>
                <w:bCs/>
                <w:color w:val="auto"/>
                <w:lang w:val="en-US" w:eastAsia="zh-CN"/>
              </w:rPr>
            </w:pPr>
            <w:r>
              <w:rPr>
                <w:rFonts w:hint="eastAsia"/>
                <w:b/>
                <w:bCs/>
                <w:color w:val="auto"/>
                <w:lang w:val="en-US" w:eastAsia="zh-CN"/>
              </w:rPr>
              <w:t>4.固体废物处置措施</w:t>
            </w:r>
          </w:p>
          <w:p w14:paraId="17EB299A">
            <w:pPr>
              <w:spacing w:line="480" w:lineRule="exact"/>
              <w:ind w:firstLine="480" w:firstLineChars="200"/>
              <w:rPr>
                <w:color w:val="auto"/>
                <w:sz w:val="24"/>
                <w:highlight w:val="none"/>
              </w:rPr>
            </w:pPr>
            <w:r>
              <w:rPr>
                <w:color w:val="auto"/>
                <w:sz w:val="24"/>
                <w:highlight w:val="none"/>
              </w:rPr>
              <w:t>（1）更换下来的</w:t>
            </w:r>
            <w:r>
              <w:rPr>
                <w:rFonts w:hint="eastAsia"/>
                <w:color w:val="auto"/>
                <w:sz w:val="24"/>
                <w:highlight w:val="none"/>
                <w:lang w:val="en-US" w:eastAsia="zh-CN"/>
              </w:rPr>
              <w:t>大型</w:t>
            </w:r>
            <w:r>
              <w:rPr>
                <w:color w:val="auto"/>
                <w:sz w:val="24"/>
                <w:highlight w:val="none"/>
              </w:rPr>
              <w:t>废旧</w:t>
            </w:r>
            <w:r>
              <w:rPr>
                <w:rFonts w:hint="eastAsia"/>
                <w:color w:val="auto"/>
                <w:sz w:val="24"/>
                <w:highlight w:val="none"/>
                <w:lang w:val="en-US" w:eastAsia="zh-CN"/>
              </w:rPr>
              <w:t>风机组件</w:t>
            </w:r>
            <w:r>
              <w:rPr>
                <w:color w:val="auto"/>
                <w:sz w:val="24"/>
                <w:highlight w:val="none"/>
              </w:rPr>
              <w:t>由专业维护公司直接带走回收，不在项目区暂存；</w:t>
            </w:r>
            <w:r>
              <w:rPr>
                <w:rFonts w:hint="eastAsia"/>
                <w:color w:val="auto"/>
                <w:sz w:val="24"/>
                <w:highlight w:val="none"/>
                <w:lang w:val="en-US" w:eastAsia="zh-CN"/>
              </w:rPr>
              <w:t>运营期间产生的废旧电器元件等</w:t>
            </w:r>
            <w:r>
              <w:rPr>
                <w:color w:val="auto"/>
                <w:sz w:val="24"/>
                <w:highlight w:val="none"/>
              </w:rPr>
              <w:t>贮存于</w:t>
            </w:r>
            <w:r>
              <w:rPr>
                <w:rFonts w:hint="eastAsia"/>
                <w:color w:val="auto"/>
                <w:sz w:val="24"/>
                <w:highlight w:val="none"/>
              </w:rPr>
              <w:t>综合楼</w:t>
            </w:r>
            <w:r>
              <w:rPr>
                <w:color w:val="auto"/>
                <w:sz w:val="24"/>
                <w:highlight w:val="none"/>
              </w:rPr>
              <w:t>内的一般</w:t>
            </w:r>
            <w:r>
              <w:rPr>
                <w:rFonts w:hint="eastAsia"/>
                <w:color w:val="auto"/>
                <w:sz w:val="24"/>
                <w:highlight w:val="none"/>
              </w:rPr>
              <w:t>固废</w:t>
            </w:r>
            <w:r>
              <w:rPr>
                <w:color w:val="auto"/>
                <w:sz w:val="24"/>
                <w:highlight w:val="none"/>
              </w:rPr>
              <w:t>储存间，最终由专业的维护公司</w:t>
            </w:r>
            <w:r>
              <w:rPr>
                <w:rFonts w:hint="eastAsia"/>
                <w:color w:val="auto"/>
                <w:sz w:val="24"/>
                <w:highlight w:val="none"/>
                <w:lang w:val="en-US" w:eastAsia="zh-CN"/>
              </w:rPr>
              <w:t>处置</w:t>
            </w:r>
            <w:r>
              <w:rPr>
                <w:color w:val="auto"/>
                <w:sz w:val="24"/>
                <w:highlight w:val="none"/>
              </w:rPr>
              <w:t>。</w:t>
            </w:r>
          </w:p>
          <w:p w14:paraId="64B2543F">
            <w:pPr>
              <w:spacing w:line="480" w:lineRule="exact"/>
              <w:ind w:firstLine="480" w:firstLineChars="200"/>
              <w:rPr>
                <w:color w:val="auto"/>
                <w:sz w:val="24"/>
                <w:highlight w:val="none"/>
              </w:rPr>
            </w:pPr>
            <w:r>
              <w:rPr>
                <w:color w:val="auto"/>
                <w:sz w:val="24"/>
                <w:highlight w:val="none"/>
              </w:rPr>
              <w:t>（</w:t>
            </w:r>
            <w:r>
              <w:rPr>
                <w:rFonts w:hint="eastAsia"/>
                <w:color w:val="auto"/>
                <w:sz w:val="24"/>
                <w:highlight w:val="none"/>
              </w:rPr>
              <w:t>2</w:t>
            </w:r>
            <w:r>
              <w:rPr>
                <w:color w:val="auto"/>
                <w:sz w:val="24"/>
                <w:highlight w:val="none"/>
              </w:rPr>
              <w:t>）</w:t>
            </w:r>
            <w:r>
              <w:rPr>
                <w:rFonts w:hint="eastAsia"/>
                <w:color w:val="auto"/>
                <w:lang w:val="en-US" w:eastAsia="zh-CN"/>
              </w:rPr>
              <w:t>项目运营依托升压站现有人员班组，无新增生活垃圾。现有</w:t>
            </w:r>
            <w:r>
              <w:rPr>
                <w:color w:val="auto"/>
                <w:sz w:val="24"/>
                <w:highlight w:val="none"/>
              </w:rPr>
              <w:t>升压站内工作人员生活垃圾统一收集后送至周边居民垃圾收集点，由当地环卫部门统一清运处置。</w:t>
            </w:r>
          </w:p>
          <w:p w14:paraId="2ED4D76C">
            <w:pPr>
              <w:spacing w:line="480" w:lineRule="exact"/>
              <w:ind w:firstLine="480" w:firstLineChars="200"/>
              <w:rPr>
                <w:color w:val="auto"/>
                <w:sz w:val="24"/>
                <w:highlight w:val="none"/>
              </w:rPr>
            </w:pPr>
            <w:r>
              <w:rPr>
                <w:color w:val="auto"/>
                <w:sz w:val="24"/>
                <w:highlight w:val="none"/>
              </w:rPr>
              <w:t>（</w:t>
            </w:r>
            <w:r>
              <w:rPr>
                <w:rFonts w:hint="eastAsia"/>
                <w:color w:val="auto"/>
                <w:sz w:val="24"/>
                <w:highlight w:val="none"/>
              </w:rPr>
              <w:t>3</w:t>
            </w:r>
            <w:r>
              <w:rPr>
                <w:color w:val="auto"/>
                <w:sz w:val="24"/>
                <w:highlight w:val="none"/>
              </w:rPr>
              <w:t>）箱式变压器事故废油应按危险废物要求进行管理。一个箱式变压器配备一个事故油池（本项目共计设置</w:t>
            </w:r>
            <w:r>
              <w:rPr>
                <w:rFonts w:hint="eastAsia"/>
                <w:color w:val="auto"/>
                <w:sz w:val="24"/>
                <w:highlight w:val="none"/>
                <w:lang w:val="en-US" w:eastAsia="zh-CN"/>
              </w:rPr>
              <w:t>4</w:t>
            </w:r>
            <w:r>
              <w:rPr>
                <w:color w:val="auto"/>
                <w:sz w:val="24"/>
                <w:highlight w:val="none"/>
              </w:rPr>
              <w:t>个箱变事故油池，容积均为</w:t>
            </w:r>
            <w:r>
              <w:rPr>
                <w:rFonts w:hint="eastAsia"/>
                <w:color w:val="auto"/>
                <w:highlight w:val="none"/>
                <w:lang w:val="en-US" w:eastAsia="zh-CN"/>
              </w:rPr>
              <w:t>3.0</w:t>
            </w:r>
            <w:r>
              <w:rPr>
                <w:color w:val="auto"/>
                <w:highlight w:val="none"/>
              </w:rPr>
              <w:t>m</w:t>
            </w:r>
            <w:r>
              <w:rPr>
                <w:color w:val="auto"/>
                <w:highlight w:val="none"/>
                <w:vertAlign w:val="superscript"/>
              </w:rPr>
              <w:t>3</w:t>
            </w:r>
            <w:r>
              <w:rPr>
                <w:color w:val="auto"/>
                <w:sz w:val="24"/>
                <w:highlight w:val="none"/>
              </w:rPr>
              <w:t>）；事故油池中的变压器油用矿物油收集桶收集，存放在升压站</w:t>
            </w:r>
            <w:r>
              <w:rPr>
                <w:rFonts w:hint="eastAsia"/>
                <w:color w:val="auto"/>
                <w:sz w:val="24"/>
                <w:highlight w:val="none"/>
                <w:lang w:eastAsia="zh-CN"/>
              </w:rPr>
              <w:t>危险废物贮存点</w:t>
            </w:r>
            <w:r>
              <w:rPr>
                <w:color w:val="auto"/>
                <w:sz w:val="24"/>
                <w:highlight w:val="none"/>
              </w:rPr>
              <w:t>内，定期委托有资质的单位进行清运及处置。</w:t>
            </w:r>
          </w:p>
          <w:p w14:paraId="4D587BA7">
            <w:pPr>
              <w:spacing w:line="480" w:lineRule="exact"/>
              <w:ind w:firstLine="480" w:firstLineChars="200"/>
              <w:rPr>
                <w:rFonts w:hint="default" w:eastAsia="宋体"/>
                <w:color w:val="auto"/>
                <w:sz w:val="24"/>
                <w:highlight w:val="none"/>
                <w:lang w:val="en-US" w:eastAsia="zh-CN"/>
              </w:rPr>
            </w:pPr>
            <w:r>
              <w:rPr>
                <w:color w:val="auto"/>
                <w:sz w:val="24"/>
                <w:highlight w:val="none"/>
              </w:rPr>
              <w:t>（</w:t>
            </w:r>
            <w:r>
              <w:rPr>
                <w:rFonts w:hint="eastAsia"/>
                <w:color w:val="auto"/>
                <w:sz w:val="24"/>
                <w:highlight w:val="none"/>
                <w:lang w:val="en-US" w:eastAsia="zh-CN"/>
              </w:rPr>
              <w:t>4</w:t>
            </w:r>
            <w:r>
              <w:rPr>
                <w:color w:val="auto"/>
                <w:sz w:val="24"/>
                <w:highlight w:val="none"/>
              </w:rPr>
              <w:t>）升压站事故废油应按危险废物要求进行管理。主变漏油时，变压器废油经排油管道进入事故油池，废油大部分经回收利用，不能利用的废油经收集后暂存于</w:t>
            </w:r>
            <w:r>
              <w:rPr>
                <w:rFonts w:hint="eastAsia"/>
                <w:color w:val="auto"/>
                <w:sz w:val="24"/>
                <w:highlight w:val="none"/>
                <w:lang w:eastAsia="zh-CN"/>
              </w:rPr>
              <w:t>危废贮存点</w:t>
            </w:r>
            <w:r>
              <w:rPr>
                <w:color w:val="auto"/>
                <w:sz w:val="24"/>
                <w:highlight w:val="none"/>
              </w:rPr>
              <w:t>内，应及时委托有资质的单位进行清运及处置。</w:t>
            </w:r>
          </w:p>
          <w:p w14:paraId="23365705">
            <w:pPr>
              <w:spacing w:line="480" w:lineRule="exact"/>
              <w:ind w:firstLine="480" w:firstLineChars="200"/>
              <w:rPr>
                <w:color w:val="auto"/>
                <w:sz w:val="24"/>
                <w:highlight w:val="none"/>
              </w:rPr>
            </w:pPr>
            <w:r>
              <w:rPr>
                <w:color w:val="auto"/>
                <w:sz w:val="24"/>
                <w:highlight w:val="none"/>
              </w:rPr>
              <w:t>（</w:t>
            </w:r>
            <w:r>
              <w:rPr>
                <w:rFonts w:hint="eastAsia"/>
                <w:color w:val="auto"/>
                <w:sz w:val="24"/>
                <w:highlight w:val="none"/>
                <w:lang w:val="en-US" w:eastAsia="zh-CN"/>
              </w:rPr>
              <w:t>5</w:t>
            </w:r>
            <w:r>
              <w:rPr>
                <w:color w:val="auto"/>
                <w:sz w:val="24"/>
                <w:highlight w:val="none"/>
              </w:rPr>
              <w:t>）本次环评要求箱变事故油池、</w:t>
            </w:r>
            <w:r>
              <w:rPr>
                <w:rFonts w:hint="eastAsia"/>
                <w:color w:val="auto"/>
                <w:sz w:val="24"/>
                <w:highlight w:val="none"/>
                <w:lang w:val="en-US" w:eastAsia="zh-CN"/>
              </w:rPr>
              <w:t>主变贮油坑、主变</w:t>
            </w:r>
            <w:r>
              <w:rPr>
                <w:color w:val="auto"/>
                <w:sz w:val="24"/>
                <w:highlight w:val="none"/>
              </w:rPr>
              <w:t>事故油池严格按照</w:t>
            </w:r>
            <w:r>
              <w:rPr>
                <w:rFonts w:hint="eastAsia"/>
                <w:color w:val="auto"/>
                <w:sz w:val="24"/>
                <w:highlight w:val="none"/>
              </w:rPr>
              <w:t>《危险废物贮存污染控制标准》（GB18597-2023）</w:t>
            </w:r>
            <w:r>
              <w:rPr>
                <w:color w:val="auto"/>
                <w:sz w:val="24"/>
                <w:highlight w:val="none"/>
              </w:rPr>
              <w:t>要求设计、运行和管理，防渗层为至少1m厚黏土层（渗透系数≤1.0×10</w:t>
            </w:r>
            <w:r>
              <w:rPr>
                <w:color w:val="auto"/>
                <w:sz w:val="24"/>
                <w:highlight w:val="none"/>
                <w:vertAlign w:val="superscript"/>
              </w:rPr>
              <w:t>-7</w:t>
            </w:r>
            <w:r>
              <w:rPr>
                <w:color w:val="auto"/>
                <w:sz w:val="24"/>
                <w:highlight w:val="none"/>
              </w:rPr>
              <w:t>cm/s），或2mm厚高密度聚乙烯，或至少2mm厚的</w:t>
            </w:r>
            <w:r>
              <w:rPr>
                <w:rFonts w:hint="eastAsia"/>
                <w:color w:val="auto"/>
                <w:sz w:val="24"/>
                <w:highlight w:val="none"/>
                <w:lang w:eastAsia="zh-CN"/>
              </w:rPr>
              <w:t>其他人工</w:t>
            </w:r>
            <w:r>
              <w:rPr>
                <w:color w:val="auto"/>
                <w:sz w:val="24"/>
                <w:highlight w:val="none"/>
              </w:rPr>
              <w:t>材料，渗透系数≤1.0×10</w:t>
            </w:r>
            <w:r>
              <w:rPr>
                <w:color w:val="auto"/>
                <w:sz w:val="24"/>
                <w:highlight w:val="none"/>
                <w:vertAlign w:val="superscript"/>
              </w:rPr>
              <w:t>-10</w:t>
            </w:r>
            <w:r>
              <w:rPr>
                <w:color w:val="auto"/>
                <w:sz w:val="24"/>
                <w:highlight w:val="none"/>
              </w:rPr>
              <w:t>cm/s。</w:t>
            </w:r>
          </w:p>
          <w:p w14:paraId="6AF60A74">
            <w:pPr>
              <w:spacing w:line="480" w:lineRule="exact"/>
              <w:ind w:firstLine="482" w:firstLineChars="200"/>
              <w:rPr>
                <w:b/>
                <w:bCs/>
                <w:color w:val="auto"/>
                <w:sz w:val="24"/>
                <w:highlight w:val="none"/>
              </w:rPr>
            </w:pPr>
            <w:r>
              <w:rPr>
                <w:b/>
                <w:bCs/>
                <w:color w:val="auto"/>
                <w:sz w:val="24"/>
                <w:highlight w:val="none"/>
              </w:rPr>
              <w:t>危废收集、贮存、管理、转运、处置等全过程的环保要求：</w:t>
            </w:r>
          </w:p>
          <w:p w14:paraId="6BD7191F">
            <w:pPr>
              <w:spacing w:line="480" w:lineRule="exact"/>
              <w:ind w:firstLine="480" w:firstLineChars="200"/>
              <w:rPr>
                <w:color w:val="auto"/>
                <w:sz w:val="24"/>
                <w:highlight w:val="none"/>
              </w:rPr>
            </w:pPr>
            <w:r>
              <w:rPr>
                <w:color w:val="auto"/>
                <w:sz w:val="24"/>
                <w:highlight w:val="none"/>
              </w:rPr>
              <w:t>1）</w:t>
            </w:r>
            <w:r>
              <w:rPr>
                <w:rFonts w:hint="eastAsia"/>
                <w:color w:val="auto"/>
                <w:sz w:val="24"/>
                <w:highlight w:val="none"/>
                <w:lang w:eastAsia="zh-CN"/>
              </w:rPr>
              <w:t>危废贮存点必须</w:t>
            </w:r>
            <w:r>
              <w:rPr>
                <w:color w:val="auto"/>
                <w:sz w:val="24"/>
                <w:highlight w:val="none"/>
              </w:rPr>
              <w:t>封闭建设，门口内侧设立围堰，地面应做好硬化及防扬散、防流失、防渗漏措施。</w:t>
            </w:r>
          </w:p>
          <w:p w14:paraId="0695F102">
            <w:pPr>
              <w:spacing w:line="480" w:lineRule="exact"/>
              <w:ind w:firstLine="480" w:firstLineChars="200"/>
              <w:rPr>
                <w:color w:val="auto"/>
                <w:sz w:val="24"/>
                <w:highlight w:val="none"/>
              </w:rPr>
            </w:pPr>
            <w:r>
              <w:rPr>
                <w:color w:val="auto"/>
                <w:sz w:val="24"/>
                <w:highlight w:val="none"/>
              </w:rPr>
              <w:t>2）</w:t>
            </w:r>
            <w:r>
              <w:rPr>
                <w:rFonts w:hint="eastAsia"/>
                <w:color w:val="auto"/>
                <w:sz w:val="24"/>
                <w:highlight w:val="none"/>
                <w:lang w:eastAsia="zh-CN"/>
              </w:rPr>
              <w:t>危废贮存点</w:t>
            </w:r>
            <w:r>
              <w:rPr>
                <w:color w:val="auto"/>
                <w:sz w:val="24"/>
                <w:highlight w:val="none"/>
              </w:rPr>
              <w:t>门口需张贴标准规范的危险废物标识，屋内张贴企业《危险废物管理制度》。</w:t>
            </w:r>
          </w:p>
          <w:p w14:paraId="55DA3367">
            <w:pPr>
              <w:spacing w:line="480" w:lineRule="exact"/>
              <w:ind w:firstLine="480" w:firstLineChars="200"/>
              <w:rPr>
                <w:color w:val="auto"/>
                <w:sz w:val="24"/>
                <w:highlight w:val="none"/>
              </w:rPr>
            </w:pPr>
            <w:r>
              <w:rPr>
                <w:color w:val="auto"/>
                <w:sz w:val="24"/>
                <w:highlight w:val="none"/>
              </w:rPr>
              <w:t>3）现场产生的所有危险废物，都必须分类好，存放在指定的暂存区内。</w:t>
            </w:r>
          </w:p>
          <w:p w14:paraId="40C40867">
            <w:pPr>
              <w:spacing w:line="480" w:lineRule="exact"/>
              <w:ind w:firstLine="480" w:firstLineChars="200"/>
              <w:rPr>
                <w:color w:val="auto"/>
                <w:sz w:val="24"/>
                <w:highlight w:val="none"/>
              </w:rPr>
            </w:pPr>
            <w:r>
              <w:rPr>
                <w:color w:val="auto"/>
                <w:sz w:val="24"/>
                <w:highlight w:val="none"/>
              </w:rPr>
              <w:t>4）现场将危险废物运往危废暂存区时必须使用防扬散、防流失、防渗漏的</w:t>
            </w:r>
            <w:r>
              <w:rPr>
                <w:rFonts w:hint="eastAsia"/>
                <w:color w:val="auto"/>
                <w:sz w:val="24"/>
                <w:highlight w:val="none"/>
              </w:rPr>
              <w:t>车辆；</w:t>
            </w:r>
            <w:r>
              <w:rPr>
                <w:color w:val="auto"/>
                <w:sz w:val="24"/>
                <w:highlight w:val="none"/>
              </w:rPr>
              <w:t>不同种类危险废物一起运输时，必须将每种废弃物进行安全性处置</w:t>
            </w:r>
            <w:r>
              <w:rPr>
                <w:rFonts w:hint="eastAsia"/>
                <w:color w:val="auto"/>
                <w:sz w:val="24"/>
                <w:highlight w:val="none"/>
              </w:rPr>
              <w:t>；</w:t>
            </w:r>
            <w:r>
              <w:rPr>
                <w:color w:val="auto"/>
                <w:sz w:val="24"/>
                <w:highlight w:val="none"/>
              </w:rPr>
              <w:t>禁止将危险废物与旅客在同一运输工具上载运。</w:t>
            </w:r>
          </w:p>
          <w:p w14:paraId="41AC7258">
            <w:pPr>
              <w:spacing w:line="480" w:lineRule="exact"/>
              <w:ind w:firstLine="480" w:firstLineChars="200"/>
              <w:rPr>
                <w:color w:val="auto"/>
                <w:sz w:val="24"/>
                <w:highlight w:val="none"/>
              </w:rPr>
            </w:pPr>
            <w:r>
              <w:rPr>
                <w:color w:val="auto"/>
                <w:sz w:val="24"/>
                <w:highlight w:val="none"/>
              </w:rPr>
              <w:t>5）</w:t>
            </w:r>
            <w:r>
              <w:rPr>
                <w:rFonts w:hint="eastAsia"/>
                <w:color w:val="auto"/>
                <w:sz w:val="24"/>
                <w:highlight w:val="none"/>
                <w:lang w:eastAsia="zh-CN"/>
              </w:rPr>
              <w:t>危废贮存点</w:t>
            </w:r>
            <w:r>
              <w:rPr>
                <w:color w:val="auto"/>
                <w:sz w:val="24"/>
                <w:highlight w:val="none"/>
              </w:rPr>
              <w:t>内必须有足够数量的灭火器与安全防护设备，</w:t>
            </w:r>
            <w:r>
              <w:rPr>
                <w:rFonts w:hint="eastAsia"/>
                <w:color w:val="auto"/>
                <w:sz w:val="24"/>
                <w:highlight w:val="none"/>
              </w:rPr>
              <w:t>管理</w:t>
            </w:r>
            <w:r>
              <w:rPr>
                <w:color w:val="auto"/>
                <w:sz w:val="24"/>
                <w:highlight w:val="none"/>
              </w:rPr>
              <w:t>人员</w:t>
            </w:r>
            <w:r>
              <w:rPr>
                <w:rFonts w:hint="eastAsia"/>
                <w:color w:val="auto"/>
                <w:sz w:val="24"/>
                <w:highlight w:val="none"/>
              </w:rPr>
              <w:t>应</w:t>
            </w:r>
            <w:r>
              <w:rPr>
                <w:color w:val="auto"/>
                <w:sz w:val="24"/>
                <w:highlight w:val="none"/>
              </w:rPr>
              <w:t>经过应急救援的训练，定期参与应急演练。</w:t>
            </w:r>
          </w:p>
          <w:p w14:paraId="73813FA6">
            <w:pPr>
              <w:spacing w:line="480" w:lineRule="exact"/>
              <w:ind w:firstLine="480" w:firstLineChars="200"/>
              <w:rPr>
                <w:color w:val="auto"/>
                <w:sz w:val="24"/>
                <w:highlight w:val="none"/>
              </w:rPr>
            </w:pPr>
            <w:r>
              <w:rPr>
                <w:color w:val="auto"/>
                <w:sz w:val="24"/>
                <w:highlight w:val="none"/>
              </w:rPr>
              <w:t>6）危险废物回收厂商回收危险废物，必须有相关资质，与公司签订回收合同，且合同报送环保局备案。</w:t>
            </w:r>
          </w:p>
          <w:p w14:paraId="59EBB7D8">
            <w:pPr>
              <w:spacing w:line="480" w:lineRule="exact"/>
              <w:ind w:firstLine="480" w:firstLineChars="200"/>
              <w:rPr>
                <w:color w:val="auto"/>
                <w:sz w:val="24"/>
                <w:highlight w:val="none"/>
              </w:rPr>
            </w:pPr>
            <w:r>
              <w:rPr>
                <w:color w:val="auto"/>
                <w:sz w:val="24"/>
                <w:highlight w:val="none"/>
              </w:rPr>
              <w:t>7）现场工作人员对危险废物进行收集及危险废物厂商进厂装车时，人员必须穿好防护用具，设定警戒范围，不允许</w:t>
            </w:r>
            <w:r>
              <w:rPr>
                <w:rFonts w:hint="eastAsia"/>
                <w:color w:val="auto"/>
                <w:sz w:val="24"/>
                <w:highlight w:val="none"/>
                <w:lang w:eastAsia="zh-CN"/>
              </w:rPr>
              <w:t>其他人</w:t>
            </w:r>
            <w:r>
              <w:rPr>
                <w:color w:val="auto"/>
                <w:sz w:val="24"/>
                <w:highlight w:val="none"/>
              </w:rPr>
              <w:t>进入。</w:t>
            </w:r>
          </w:p>
          <w:p w14:paraId="16506722">
            <w:pPr>
              <w:spacing w:line="480" w:lineRule="exact"/>
              <w:ind w:firstLine="480" w:firstLineChars="200"/>
              <w:rPr>
                <w:color w:val="auto"/>
                <w:sz w:val="24"/>
                <w:highlight w:val="none"/>
              </w:rPr>
            </w:pPr>
            <w:r>
              <w:rPr>
                <w:color w:val="auto"/>
                <w:sz w:val="24"/>
                <w:highlight w:val="none"/>
              </w:rPr>
              <w:t>8）危险废物回收厂商必须按照法规规定当场开出本次危险废物的转移联单。</w:t>
            </w:r>
          </w:p>
          <w:p w14:paraId="26AC7F0F">
            <w:pPr>
              <w:rPr>
                <w:color w:val="auto"/>
              </w:rPr>
            </w:pPr>
            <w:r>
              <w:rPr>
                <w:color w:val="auto"/>
                <w:sz w:val="24"/>
                <w:highlight w:val="none"/>
              </w:rPr>
              <w:t>9）</w:t>
            </w:r>
            <w:r>
              <w:rPr>
                <w:rFonts w:hint="eastAsia"/>
                <w:color w:val="auto"/>
                <w:sz w:val="24"/>
                <w:highlight w:val="none"/>
              </w:rPr>
              <w:t>危险废物</w:t>
            </w:r>
            <w:r>
              <w:rPr>
                <w:rFonts w:hint="eastAsia"/>
                <w:color w:val="auto"/>
                <w:sz w:val="24"/>
                <w:highlight w:val="none"/>
                <w:lang w:eastAsia="zh-CN"/>
              </w:rPr>
              <w:t>管理台账</w:t>
            </w:r>
            <w:r>
              <w:rPr>
                <w:color w:val="auto"/>
                <w:sz w:val="24"/>
                <w:highlight w:val="none"/>
              </w:rPr>
              <w:t>并悬挂于</w:t>
            </w:r>
            <w:r>
              <w:rPr>
                <w:rFonts w:hint="eastAsia"/>
                <w:color w:val="auto"/>
                <w:sz w:val="24"/>
                <w:highlight w:val="none"/>
                <w:lang w:eastAsia="zh-CN"/>
              </w:rPr>
              <w:t>危废贮存点</w:t>
            </w:r>
            <w:r>
              <w:rPr>
                <w:color w:val="auto"/>
                <w:sz w:val="24"/>
                <w:highlight w:val="none"/>
              </w:rPr>
              <w:t>内，转入及转出需要填写危废种类、数量、时间及负责人员姓名。</w:t>
            </w:r>
          </w:p>
          <w:p w14:paraId="2693E08D">
            <w:pPr>
              <w:bidi w:val="0"/>
              <w:ind w:left="0" w:leftChars="0" w:firstLine="0" w:firstLineChars="0"/>
              <w:rPr>
                <w:rFonts w:hint="eastAsia"/>
                <w:b/>
                <w:bCs/>
                <w:color w:val="auto"/>
                <w:lang w:val="en-US" w:eastAsia="zh-CN"/>
              </w:rPr>
            </w:pPr>
            <w:r>
              <w:rPr>
                <w:rFonts w:hint="eastAsia"/>
                <w:b/>
                <w:bCs/>
                <w:color w:val="auto"/>
                <w:lang w:val="en-US" w:eastAsia="zh-CN"/>
              </w:rPr>
              <w:t>5.环境风险事故防范措施</w:t>
            </w:r>
          </w:p>
          <w:p w14:paraId="46BB94B9">
            <w:pPr>
              <w:bidi w:val="0"/>
              <w:rPr>
                <w:rFonts w:hint="eastAsia"/>
                <w:color w:val="auto"/>
                <w:lang w:val="en-US" w:eastAsia="zh-CN"/>
              </w:rPr>
            </w:pPr>
            <w:r>
              <w:rPr>
                <w:rFonts w:hint="eastAsia"/>
                <w:color w:val="auto"/>
                <w:lang w:val="en-US" w:eastAsia="zh-CN"/>
              </w:rPr>
              <w:t>（1）在每个箱式变压器下方基础处各设置1个集油池，每个3m³，收集事故情况下变压器的泄漏油。主变压器及箱变在维修和事故情况下，产生的废油经球墨铸铁管输送至事故油池存放。</w:t>
            </w:r>
          </w:p>
          <w:p w14:paraId="2C2661E1">
            <w:pPr>
              <w:bidi w:val="0"/>
              <w:rPr>
                <w:rFonts w:hint="eastAsia"/>
                <w:color w:val="auto"/>
                <w:lang w:val="en-US" w:eastAsia="zh-CN"/>
              </w:rPr>
            </w:pPr>
            <w:r>
              <w:rPr>
                <w:rFonts w:hint="eastAsia"/>
                <w:color w:val="auto"/>
                <w:lang w:val="en-US" w:eastAsia="zh-CN"/>
              </w:rPr>
              <w:t>（2）严格做好分区防渗工程，施工期加强工程监理和环境监理，提高防渗工程质量，做好照片、录像以及相关文字说明等存档资料。</w:t>
            </w:r>
          </w:p>
          <w:p w14:paraId="45C59AD1">
            <w:pPr>
              <w:rPr>
                <w:rFonts w:hint="default"/>
                <w:color w:val="auto"/>
                <w:lang w:val="en-US" w:eastAsia="zh-CN"/>
              </w:rPr>
            </w:pPr>
            <w:r>
              <w:rPr>
                <w:rFonts w:hint="eastAsia"/>
                <w:color w:val="auto"/>
                <w:lang w:val="en-US" w:eastAsia="zh-CN"/>
              </w:rPr>
              <w:t>事故油池须进行防渗处理，按重点防渗区进行建设，防渗选择2mm厚高密度聚乙烯，或至少2mm厚的其他人工材料，渗透系数≤10</w:t>
            </w:r>
            <w:r>
              <w:rPr>
                <w:rFonts w:hint="eastAsia"/>
                <w:color w:val="auto"/>
                <w:vertAlign w:val="superscript"/>
                <w:lang w:val="en-US" w:eastAsia="zh-CN"/>
              </w:rPr>
              <w:t>-10</w:t>
            </w:r>
            <w:r>
              <w:rPr>
                <w:rFonts w:hint="eastAsia"/>
                <w:color w:val="auto"/>
                <w:lang w:val="en-US" w:eastAsia="zh-CN"/>
              </w:rPr>
              <w:t>cm/s。依托的危废贮存间采用环氧树脂和丙烯酸防渗，符合《危险废物贮存污染控制标准》（GB18597-2023）建设要求，后期建设单位应定期巡检，确保防渗层的完整性和有效性。</w:t>
            </w:r>
          </w:p>
          <w:p w14:paraId="668933E2">
            <w:pPr>
              <w:bidi w:val="0"/>
              <w:rPr>
                <w:rFonts w:hint="eastAsia"/>
                <w:color w:val="auto"/>
                <w:lang w:val="en-US" w:eastAsia="zh-CN"/>
              </w:rPr>
            </w:pPr>
            <w:r>
              <w:rPr>
                <w:rFonts w:hint="eastAsia"/>
                <w:color w:val="auto"/>
                <w:lang w:val="en-US" w:eastAsia="zh-CN"/>
              </w:rPr>
              <w:t>（3）运营期间定期检查各类储存设施，避免出现泄漏等不良情况。</w:t>
            </w:r>
          </w:p>
          <w:p w14:paraId="2CFC7A11">
            <w:pPr>
              <w:bidi w:val="0"/>
              <w:rPr>
                <w:rFonts w:hint="eastAsia"/>
                <w:color w:val="auto"/>
                <w:lang w:val="en-US" w:eastAsia="zh-CN"/>
              </w:rPr>
            </w:pPr>
            <w:r>
              <w:rPr>
                <w:rFonts w:hint="eastAsia"/>
                <w:color w:val="auto"/>
                <w:lang w:val="en-US" w:eastAsia="zh-CN"/>
              </w:rPr>
              <w:t>（4）危险废物的贮存严格按照《危险废物贮存污染控制标准》（GB18597-2023）和《危险废物收集、贮存、运输技术规范》（HJ2025-2012）的相关要求执行。</w:t>
            </w:r>
          </w:p>
          <w:p w14:paraId="0EA2C68A">
            <w:pPr>
              <w:bidi w:val="0"/>
              <w:rPr>
                <w:rFonts w:hint="eastAsia"/>
                <w:color w:val="auto"/>
                <w:lang w:val="en-US" w:eastAsia="zh-CN"/>
              </w:rPr>
            </w:pPr>
            <w:r>
              <w:rPr>
                <w:rFonts w:hint="eastAsia"/>
                <w:color w:val="auto"/>
                <w:lang w:val="en-US" w:eastAsia="zh-CN"/>
              </w:rPr>
              <w:t>（5）加强对操作人员和运输人员的岗位培训，建立健全环保管理机制和各项环保规章制度，落实岗位环保责任制，加强环境风险防控工作，防止事故排放导致环境问题。</w:t>
            </w:r>
          </w:p>
          <w:p w14:paraId="7D2BF027">
            <w:pPr>
              <w:bidi w:val="0"/>
              <w:rPr>
                <w:rFonts w:ascii="Times New Roman" w:hAnsi="Times New Roman" w:eastAsia="宋体"/>
                <w:color w:val="auto"/>
                <w:highlight w:val="none"/>
              </w:rPr>
            </w:pPr>
            <w:r>
              <w:rPr>
                <w:rFonts w:hint="eastAsia"/>
                <w:color w:val="auto"/>
                <w:lang w:val="en-US" w:eastAsia="zh-CN"/>
              </w:rPr>
              <w:t>（6）若在运输途中发生泄漏事故，随行人员应立即划分警戒安全区域，断绝消除危险区域的一切火种，包括一切明火、电火，并在第一时间联系森林消防单位。</w:t>
            </w:r>
          </w:p>
        </w:tc>
      </w:tr>
      <w:tr w14:paraId="49E318F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7" w:type="dxa"/>
            <w:noWrap w:val="0"/>
            <w:tcMar>
              <w:left w:w="28" w:type="dxa"/>
              <w:right w:w="28" w:type="dxa"/>
            </w:tcMar>
            <w:vAlign w:val="center"/>
          </w:tcPr>
          <w:p w14:paraId="3E6EC6E3">
            <w:pPr>
              <w:pStyle w:val="18"/>
              <w:bidi w:val="0"/>
              <w:rPr>
                <w:rFonts w:hint="eastAsia"/>
                <w:color w:val="auto"/>
              </w:rPr>
            </w:pPr>
            <w:r>
              <w:rPr>
                <w:rFonts w:hint="eastAsia"/>
                <w:color w:val="auto"/>
              </w:rPr>
              <w:t>其他</w:t>
            </w:r>
          </w:p>
        </w:tc>
        <w:tc>
          <w:tcPr>
            <w:tcW w:w="7681" w:type="dxa"/>
            <w:noWrap w:val="0"/>
            <w:vAlign w:val="top"/>
          </w:tcPr>
          <w:p w14:paraId="3D3B2F61">
            <w:pPr>
              <w:bidi w:val="0"/>
              <w:ind w:left="0" w:leftChars="0" w:firstLine="0" w:firstLineChars="0"/>
              <w:rPr>
                <w:rFonts w:hint="eastAsia"/>
                <w:b/>
                <w:bCs/>
                <w:color w:val="auto"/>
              </w:rPr>
            </w:pPr>
            <w:r>
              <w:rPr>
                <w:rFonts w:hint="eastAsia"/>
                <w:b/>
                <w:bCs/>
                <w:color w:val="auto"/>
              </w:rPr>
              <w:t>1</w:t>
            </w:r>
            <w:r>
              <w:rPr>
                <w:rFonts w:hint="eastAsia"/>
                <w:b/>
                <w:bCs/>
                <w:color w:val="auto"/>
                <w:lang w:eastAsia="zh-CN"/>
              </w:rPr>
              <w:t>.</w:t>
            </w:r>
            <w:r>
              <w:rPr>
                <w:rFonts w:hint="eastAsia"/>
                <w:b/>
                <w:bCs/>
                <w:color w:val="auto"/>
              </w:rPr>
              <w:t>环境管理</w:t>
            </w:r>
          </w:p>
          <w:p w14:paraId="43CC5D1E">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color w:val="auto"/>
                <w:sz w:val="24"/>
                <w:highlight w:val="none"/>
                <w:lang w:eastAsia="zh-CN"/>
              </w:rPr>
              <w:t>（</w:t>
            </w:r>
            <w:r>
              <w:rPr>
                <w:rFonts w:hint="eastAsia" w:ascii="Times New Roman" w:hAnsi="Times New Roman" w:eastAsia="宋体"/>
                <w:color w:val="auto"/>
                <w:sz w:val="24"/>
                <w:highlight w:val="none"/>
              </w:rPr>
              <w:t>1</w:t>
            </w:r>
            <w:r>
              <w:rPr>
                <w:rFonts w:hint="eastAsia"/>
                <w:color w:val="auto"/>
                <w:sz w:val="24"/>
                <w:highlight w:val="none"/>
                <w:lang w:eastAsia="zh-CN"/>
              </w:rPr>
              <w:t>）</w:t>
            </w:r>
            <w:r>
              <w:rPr>
                <w:rFonts w:hint="eastAsia" w:ascii="Times New Roman" w:hAnsi="Times New Roman" w:eastAsia="宋体"/>
                <w:color w:val="auto"/>
                <w:sz w:val="24"/>
                <w:highlight w:val="none"/>
              </w:rPr>
              <w:t>设计阶段：设计部门应将环境影响报告表提出的环境保护措施落实在施工设计中。</w:t>
            </w:r>
          </w:p>
          <w:p w14:paraId="22E70A83">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color w:val="auto"/>
                <w:sz w:val="24"/>
                <w:highlight w:val="none"/>
                <w:lang w:eastAsia="zh-CN"/>
              </w:rPr>
              <w:t>（</w:t>
            </w:r>
            <w:r>
              <w:rPr>
                <w:rFonts w:hint="eastAsia" w:ascii="Times New Roman" w:hAnsi="Times New Roman" w:eastAsia="宋体"/>
                <w:color w:val="auto"/>
                <w:sz w:val="24"/>
                <w:highlight w:val="none"/>
              </w:rPr>
              <w:t>2</w:t>
            </w:r>
            <w:r>
              <w:rPr>
                <w:rFonts w:hint="eastAsia"/>
                <w:color w:val="auto"/>
                <w:sz w:val="24"/>
                <w:highlight w:val="none"/>
                <w:lang w:eastAsia="zh-CN"/>
              </w:rPr>
              <w:t>）</w:t>
            </w:r>
            <w:r>
              <w:rPr>
                <w:rFonts w:hint="eastAsia" w:ascii="Times New Roman" w:hAnsi="Times New Roman" w:eastAsia="宋体"/>
                <w:color w:val="auto"/>
                <w:sz w:val="24"/>
                <w:highlight w:val="none"/>
              </w:rPr>
              <w:t>招投标阶段：承包商在投标中应有环境保护内容，中标后的合同中应有实施保证措施的条款。</w:t>
            </w:r>
          </w:p>
          <w:p w14:paraId="27A786A7">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color w:val="auto"/>
                <w:sz w:val="24"/>
                <w:highlight w:val="none"/>
                <w:lang w:eastAsia="zh-CN"/>
              </w:rPr>
              <w:t>（</w:t>
            </w:r>
            <w:r>
              <w:rPr>
                <w:rFonts w:hint="eastAsia" w:ascii="Times New Roman" w:hAnsi="Times New Roman" w:eastAsia="宋体"/>
                <w:color w:val="auto"/>
                <w:sz w:val="24"/>
                <w:highlight w:val="none"/>
              </w:rPr>
              <w:t>3</w:t>
            </w:r>
            <w:r>
              <w:rPr>
                <w:rFonts w:hint="eastAsia"/>
                <w:color w:val="auto"/>
                <w:sz w:val="24"/>
                <w:highlight w:val="none"/>
                <w:lang w:eastAsia="zh-CN"/>
              </w:rPr>
              <w:t>）</w:t>
            </w:r>
            <w:r>
              <w:rPr>
                <w:rFonts w:hint="eastAsia" w:ascii="Times New Roman" w:hAnsi="Times New Roman" w:eastAsia="宋体"/>
                <w:color w:val="auto"/>
                <w:sz w:val="24"/>
                <w:highlight w:val="none"/>
              </w:rPr>
              <w:t>施工阶段：工程监理机构应将环境保护的相关内容</w:t>
            </w:r>
            <w:r>
              <w:rPr>
                <w:rFonts w:hint="eastAsia"/>
                <w:color w:val="auto"/>
                <w:sz w:val="24"/>
                <w:highlight w:val="none"/>
                <w:lang w:eastAsia="zh-CN"/>
              </w:rPr>
              <w:t>纳入</w:t>
            </w:r>
            <w:r>
              <w:rPr>
                <w:rFonts w:hint="eastAsia" w:ascii="Times New Roman" w:hAnsi="Times New Roman" w:eastAsia="宋体"/>
                <w:color w:val="auto"/>
                <w:sz w:val="24"/>
                <w:highlight w:val="none"/>
              </w:rPr>
              <w:t>工程监理计划中。施工单位应按照本环评报告提出的环境保护措施和招标文件中规定的环境保护措施实施，接受工程建设单位和监理单位的监督和管理。</w:t>
            </w:r>
          </w:p>
          <w:p w14:paraId="50EEAFBD">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color w:val="auto"/>
                <w:sz w:val="24"/>
                <w:highlight w:val="none"/>
                <w:lang w:eastAsia="zh-CN"/>
              </w:rPr>
              <w:t>（</w:t>
            </w:r>
            <w:r>
              <w:rPr>
                <w:rFonts w:hint="eastAsia" w:ascii="Times New Roman" w:hAnsi="Times New Roman" w:eastAsia="宋体"/>
                <w:color w:val="auto"/>
                <w:sz w:val="24"/>
                <w:highlight w:val="none"/>
              </w:rPr>
              <w:t>4</w:t>
            </w:r>
            <w:r>
              <w:rPr>
                <w:rFonts w:hint="eastAsia"/>
                <w:color w:val="auto"/>
                <w:sz w:val="24"/>
                <w:highlight w:val="none"/>
                <w:lang w:eastAsia="zh-CN"/>
              </w:rPr>
              <w:t>）</w:t>
            </w:r>
            <w:r>
              <w:rPr>
                <w:rFonts w:hint="eastAsia" w:ascii="Times New Roman" w:hAnsi="Times New Roman" w:eastAsia="宋体"/>
                <w:color w:val="auto"/>
                <w:sz w:val="24"/>
                <w:highlight w:val="none"/>
              </w:rPr>
              <w:t>运行阶段：西泽风电场（二期）工程的环境保护工作由建设单位负责监督，负责日常的环境管理，落实相关的环境管理制度。</w:t>
            </w:r>
          </w:p>
          <w:p w14:paraId="58BAF6A4">
            <w:pPr>
              <w:bidi w:val="0"/>
              <w:ind w:left="0" w:leftChars="0" w:firstLine="0" w:firstLineChars="0"/>
              <w:rPr>
                <w:rFonts w:hint="eastAsia"/>
                <w:b/>
                <w:bCs/>
                <w:color w:val="auto"/>
              </w:rPr>
            </w:pPr>
            <w:r>
              <w:rPr>
                <w:rFonts w:hint="eastAsia"/>
                <w:b/>
                <w:bCs/>
                <w:color w:val="auto"/>
              </w:rPr>
              <w:t>2</w:t>
            </w:r>
            <w:r>
              <w:rPr>
                <w:rFonts w:hint="eastAsia"/>
                <w:b/>
                <w:bCs/>
                <w:color w:val="auto"/>
                <w:lang w:eastAsia="zh-CN"/>
              </w:rPr>
              <w:t>.</w:t>
            </w:r>
            <w:r>
              <w:rPr>
                <w:rFonts w:hint="eastAsia"/>
                <w:b/>
                <w:bCs/>
                <w:color w:val="auto"/>
              </w:rPr>
              <w:t>环境监测计划</w:t>
            </w:r>
          </w:p>
          <w:p w14:paraId="3E6751C2">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lang w:eastAsia="zh-CN"/>
              </w:rPr>
            </w:pPr>
            <w:r>
              <w:rPr>
                <w:rFonts w:hint="eastAsia"/>
                <w:color w:val="auto"/>
                <w:sz w:val="24"/>
                <w:highlight w:val="none"/>
                <w:lang w:eastAsia="zh-CN"/>
              </w:rPr>
              <w:t>（</w:t>
            </w:r>
            <w:r>
              <w:rPr>
                <w:rFonts w:hint="eastAsia" w:ascii="Times New Roman" w:hAnsi="Times New Roman" w:eastAsia="宋体"/>
                <w:color w:val="auto"/>
                <w:sz w:val="24"/>
                <w:highlight w:val="none"/>
              </w:rPr>
              <w:t>1</w:t>
            </w:r>
            <w:r>
              <w:rPr>
                <w:rFonts w:hint="eastAsia"/>
                <w:color w:val="auto"/>
                <w:sz w:val="24"/>
                <w:highlight w:val="none"/>
                <w:lang w:eastAsia="zh-CN"/>
              </w:rPr>
              <w:t>）</w:t>
            </w:r>
            <w:r>
              <w:rPr>
                <w:rFonts w:hint="eastAsia" w:ascii="Times New Roman" w:hAnsi="Times New Roman" w:eastAsia="宋体"/>
                <w:color w:val="auto"/>
                <w:sz w:val="24"/>
                <w:highlight w:val="none"/>
              </w:rPr>
              <w:t>鸟类</w:t>
            </w:r>
            <w:r>
              <w:rPr>
                <w:rFonts w:hint="eastAsia"/>
                <w:color w:val="auto"/>
                <w:sz w:val="24"/>
                <w:highlight w:val="none"/>
                <w:lang w:val="en-US" w:eastAsia="zh-CN"/>
              </w:rPr>
              <w:t>监测</w:t>
            </w:r>
          </w:p>
          <w:p w14:paraId="4966868E">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①</w:t>
            </w:r>
            <w:r>
              <w:rPr>
                <w:rFonts w:hint="eastAsia"/>
                <w:color w:val="auto"/>
                <w:sz w:val="24"/>
                <w:highlight w:val="none"/>
                <w:lang w:val="en-US" w:eastAsia="zh-CN"/>
              </w:rPr>
              <w:t>监测</w:t>
            </w:r>
            <w:r>
              <w:rPr>
                <w:rFonts w:hint="eastAsia" w:ascii="Times New Roman" w:hAnsi="Times New Roman" w:eastAsia="宋体"/>
                <w:color w:val="auto"/>
                <w:sz w:val="24"/>
                <w:highlight w:val="none"/>
              </w:rPr>
              <w:t>目的</w:t>
            </w:r>
          </w:p>
          <w:p w14:paraId="5F583090">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调查场址区鸟类的居留情况，生态特点，以利于及时做出有关决策并适时调整鸟类保护措施。</w:t>
            </w:r>
          </w:p>
          <w:p w14:paraId="41EEF627">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②</w:t>
            </w:r>
            <w:r>
              <w:rPr>
                <w:rFonts w:hint="eastAsia"/>
                <w:color w:val="auto"/>
                <w:sz w:val="24"/>
                <w:highlight w:val="none"/>
                <w:lang w:val="en-US" w:eastAsia="zh-CN"/>
              </w:rPr>
              <w:t>监测</w:t>
            </w:r>
            <w:r>
              <w:rPr>
                <w:rFonts w:hint="eastAsia" w:ascii="Times New Roman" w:hAnsi="Times New Roman" w:eastAsia="宋体"/>
                <w:color w:val="auto"/>
                <w:sz w:val="24"/>
                <w:highlight w:val="none"/>
              </w:rPr>
              <w:t>内容</w:t>
            </w:r>
          </w:p>
          <w:p w14:paraId="01112D35">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建议在风电场建设期间及建成三年内安排专门的工作人员对场区内的鸟类进行跟踪观测，主要观测鸟类撞击死亡率。如在场内发现受伤的鸟类，送交当地林业站统一管理或放生，并研究发生鸟撞的原因，记录发生撞击的鸟类种类，进行存档，并采取相应的保护措施。</w:t>
            </w:r>
          </w:p>
          <w:p w14:paraId="7785CE7F">
            <w:pPr>
              <w:bidi w:val="0"/>
              <w:rPr>
                <w:rFonts w:hint="eastAsia"/>
                <w:color w:val="auto"/>
              </w:rPr>
            </w:pPr>
            <w:r>
              <w:rPr>
                <w:rFonts w:hint="eastAsia"/>
                <w:color w:val="auto"/>
              </w:rPr>
              <w:t>③</w:t>
            </w:r>
            <w:r>
              <w:rPr>
                <w:rFonts w:hint="eastAsia"/>
                <w:color w:val="auto"/>
                <w:lang w:val="en-US" w:eastAsia="zh-CN"/>
              </w:rPr>
              <w:t>监测</w:t>
            </w:r>
            <w:r>
              <w:rPr>
                <w:rFonts w:hint="eastAsia"/>
                <w:color w:val="auto"/>
              </w:rPr>
              <w:t>时间</w:t>
            </w:r>
          </w:p>
          <w:p w14:paraId="1389019B">
            <w:pPr>
              <w:bidi w:val="0"/>
              <w:rPr>
                <w:rFonts w:hint="eastAsia"/>
                <w:color w:val="auto"/>
              </w:rPr>
            </w:pPr>
            <w:r>
              <w:rPr>
                <w:rFonts w:hint="eastAsia"/>
                <w:color w:val="auto"/>
              </w:rPr>
              <w:t>风电场建设期间和风电场建成后3年。风电场建设期间及建成第一年，非鸟类迁徙季节监测频次为每</w:t>
            </w:r>
            <w:r>
              <w:rPr>
                <w:rFonts w:hint="eastAsia"/>
                <w:color w:val="auto"/>
                <w:lang w:val="en-US" w:eastAsia="zh-CN"/>
              </w:rPr>
              <w:t>年</w:t>
            </w:r>
            <w:r>
              <w:rPr>
                <w:rFonts w:hint="eastAsia"/>
                <w:color w:val="auto"/>
              </w:rPr>
              <w:t>监测1次；风电场运行期间须开展持续性鸟类监测，风电场建设期间及建成第一年，非鸟类迁徙季节监测频次为每半年监测1次，每年共监测1次；在鸟类迁徙季节（10月至翌年3月或4月）观测频次为迁徙初期1次（10月或11月、迁徙中期1次（12月或翌年1月）、迁徙末期（3月或4月）1次，每年共监测3次），第一年共监测4次。后两年的频次结合场区管理巡视，可适当减少。一旦发生鸟撞击风机事件频次大于等于3次/年，应深化观测，根据观测结果对事发风机采取停机或拆机，对发生撞击的鸟类开展持续观测，并根据观测结果重新评估项目建设对区域鸟类</w:t>
            </w:r>
            <w:r>
              <w:rPr>
                <w:rFonts w:hint="eastAsia"/>
                <w:color w:val="auto"/>
                <w:lang w:eastAsia="zh-CN"/>
              </w:rPr>
              <w:t>的影响。</w:t>
            </w:r>
          </w:p>
          <w:p w14:paraId="4E2A93A2">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④</w:t>
            </w:r>
            <w:r>
              <w:rPr>
                <w:rFonts w:hint="eastAsia"/>
                <w:color w:val="auto"/>
                <w:sz w:val="24"/>
                <w:highlight w:val="none"/>
                <w:lang w:val="en-US" w:eastAsia="zh-CN"/>
              </w:rPr>
              <w:t>监测</w:t>
            </w:r>
            <w:r>
              <w:rPr>
                <w:rFonts w:hint="eastAsia" w:ascii="Times New Roman" w:hAnsi="Times New Roman" w:eastAsia="宋体"/>
                <w:color w:val="auto"/>
                <w:sz w:val="24"/>
                <w:highlight w:val="none"/>
              </w:rPr>
              <w:t>地点</w:t>
            </w:r>
          </w:p>
          <w:p w14:paraId="4CD45027">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整个场区及升压站。建议主要为风机布置区内的垭口位置及其附近区域。</w:t>
            </w:r>
          </w:p>
          <w:p w14:paraId="3DD34E88">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⑤资料整理与分析</w:t>
            </w:r>
          </w:p>
          <w:p w14:paraId="3D42CAAD">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对每年鸟类观测情况进行整理，形成年度汇总报告，每年年末进行一次资料归档，制定后续鸟类观测制度，分析记录资料的年际变化情况，以便对下一年度鸟类观测</w:t>
            </w:r>
            <w:r>
              <w:rPr>
                <w:rFonts w:hint="eastAsia"/>
                <w:color w:val="auto"/>
                <w:sz w:val="24"/>
                <w:highlight w:val="none"/>
                <w:lang w:eastAsia="zh-CN"/>
              </w:rPr>
              <w:t>作出</w:t>
            </w:r>
            <w:r>
              <w:rPr>
                <w:rFonts w:hint="eastAsia" w:ascii="Times New Roman" w:hAnsi="Times New Roman" w:eastAsia="宋体"/>
                <w:color w:val="auto"/>
                <w:sz w:val="24"/>
                <w:highlight w:val="none"/>
              </w:rPr>
              <w:t>计划。</w:t>
            </w:r>
          </w:p>
          <w:p w14:paraId="4745A443">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color w:val="auto"/>
                <w:sz w:val="24"/>
                <w:highlight w:val="none"/>
                <w:lang w:eastAsia="zh-CN"/>
              </w:rPr>
              <w:t>（</w:t>
            </w:r>
            <w:r>
              <w:rPr>
                <w:rFonts w:hint="eastAsia" w:ascii="Times New Roman" w:hAnsi="Times New Roman" w:eastAsia="宋体"/>
                <w:color w:val="auto"/>
                <w:sz w:val="24"/>
                <w:highlight w:val="none"/>
              </w:rPr>
              <w:t>2</w:t>
            </w:r>
            <w:r>
              <w:rPr>
                <w:rFonts w:hint="eastAsia"/>
                <w:color w:val="auto"/>
                <w:sz w:val="24"/>
                <w:highlight w:val="none"/>
                <w:lang w:eastAsia="zh-CN"/>
              </w:rPr>
              <w:t>）</w:t>
            </w:r>
            <w:r>
              <w:rPr>
                <w:rFonts w:hint="eastAsia" w:ascii="Times New Roman" w:hAnsi="Times New Roman" w:eastAsia="宋体"/>
                <w:color w:val="auto"/>
                <w:sz w:val="24"/>
                <w:highlight w:val="none"/>
              </w:rPr>
              <w:t>声环境监测</w:t>
            </w:r>
          </w:p>
          <w:p w14:paraId="4AF41FF0">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监测因子为等效连续声级；监测时间为运行期长年进行跟踪监测，每年一次，每次3天连续有效数据。声环境监测地点为升压站厂界四周各设1个监测点位</w:t>
            </w:r>
            <w:r>
              <w:rPr>
                <w:rFonts w:hint="eastAsia"/>
                <w:color w:val="auto"/>
                <w:sz w:val="24"/>
                <w:highlight w:val="none"/>
                <w:lang w:eastAsia="zh-CN"/>
              </w:rPr>
              <w:t>，</w:t>
            </w:r>
            <w:r>
              <w:rPr>
                <w:rFonts w:hint="eastAsia"/>
                <w:color w:val="auto"/>
                <w:sz w:val="24"/>
                <w:highlight w:val="none"/>
                <w:lang w:val="en-US" w:eastAsia="zh-CN"/>
              </w:rPr>
              <w:t>距离项目风机最近的叠水箐村设置1个监测点位</w:t>
            </w:r>
            <w:r>
              <w:rPr>
                <w:rFonts w:hint="eastAsia" w:ascii="Times New Roman" w:hAnsi="Times New Roman" w:eastAsia="宋体"/>
                <w:color w:val="auto"/>
                <w:sz w:val="24"/>
                <w:highlight w:val="none"/>
              </w:rPr>
              <w:t>。</w:t>
            </w:r>
          </w:p>
          <w:p w14:paraId="58ABF0E3">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color w:val="auto"/>
                <w:sz w:val="24"/>
                <w:highlight w:val="none"/>
                <w:lang w:eastAsia="zh-CN"/>
              </w:rPr>
              <w:t>（</w:t>
            </w:r>
            <w:r>
              <w:rPr>
                <w:rFonts w:hint="eastAsia" w:ascii="Times New Roman" w:hAnsi="Times New Roman" w:eastAsia="宋体"/>
                <w:color w:val="auto"/>
                <w:sz w:val="24"/>
                <w:highlight w:val="none"/>
              </w:rPr>
              <w:t>3</w:t>
            </w:r>
            <w:r>
              <w:rPr>
                <w:rFonts w:hint="eastAsia"/>
                <w:color w:val="auto"/>
                <w:sz w:val="24"/>
                <w:highlight w:val="none"/>
                <w:lang w:eastAsia="zh-CN"/>
              </w:rPr>
              <w:t>）</w:t>
            </w:r>
            <w:r>
              <w:rPr>
                <w:rFonts w:hint="eastAsia" w:ascii="Times New Roman" w:hAnsi="Times New Roman" w:eastAsia="宋体"/>
                <w:color w:val="auto"/>
                <w:sz w:val="24"/>
                <w:highlight w:val="none"/>
              </w:rPr>
              <w:t>电磁环境监测</w:t>
            </w:r>
          </w:p>
          <w:p w14:paraId="5BC023CD">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电磁环境监测：监测因子为运行期升压站工频电场和工频磁场；监测时间为工程投产验收时监测1次。</w:t>
            </w:r>
          </w:p>
          <w:p w14:paraId="367ABBB2">
            <w:pPr>
              <w:keepNext w:val="0"/>
              <w:keepLines w:val="0"/>
              <w:pageBreakBefore w:val="0"/>
              <w:widowControl w:val="0"/>
              <w:kinsoku/>
              <w:wordWrap/>
              <w:overflowPunct/>
              <w:topLinePunct w:val="0"/>
              <w:bidi w:val="0"/>
              <w:adjustRightInd/>
              <w:snapToGrid/>
              <w:spacing w:line="360" w:lineRule="auto"/>
              <w:ind w:firstLine="480" w:firstLineChars="200"/>
              <w:textAlignment w:val="auto"/>
              <w:rPr>
                <w:rFonts w:hint="eastAsia" w:ascii="Times New Roman" w:hAnsi="Times New Roman" w:eastAsia="宋体"/>
                <w:color w:val="auto"/>
                <w:sz w:val="24"/>
                <w:highlight w:val="none"/>
              </w:rPr>
            </w:pPr>
            <w:r>
              <w:rPr>
                <w:rFonts w:hint="eastAsia" w:ascii="Times New Roman" w:hAnsi="Times New Roman" w:eastAsia="宋体"/>
                <w:color w:val="auto"/>
                <w:sz w:val="24"/>
                <w:highlight w:val="none"/>
              </w:rPr>
              <w:t>电磁环境监测地点：升压站厂界四周各设1个监测点位，在靠近主变压器的墙面</w:t>
            </w:r>
            <w:r>
              <w:rPr>
                <w:rFonts w:hint="eastAsia"/>
                <w:color w:val="auto"/>
                <w:sz w:val="24"/>
                <w:highlight w:val="none"/>
                <w:lang w:val="en-US" w:eastAsia="zh-CN"/>
              </w:rPr>
              <w:t>避开出线</w:t>
            </w:r>
            <w:r>
              <w:rPr>
                <w:rFonts w:hint="eastAsia" w:ascii="Times New Roman" w:hAnsi="Times New Roman" w:eastAsia="宋体"/>
                <w:color w:val="auto"/>
                <w:sz w:val="24"/>
                <w:highlight w:val="none"/>
              </w:rPr>
              <w:t>设置1个监测断面。</w:t>
            </w:r>
          </w:p>
          <w:p w14:paraId="6AB4A7AD">
            <w:pPr>
              <w:bidi w:val="0"/>
              <w:ind w:left="0" w:leftChars="0" w:firstLine="0" w:firstLineChars="0"/>
              <w:rPr>
                <w:rFonts w:hint="eastAsia"/>
                <w:b/>
                <w:bCs/>
                <w:color w:val="auto"/>
              </w:rPr>
            </w:pPr>
            <w:r>
              <w:rPr>
                <w:rFonts w:hint="eastAsia"/>
                <w:b/>
                <w:bCs/>
                <w:color w:val="auto"/>
              </w:rPr>
              <w:t>3</w:t>
            </w:r>
            <w:r>
              <w:rPr>
                <w:rFonts w:hint="eastAsia"/>
                <w:b/>
                <w:bCs/>
                <w:color w:val="auto"/>
                <w:lang w:val="en-US" w:eastAsia="zh-CN"/>
              </w:rPr>
              <w:t>.</w:t>
            </w:r>
            <w:r>
              <w:rPr>
                <w:rFonts w:hint="eastAsia"/>
                <w:b/>
                <w:bCs/>
                <w:color w:val="auto"/>
              </w:rPr>
              <w:t>环境监理</w:t>
            </w:r>
          </w:p>
          <w:p w14:paraId="7EB46BFF">
            <w:pPr>
              <w:bidi w:val="0"/>
              <w:rPr>
                <w:rFonts w:hint="eastAsia"/>
                <w:color w:val="auto"/>
                <w:lang w:eastAsia="zh-CN"/>
              </w:rPr>
            </w:pPr>
            <w:r>
              <w:rPr>
                <w:rFonts w:hint="eastAsia"/>
                <w:color w:val="auto"/>
                <w:lang w:eastAsia="zh-CN"/>
              </w:rPr>
              <w:t>环境监理</w:t>
            </w:r>
            <w:r>
              <w:rPr>
                <w:rFonts w:hint="eastAsia"/>
                <w:color w:val="auto"/>
                <w:lang w:val="en-US" w:eastAsia="zh-CN"/>
              </w:rPr>
              <w:t>纳入工程监理，</w:t>
            </w:r>
            <w:r>
              <w:rPr>
                <w:rFonts w:hint="eastAsia"/>
                <w:color w:val="auto"/>
                <w:lang w:eastAsia="zh-CN"/>
              </w:rPr>
              <w:t>环保监理人员建议由业主在招标设计文件中明确确定由1人专职或兼职负责场区的环境保护监理工作。</w:t>
            </w:r>
          </w:p>
          <w:p w14:paraId="43FC9B48">
            <w:pPr>
              <w:bidi w:val="0"/>
              <w:rPr>
                <w:rFonts w:hint="eastAsia"/>
                <w:color w:val="auto"/>
                <w:lang w:eastAsia="zh-CN"/>
              </w:rPr>
            </w:pPr>
            <w:r>
              <w:rPr>
                <w:rFonts w:hint="eastAsia"/>
                <w:color w:val="auto"/>
                <w:lang w:eastAsia="zh-CN"/>
              </w:rPr>
              <w:t>监理工程师应遵循国家及当地政府关于环境保护的方针、政策、法令、法规，监督承包商落实与建设单位</w:t>
            </w:r>
            <w:r>
              <w:rPr>
                <w:rFonts w:hint="eastAsia"/>
                <w:color w:val="auto"/>
                <w:lang w:val="en-US" w:eastAsia="zh-CN"/>
              </w:rPr>
              <w:t>签订</w:t>
            </w:r>
            <w:r>
              <w:rPr>
                <w:rFonts w:hint="eastAsia"/>
                <w:color w:val="auto"/>
                <w:lang w:eastAsia="zh-CN"/>
              </w:rPr>
              <w:t>的工程承包合同中有关的环保条款。主要职责为：</w:t>
            </w:r>
          </w:p>
          <w:p w14:paraId="194DEC43">
            <w:pPr>
              <w:bidi w:val="0"/>
              <w:rPr>
                <w:rFonts w:hint="eastAsia"/>
                <w:color w:val="auto"/>
                <w:lang w:eastAsia="zh-CN"/>
              </w:rPr>
            </w:pPr>
            <w:r>
              <w:rPr>
                <w:rFonts w:hint="eastAsia"/>
                <w:color w:val="auto"/>
                <w:sz w:val="24"/>
                <w:highlight w:val="none"/>
                <w:lang w:eastAsia="zh-CN"/>
              </w:rPr>
              <w:t>（</w:t>
            </w:r>
            <w:r>
              <w:rPr>
                <w:rFonts w:hint="eastAsia"/>
                <w:color w:val="auto"/>
                <w:lang w:eastAsia="zh-CN"/>
              </w:rPr>
              <w:t>1）编制环境监理计划，拟定环境监理项目和内容；</w:t>
            </w:r>
          </w:p>
          <w:p w14:paraId="71C94777">
            <w:pPr>
              <w:bidi w:val="0"/>
              <w:rPr>
                <w:rFonts w:hint="eastAsia"/>
                <w:color w:val="auto"/>
                <w:lang w:eastAsia="zh-CN"/>
              </w:rPr>
            </w:pPr>
            <w:r>
              <w:rPr>
                <w:rFonts w:hint="eastAsia"/>
                <w:color w:val="auto"/>
                <w:sz w:val="24"/>
                <w:highlight w:val="none"/>
                <w:lang w:eastAsia="zh-CN"/>
              </w:rPr>
              <w:t>（</w:t>
            </w:r>
            <w:r>
              <w:rPr>
                <w:rFonts w:hint="eastAsia"/>
                <w:color w:val="auto"/>
                <w:lang w:eastAsia="zh-CN"/>
              </w:rPr>
              <w:t>2）对承包商进行监理，防止和减轻施工作业引起的环境污染；</w:t>
            </w:r>
          </w:p>
          <w:p w14:paraId="26081047">
            <w:pPr>
              <w:bidi w:val="0"/>
              <w:rPr>
                <w:rFonts w:hint="eastAsia"/>
                <w:color w:val="auto"/>
                <w:lang w:eastAsia="zh-CN"/>
              </w:rPr>
            </w:pPr>
            <w:r>
              <w:rPr>
                <w:rFonts w:hint="eastAsia"/>
                <w:color w:val="auto"/>
                <w:sz w:val="24"/>
                <w:highlight w:val="none"/>
                <w:lang w:eastAsia="zh-CN"/>
              </w:rPr>
              <w:t>（</w:t>
            </w:r>
            <w:r>
              <w:rPr>
                <w:rFonts w:hint="eastAsia"/>
                <w:color w:val="auto"/>
                <w:lang w:eastAsia="zh-CN"/>
              </w:rPr>
              <w:t>3）全面监督和检查各施工单位环境保护措施实施情况和实际效果，及时处理和解决临时出现的环境事件；</w:t>
            </w:r>
          </w:p>
          <w:p w14:paraId="080A41A4">
            <w:pPr>
              <w:bidi w:val="0"/>
              <w:rPr>
                <w:rFonts w:hint="eastAsia"/>
                <w:color w:val="auto"/>
                <w:lang w:eastAsia="zh-CN"/>
              </w:rPr>
            </w:pPr>
            <w:r>
              <w:rPr>
                <w:rFonts w:hint="eastAsia"/>
                <w:color w:val="auto"/>
                <w:sz w:val="24"/>
                <w:highlight w:val="none"/>
                <w:lang w:eastAsia="zh-CN"/>
              </w:rPr>
              <w:t>（</w:t>
            </w:r>
            <w:r>
              <w:rPr>
                <w:rFonts w:hint="eastAsia"/>
                <w:color w:val="auto"/>
                <w:lang w:eastAsia="zh-CN"/>
              </w:rPr>
              <w:t>4）全面检查施工单位负责的渣场、施工迹地的处理、恢复情况等；</w:t>
            </w:r>
          </w:p>
          <w:p w14:paraId="4CBFD5B7">
            <w:pPr>
              <w:bidi w:val="0"/>
              <w:rPr>
                <w:rFonts w:hint="eastAsia"/>
                <w:color w:val="auto"/>
                <w:lang w:eastAsia="zh-CN"/>
              </w:rPr>
            </w:pPr>
            <w:r>
              <w:rPr>
                <w:rFonts w:hint="eastAsia"/>
                <w:color w:val="auto"/>
                <w:sz w:val="24"/>
                <w:highlight w:val="none"/>
                <w:lang w:eastAsia="zh-CN"/>
              </w:rPr>
              <w:t>（</w:t>
            </w:r>
            <w:r>
              <w:rPr>
                <w:rFonts w:hint="eastAsia"/>
                <w:color w:val="auto"/>
                <w:lang w:eastAsia="zh-CN"/>
              </w:rPr>
              <w:t>5）负责落实环境监测的实施，审核有关环境报表，尽量减少工程施工给环境带来的不利影响；</w:t>
            </w:r>
          </w:p>
          <w:p w14:paraId="1ABAD162">
            <w:pPr>
              <w:bidi w:val="0"/>
              <w:rPr>
                <w:rFonts w:hint="eastAsia" w:ascii="Times New Roman" w:hAnsi="Times New Roman" w:eastAsia="宋体"/>
                <w:color w:val="auto"/>
                <w:highlight w:val="none"/>
              </w:rPr>
            </w:pPr>
            <w:r>
              <w:rPr>
                <w:rFonts w:hint="eastAsia"/>
                <w:color w:val="auto"/>
                <w:sz w:val="24"/>
                <w:highlight w:val="none"/>
                <w:lang w:eastAsia="zh-CN"/>
              </w:rPr>
              <w:t>（</w:t>
            </w:r>
            <w:r>
              <w:rPr>
                <w:rFonts w:hint="eastAsia"/>
                <w:color w:val="auto"/>
                <w:lang w:eastAsia="zh-CN"/>
              </w:rPr>
              <w:t>6）在日常工作中做好监理记录及监理报告，参与竣工验收。</w:t>
            </w:r>
          </w:p>
        </w:tc>
      </w:tr>
      <w:tr w14:paraId="37DE8A8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67" w:type="dxa"/>
            <w:noWrap w:val="0"/>
            <w:vAlign w:val="center"/>
          </w:tcPr>
          <w:p w14:paraId="276864ED">
            <w:pPr>
              <w:pStyle w:val="18"/>
              <w:bidi w:val="0"/>
              <w:rPr>
                <w:color w:val="auto"/>
              </w:rPr>
            </w:pPr>
            <w:r>
              <w:rPr>
                <w:rFonts w:hint="eastAsia"/>
                <w:color w:val="auto"/>
              </w:rPr>
              <w:t>环保投资</w:t>
            </w:r>
          </w:p>
        </w:tc>
        <w:tc>
          <w:tcPr>
            <w:tcW w:w="7681" w:type="dxa"/>
            <w:noWrap w:val="0"/>
            <w:vAlign w:val="top"/>
          </w:tcPr>
          <w:p w14:paraId="50AB31CD">
            <w:pPr>
              <w:bidi w:val="0"/>
              <w:rPr>
                <w:color w:val="auto"/>
              </w:rPr>
            </w:pPr>
            <w:r>
              <w:rPr>
                <w:color w:val="auto"/>
              </w:rPr>
              <w:t>工程总投资为</w:t>
            </w:r>
            <w:r>
              <w:rPr>
                <w:rFonts w:hint="eastAsia"/>
                <w:color w:val="auto"/>
                <w:lang w:eastAsia="zh-CN"/>
              </w:rPr>
              <w:t>13576.51</w:t>
            </w:r>
            <w:r>
              <w:rPr>
                <w:color w:val="auto"/>
              </w:rPr>
              <w:t>万元，本项目环保投资约</w:t>
            </w:r>
            <w:r>
              <w:rPr>
                <w:rFonts w:hint="eastAsia"/>
                <w:color w:val="auto"/>
                <w:lang w:val="en-US" w:eastAsia="zh-CN"/>
              </w:rPr>
              <w:t>114.52</w:t>
            </w:r>
            <w:r>
              <w:rPr>
                <w:color w:val="auto"/>
              </w:rPr>
              <w:t>万元，占总投资的</w:t>
            </w:r>
            <w:r>
              <w:rPr>
                <w:rFonts w:hint="eastAsia"/>
                <w:color w:val="auto"/>
                <w:lang w:val="en-US" w:eastAsia="zh-CN"/>
              </w:rPr>
              <w:t>0.84</w:t>
            </w:r>
            <w:r>
              <w:rPr>
                <w:color w:val="auto"/>
              </w:rPr>
              <w:t>%，环保投资明细见下表。</w:t>
            </w:r>
          </w:p>
          <w:p w14:paraId="49E1F101">
            <w:pPr>
              <w:pStyle w:val="27"/>
              <w:bidi w:val="0"/>
              <w:rPr>
                <w:color w:val="auto"/>
              </w:rPr>
            </w:pPr>
            <w:r>
              <w:rPr>
                <w:color w:val="auto"/>
              </w:rPr>
              <w:t>表5-</w:t>
            </w:r>
            <w:r>
              <w:rPr>
                <w:rFonts w:hint="eastAsia"/>
                <w:color w:val="auto"/>
                <w:lang w:val="en-US" w:eastAsia="zh-CN"/>
              </w:rPr>
              <w:t xml:space="preserve">1  </w:t>
            </w:r>
            <w:r>
              <w:rPr>
                <w:color w:val="auto"/>
              </w:rPr>
              <w:t>项目环保投资一览表</w:t>
            </w:r>
          </w:p>
          <w:tbl>
            <w:tblPr>
              <w:tblStyle w:val="20"/>
              <w:tblW w:w="7367" w:type="dxa"/>
              <w:tblInd w:w="-15"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70"/>
              <w:gridCol w:w="810"/>
              <w:gridCol w:w="1075"/>
              <w:gridCol w:w="823"/>
              <w:gridCol w:w="903"/>
              <w:gridCol w:w="849"/>
              <w:gridCol w:w="969"/>
              <w:gridCol w:w="1168"/>
            </w:tblGrid>
            <w:tr w14:paraId="30CF0DA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70" w:type="dxa"/>
                  <w:vMerge w:val="restart"/>
                  <w:tcBorders>
                    <w:tl2br w:val="nil"/>
                    <w:tr2bl w:val="nil"/>
                  </w:tcBorders>
                  <w:shd w:val="clear" w:color="auto" w:fill="auto"/>
                  <w:vAlign w:val="center"/>
                </w:tcPr>
                <w:p w14:paraId="0F8FA2AC">
                  <w:pPr>
                    <w:pStyle w:val="37"/>
                    <w:bidi w:val="0"/>
                    <w:rPr>
                      <w:rFonts w:hint="eastAsia"/>
                      <w:color w:val="auto"/>
                    </w:rPr>
                  </w:pPr>
                  <w:r>
                    <w:rPr>
                      <w:rFonts w:hint="eastAsia"/>
                      <w:color w:val="auto"/>
                      <w:lang w:val="en-US" w:eastAsia="zh-CN"/>
                    </w:rPr>
                    <w:t>序号</w:t>
                  </w:r>
                </w:p>
              </w:tc>
              <w:tc>
                <w:tcPr>
                  <w:tcW w:w="1885" w:type="dxa"/>
                  <w:gridSpan w:val="2"/>
                  <w:vMerge w:val="restart"/>
                  <w:tcBorders>
                    <w:tl2br w:val="nil"/>
                    <w:tr2bl w:val="nil"/>
                  </w:tcBorders>
                  <w:shd w:val="clear" w:color="auto" w:fill="auto"/>
                  <w:vAlign w:val="center"/>
                </w:tcPr>
                <w:p w14:paraId="46FAB4AF">
                  <w:pPr>
                    <w:pStyle w:val="37"/>
                    <w:bidi w:val="0"/>
                    <w:rPr>
                      <w:rFonts w:hint="eastAsia"/>
                      <w:color w:val="auto"/>
                    </w:rPr>
                  </w:pPr>
                  <w:r>
                    <w:rPr>
                      <w:rFonts w:hint="eastAsia"/>
                      <w:color w:val="auto"/>
                      <w:lang w:val="en-US" w:eastAsia="zh-CN"/>
                    </w:rPr>
                    <w:t>项目</w:t>
                  </w:r>
                </w:p>
              </w:tc>
              <w:tc>
                <w:tcPr>
                  <w:tcW w:w="823" w:type="dxa"/>
                  <w:vMerge w:val="restart"/>
                  <w:tcBorders>
                    <w:tl2br w:val="nil"/>
                    <w:tr2bl w:val="nil"/>
                  </w:tcBorders>
                  <w:shd w:val="clear" w:color="auto" w:fill="auto"/>
                  <w:vAlign w:val="center"/>
                </w:tcPr>
                <w:p w14:paraId="6AEE912B">
                  <w:pPr>
                    <w:pStyle w:val="37"/>
                    <w:bidi w:val="0"/>
                    <w:rPr>
                      <w:rFonts w:hint="eastAsia"/>
                      <w:color w:val="auto"/>
                    </w:rPr>
                  </w:pPr>
                  <w:r>
                    <w:rPr>
                      <w:rFonts w:hint="eastAsia"/>
                      <w:color w:val="auto"/>
                      <w:lang w:val="en-US" w:eastAsia="zh-CN"/>
                    </w:rPr>
                    <w:t>单位</w:t>
                  </w:r>
                </w:p>
              </w:tc>
              <w:tc>
                <w:tcPr>
                  <w:tcW w:w="903" w:type="dxa"/>
                  <w:vMerge w:val="restart"/>
                  <w:tcBorders>
                    <w:tl2br w:val="nil"/>
                    <w:tr2bl w:val="nil"/>
                  </w:tcBorders>
                  <w:shd w:val="clear" w:color="auto" w:fill="auto"/>
                  <w:vAlign w:val="center"/>
                </w:tcPr>
                <w:p w14:paraId="31741B88">
                  <w:pPr>
                    <w:pStyle w:val="37"/>
                    <w:bidi w:val="0"/>
                    <w:rPr>
                      <w:rFonts w:hint="eastAsia"/>
                      <w:color w:val="auto"/>
                    </w:rPr>
                  </w:pPr>
                  <w:r>
                    <w:rPr>
                      <w:rFonts w:hint="eastAsia"/>
                      <w:color w:val="auto"/>
                      <w:lang w:val="en-US" w:eastAsia="zh-CN"/>
                    </w:rPr>
                    <w:t>数量</w:t>
                  </w:r>
                </w:p>
              </w:tc>
              <w:tc>
                <w:tcPr>
                  <w:tcW w:w="849" w:type="dxa"/>
                  <w:tcBorders>
                    <w:tl2br w:val="nil"/>
                    <w:tr2bl w:val="nil"/>
                  </w:tcBorders>
                  <w:shd w:val="clear" w:color="auto" w:fill="auto"/>
                  <w:vAlign w:val="center"/>
                </w:tcPr>
                <w:p w14:paraId="0D211035">
                  <w:pPr>
                    <w:pStyle w:val="37"/>
                    <w:bidi w:val="0"/>
                    <w:rPr>
                      <w:rFonts w:hint="eastAsia"/>
                      <w:color w:val="auto"/>
                    </w:rPr>
                  </w:pPr>
                  <w:r>
                    <w:rPr>
                      <w:rFonts w:hint="eastAsia"/>
                      <w:color w:val="auto"/>
                      <w:lang w:val="en-US" w:eastAsia="zh-CN"/>
                    </w:rPr>
                    <w:t>单价</w:t>
                  </w:r>
                </w:p>
              </w:tc>
              <w:tc>
                <w:tcPr>
                  <w:tcW w:w="969" w:type="dxa"/>
                  <w:tcBorders>
                    <w:tl2br w:val="nil"/>
                    <w:tr2bl w:val="nil"/>
                  </w:tcBorders>
                  <w:shd w:val="clear" w:color="auto" w:fill="auto"/>
                  <w:vAlign w:val="center"/>
                </w:tcPr>
                <w:p w14:paraId="759A1E72">
                  <w:pPr>
                    <w:pStyle w:val="37"/>
                    <w:bidi w:val="0"/>
                    <w:rPr>
                      <w:rFonts w:hint="eastAsia"/>
                      <w:color w:val="auto"/>
                    </w:rPr>
                  </w:pPr>
                  <w:r>
                    <w:rPr>
                      <w:rFonts w:hint="eastAsia"/>
                      <w:color w:val="auto"/>
                      <w:lang w:val="en-US" w:eastAsia="zh-CN"/>
                    </w:rPr>
                    <w:t>合计</w:t>
                  </w:r>
                </w:p>
              </w:tc>
              <w:tc>
                <w:tcPr>
                  <w:tcW w:w="1168" w:type="dxa"/>
                  <w:vMerge w:val="restart"/>
                  <w:tcBorders>
                    <w:tl2br w:val="nil"/>
                    <w:tr2bl w:val="nil"/>
                  </w:tcBorders>
                  <w:shd w:val="clear" w:color="auto" w:fill="auto"/>
                  <w:vAlign w:val="center"/>
                </w:tcPr>
                <w:p w14:paraId="4B9A71F1">
                  <w:pPr>
                    <w:pStyle w:val="37"/>
                    <w:bidi w:val="0"/>
                    <w:rPr>
                      <w:rFonts w:hint="eastAsia"/>
                      <w:color w:val="auto"/>
                    </w:rPr>
                  </w:pPr>
                  <w:r>
                    <w:rPr>
                      <w:rFonts w:hint="eastAsia"/>
                      <w:color w:val="auto"/>
                      <w:lang w:val="en-US" w:eastAsia="zh-CN"/>
                    </w:rPr>
                    <w:t>备注</w:t>
                  </w:r>
                </w:p>
              </w:tc>
            </w:tr>
            <w:tr w14:paraId="4F3533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0" w:hRule="atLeast"/>
              </w:trPr>
              <w:tc>
                <w:tcPr>
                  <w:tcW w:w="770" w:type="dxa"/>
                  <w:vMerge w:val="continue"/>
                  <w:tcBorders>
                    <w:tl2br w:val="nil"/>
                    <w:tr2bl w:val="nil"/>
                  </w:tcBorders>
                  <w:shd w:val="clear" w:color="auto" w:fill="auto"/>
                  <w:vAlign w:val="center"/>
                </w:tcPr>
                <w:p w14:paraId="62933C95">
                  <w:pPr>
                    <w:pStyle w:val="37"/>
                    <w:bidi w:val="0"/>
                    <w:rPr>
                      <w:rFonts w:hint="eastAsia"/>
                      <w:color w:val="auto"/>
                    </w:rPr>
                  </w:pPr>
                </w:p>
              </w:tc>
              <w:tc>
                <w:tcPr>
                  <w:tcW w:w="1885" w:type="dxa"/>
                  <w:gridSpan w:val="2"/>
                  <w:vMerge w:val="continue"/>
                  <w:tcBorders>
                    <w:tl2br w:val="nil"/>
                    <w:tr2bl w:val="nil"/>
                  </w:tcBorders>
                  <w:shd w:val="clear" w:color="auto" w:fill="auto"/>
                  <w:vAlign w:val="center"/>
                </w:tcPr>
                <w:p w14:paraId="03839688">
                  <w:pPr>
                    <w:pStyle w:val="37"/>
                    <w:bidi w:val="0"/>
                    <w:rPr>
                      <w:rFonts w:hint="eastAsia"/>
                      <w:color w:val="auto"/>
                    </w:rPr>
                  </w:pPr>
                </w:p>
              </w:tc>
              <w:tc>
                <w:tcPr>
                  <w:tcW w:w="823" w:type="dxa"/>
                  <w:vMerge w:val="continue"/>
                  <w:tcBorders>
                    <w:tl2br w:val="nil"/>
                    <w:tr2bl w:val="nil"/>
                  </w:tcBorders>
                  <w:shd w:val="clear" w:color="auto" w:fill="auto"/>
                  <w:vAlign w:val="center"/>
                </w:tcPr>
                <w:p w14:paraId="06AF9A92">
                  <w:pPr>
                    <w:pStyle w:val="37"/>
                    <w:bidi w:val="0"/>
                    <w:rPr>
                      <w:rFonts w:hint="eastAsia"/>
                      <w:color w:val="auto"/>
                    </w:rPr>
                  </w:pPr>
                </w:p>
              </w:tc>
              <w:tc>
                <w:tcPr>
                  <w:tcW w:w="903" w:type="dxa"/>
                  <w:vMerge w:val="continue"/>
                  <w:tcBorders>
                    <w:tl2br w:val="nil"/>
                    <w:tr2bl w:val="nil"/>
                  </w:tcBorders>
                  <w:shd w:val="clear" w:color="auto" w:fill="auto"/>
                  <w:vAlign w:val="center"/>
                </w:tcPr>
                <w:p w14:paraId="3E039D9C">
                  <w:pPr>
                    <w:pStyle w:val="37"/>
                    <w:bidi w:val="0"/>
                    <w:rPr>
                      <w:rFonts w:hint="eastAsia"/>
                      <w:color w:val="auto"/>
                    </w:rPr>
                  </w:pPr>
                </w:p>
              </w:tc>
              <w:tc>
                <w:tcPr>
                  <w:tcW w:w="849" w:type="dxa"/>
                  <w:tcBorders>
                    <w:tl2br w:val="nil"/>
                    <w:tr2bl w:val="nil"/>
                  </w:tcBorders>
                  <w:shd w:val="clear" w:color="auto" w:fill="auto"/>
                  <w:vAlign w:val="center"/>
                </w:tcPr>
                <w:p w14:paraId="52C36B73">
                  <w:pPr>
                    <w:pStyle w:val="37"/>
                    <w:bidi w:val="0"/>
                    <w:rPr>
                      <w:rFonts w:hint="eastAsia"/>
                      <w:color w:val="auto"/>
                    </w:rPr>
                  </w:pPr>
                  <w:r>
                    <w:rPr>
                      <w:rFonts w:hint="eastAsia"/>
                      <w:color w:val="auto"/>
                      <w:lang w:val="en-US" w:eastAsia="zh-CN"/>
                    </w:rPr>
                    <w:t>（元）</w:t>
                  </w:r>
                </w:p>
              </w:tc>
              <w:tc>
                <w:tcPr>
                  <w:tcW w:w="969" w:type="dxa"/>
                  <w:tcBorders>
                    <w:tl2br w:val="nil"/>
                    <w:tr2bl w:val="nil"/>
                  </w:tcBorders>
                  <w:shd w:val="clear" w:color="auto" w:fill="auto"/>
                  <w:vAlign w:val="center"/>
                </w:tcPr>
                <w:p w14:paraId="5DC37833">
                  <w:pPr>
                    <w:pStyle w:val="37"/>
                    <w:bidi w:val="0"/>
                    <w:rPr>
                      <w:rFonts w:hint="eastAsia"/>
                      <w:color w:val="auto"/>
                    </w:rPr>
                  </w:pPr>
                  <w:r>
                    <w:rPr>
                      <w:rFonts w:hint="eastAsia"/>
                      <w:color w:val="auto"/>
                      <w:lang w:val="en-US" w:eastAsia="zh-CN"/>
                    </w:rPr>
                    <w:t>（万元）</w:t>
                  </w:r>
                </w:p>
              </w:tc>
              <w:tc>
                <w:tcPr>
                  <w:tcW w:w="1168" w:type="dxa"/>
                  <w:vMerge w:val="continue"/>
                  <w:tcBorders>
                    <w:tl2br w:val="nil"/>
                    <w:tr2bl w:val="nil"/>
                  </w:tcBorders>
                  <w:shd w:val="clear" w:color="auto" w:fill="auto"/>
                  <w:vAlign w:val="center"/>
                </w:tcPr>
                <w:p w14:paraId="6188E88F">
                  <w:pPr>
                    <w:pStyle w:val="37"/>
                    <w:bidi w:val="0"/>
                    <w:rPr>
                      <w:rFonts w:hint="eastAsia"/>
                      <w:color w:val="auto"/>
                    </w:rPr>
                  </w:pPr>
                </w:p>
              </w:tc>
            </w:tr>
            <w:tr w14:paraId="174A071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70" w:type="dxa"/>
                  <w:tcBorders>
                    <w:tl2br w:val="nil"/>
                    <w:tr2bl w:val="nil"/>
                  </w:tcBorders>
                  <w:shd w:val="clear" w:color="auto" w:fill="auto"/>
                  <w:vAlign w:val="center"/>
                </w:tcPr>
                <w:p w14:paraId="3B1112B2">
                  <w:pPr>
                    <w:pStyle w:val="37"/>
                    <w:bidi w:val="0"/>
                    <w:rPr>
                      <w:rFonts w:hint="eastAsia"/>
                      <w:color w:val="auto"/>
                    </w:rPr>
                  </w:pPr>
                  <w:r>
                    <w:rPr>
                      <w:rFonts w:hint="eastAsia"/>
                      <w:color w:val="auto"/>
                      <w:lang w:val="en-US" w:eastAsia="zh-CN"/>
                    </w:rPr>
                    <w:t>一</w:t>
                  </w:r>
                </w:p>
              </w:tc>
              <w:tc>
                <w:tcPr>
                  <w:tcW w:w="1885" w:type="dxa"/>
                  <w:gridSpan w:val="2"/>
                  <w:tcBorders>
                    <w:tl2br w:val="nil"/>
                    <w:tr2bl w:val="nil"/>
                  </w:tcBorders>
                  <w:shd w:val="clear" w:color="auto" w:fill="auto"/>
                  <w:vAlign w:val="center"/>
                </w:tcPr>
                <w:p w14:paraId="0D2A9170">
                  <w:pPr>
                    <w:pStyle w:val="37"/>
                    <w:bidi w:val="0"/>
                    <w:rPr>
                      <w:rFonts w:hint="eastAsia"/>
                      <w:color w:val="auto"/>
                    </w:rPr>
                  </w:pPr>
                  <w:r>
                    <w:rPr>
                      <w:rFonts w:hint="eastAsia"/>
                      <w:color w:val="auto"/>
                      <w:lang w:val="en-US" w:eastAsia="zh-CN"/>
                    </w:rPr>
                    <w:t>生态保护费</w:t>
                  </w:r>
                </w:p>
              </w:tc>
              <w:tc>
                <w:tcPr>
                  <w:tcW w:w="823" w:type="dxa"/>
                  <w:tcBorders>
                    <w:tl2br w:val="nil"/>
                    <w:tr2bl w:val="nil"/>
                  </w:tcBorders>
                  <w:shd w:val="clear" w:color="auto" w:fill="auto"/>
                  <w:vAlign w:val="center"/>
                </w:tcPr>
                <w:p w14:paraId="17E5F9F5">
                  <w:pPr>
                    <w:pStyle w:val="37"/>
                    <w:bidi w:val="0"/>
                    <w:rPr>
                      <w:rFonts w:hint="eastAsia"/>
                      <w:color w:val="auto"/>
                    </w:rPr>
                  </w:pPr>
                </w:p>
              </w:tc>
              <w:tc>
                <w:tcPr>
                  <w:tcW w:w="903" w:type="dxa"/>
                  <w:tcBorders>
                    <w:tl2br w:val="nil"/>
                    <w:tr2bl w:val="nil"/>
                  </w:tcBorders>
                  <w:shd w:val="clear" w:color="auto" w:fill="auto"/>
                  <w:vAlign w:val="center"/>
                </w:tcPr>
                <w:p w14:paraId="2FF095C3">
                  <w:pPr>
                    <w:pStyle w:val="37"/>
                    <w:bidi w:val="0"/>
                    <w:rPr>
                      <w:rFonts w:hint="eastAsia"/>
                      <w:color w:val="auto"/>
                    </w:rPr>
                  </w:pPr>
                </w:p>
              </w:tc>
              <w:tc>
                <w:tcPr>
                  <w:tcW w:w="849" w:type="dxa"/>
                  <w:tcBorders>
                    <w:tl2br w:val="nil"/>
                    <w:tr2bl w:val="nil"/>
                  </w:tcBorders>
                  <w:shd w:val="clear" w:color="auto" w:fill="auto"/>
                  <w:vAlign w:val="center"/>
                </w:tcPr>
                <w:p w14:paraId="0D823D33">
                  <w:pPr>
                    <w:pStyle w:val="37"/>
                    <w:bidi w:val="0"/>
                    <w:rPr>
                      <w:rFonts w:hint="eastAsia"/>
                      <w:color w:val="auto"/>
                    </w:rPr>
                  </w:pPr>
                </w:p>
              </w:tc>
              <w:tc>
                <w:tcPr>
                  <w:tcW w:w="969" w:type="dxa"/>
                  <w:tcBorders>
                    <w:tl2br w:val="nil"/>
                    <w:tr2bl w:val="nil"/>
                  </w:tcBorders>
                  <w:shd w:val="clear" w:color="auto" w:fill="auto"/>
                  <w:vAlign w:val="center"/>
                </w:tcPr>
                <w:p w14:paraId="35F26C09">
                  <w:pPr>
                    <w:pStyle w:val="37"/>
                    <w:bidi w:val="0"/>
                    <w:rPr>
                      <w:rFonts w:hint="default"/>
                      <w:color w:val="auto"/>
                      <w:lang w:val="en-US"/>
                    </w:rPr>
                  </w:pPr>
                  <w:r>
                    <w:rPr>
                      <w:rFonts w:hint="eastAsia"/>
                      <w:color w:val="auto"/>
                      <w:lang w:val="en-US" w:eastAsia="zh-CN"/>
                    </w:rPr>
                    <w:t>48</w:t>
                  </w:r>
                </w:p>
              </w:tc>
              <w:tc>
                <w:tcPr>
                  <w:tcW w:w="1168" w:type="dxa"/>
                  <w:tcBorders>
                    <w:tl2br w:val="nil"/>
                    <w:tr2bl w:val="nil"/>
                  </w:tcBorders>
                  <w:shd w:val="clear" w:color="auto" w:fill="auto"/>
                  <w:vAlign w:val="center"/>
                </w:tcPr>
                <w:p w14:paraId="76606C92">
                  <w:pPr>
                    <w:pStyle w:val="37"/>
                    <w:bidi w:val="0"/>
                    <w:rPr>
                      <w:rFonts w:hint="eastAsia"/>
                      <w:color w:val="auto"/>
                    </w:rPr>
                  </w:pPr>
                </w:p>
              </w:tc>
            </w:tr>
            <w:tr w14:paraId="30AD44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70" w:type="dxa"/>
                  <w:tcBorders>
                    <w:tl2br w:val="nil"/>
                    <w:tr2bl w:val="nil"/>
                  </w:tcBorders>
                  <w:shd w:val="clear" w:color="auto" w:fill="auto"/>
                  <w:vAlign w:val="center"/>
                </w:tcPr>
                <w:p w14:paraId="3A8AFFD0">
                  <w:pPr>
                    <w:pStyle w:val="37"/>
                    <w:bidi w:val="0"/>
                    <w:rPr>
                      <w:rFonts w:hint="default"/>
                      <w:color w:val="auto"/>
                    </w:rPr>
                  </w:pPr>
                  <w:r>
                    <w:rPr>
                      <w:rFonts w:hint="default"/>
                      <w:color w:val="auto"/>
                      <w:lang w:val="en-US" w:eastAsia="zh-CN"/>
                    </w:rPr>
                    <w:t>1</w:t>
                  </w:r>
                </w:p>
              </w:tc>
              <w:tc>
                <w:tcPr>
                  <w:tcW w:w="1885" w:type="dxa"/>
                  <w:gridSpan w:val="2"/>
                  <w:tcBorders>
                    <w:tl2br w:val="nil"/>
                    <w:tr2bl w:val="nil"/>
                  </w:tcBorders>
                  <w:shd w:val="clear" w:color="auto" w:fill="auto"/>
                  <w:vAlign w:val="center"/>
                </w:tcPr>
                <w:p w14:paraId="3442E2E1">
                  <w:pPr>
                    <w:pStyle w:val="37"/>
                    <w:bidi w:val="0"/>
                    <w:rPr>
                      <w:rFonts w:hint="eastAsia"/>
                      <w:color w:val="auto"/>
                    </w:rPr>
                  </w:pPr>
                  <w:r>
                    <w:rPr>
                      <w:rFonts w:hint="eastAsia"/>
                      <w:color w:val="auto"/>
                      <w:lang w:val="en-US" w:eastAsia="zh-CN"/>
                    </w:rPr>
                    <w:t>宣传费</w:t>
                  </w:r>
                </w:p>
              </w:tc>
              <w:tc>
                <w:tcPr>
                  <w:tcW w:w="823" w:type="dxa"/>
                  <w:tcBorders>
                    <w:tl2br w:val="nil"/>
                    <w:tr2bl w:val="nil"/>
                  </w:tcBorders>
                  <w:shd w:val="clear" w:color="auto" w:fill="auto"/>
                  <w:vAlign w:val="center"/>
                </w:tcPr>
                <w:p w14:paraId="0839BB20">
                  <w:pPr>
                    <w:pStyle w:val="37"/>
                    <w:bidi w:val="0"/>
                    <w:rPr>
                      <w:rFonts w:hint="eastAsia"/>
                      <w:color w:val="auto"/>
                    </w:rPr>
                  </w:pPr>
                  <w:r>
                    <w:rPr>
                      <w:rFonts w:hint="eastAsia"/>
                      <w:color w:val="auto"/>
                      <w:lang w:val="en-US" w:eastAsia="zh-CN"/>
                    </w:rPr>
                    <w:t>项</w:t>
                  </w:r>
                </w:p>
              </w:tc>
              <w:tc>
                <w:tcPr>
                  <w:tcW w:w="903" w:type="dxa"/>
                  <w:tcBorders>
                    <w:tl2br w:val="nil"/>
                    <w:tr2bl w:val="nil"/>
                  </w:tcBorders>
                  <w:shd w:val="clear" w:color="auto" w:fill="auto"/>
                  <w:vAlign w:val="center"/>
                </w:tcPr>
                <w:p w14:paraId="74F43703">
                  <w:pPr>
                    <w:pStyle w:val="37"/>
                    <w:bidi w:val="0"/>
                    <w:rPr>
                      <w:rFonts w:hint="default"/>
                      <w:color w:val="auto"/>
                    </w:rPr>
                  </w:pPr>
                  <w:r>
                    <w:rPr>
                      <w:rFonts w:hint="default"/>
                      <w:color w:val="auto"/>
                      <w:lang w:val="en-US" w:eastAsia="zh-CN"/>
                    </w:rPr>
                    <w:t>1</w:t>
                  </w:r>
                </w:p>
              </w:tc>
              <w:tc>
                <w:tcPr>
                  <w:tcW w:w="849" w:type="dxa"/>
                  <w:tcBorders>
                    <w:tl2br w:val="nil"/>
                    <w:tr2bl w:val="nil"/>
                  </w:tcBorders>
                  <w:shd w:val="clear" w:color="auto" w:fill="auto"/>
                  <w:vAlign w:val="center"/>
                </w:tcPr>
                <w:p w14:paraId="063DAF3B">
                  <w:pPr>
                    <w:pStyle w:val="37"/>
                    <w:bidi w:val="0"/>
                    <w:rPr>
                      <w:rFonts w:hint="default"/>
                      <w:color w:val="auto"/>
                    </w:rPr>
                  </w:pPr>
                  <w:r>
                    <w:rPr>
                      <w:rFonts w:hint="default"/>
                      <w:color w:val="auto"/>
                      <w:lang w:val="en-US" w:eastAsia="zh-CN"/>
                    </w:rPr>
                    <w:t>50000</w:t>
                  </w:r>
                </w:p>
              </w:tc>
              <w:tc>
                <w:tcPr>
                  <w:tcW w:w="969" w:type="dxa"/>
                  <w:tcBorders>
                    <w:tl2br w:val="nil"/>
                    <w:tr2bl w:val="nil"/>
                  </w:tcBorders>
                  <w:shd w:val="clear" w:color="auto" w:fill="auto"/>
                  <w:vAlign w:val="center"/>
                </w:tcPr>
                <w:p w14:paraId="1C89D7BE">
                  <w:pPr>
                    <w:pStyle w:val="37"/>
                    <w:bidi w:val="0"/>
                    <w:rPr>
                      <w:rFonts w:hint="default"/>
                      <w:color w:val="auto"/>
                    </w:rPr>
                  </w:pPr>
                  <w:r>
                    <w:rPr>
                      <w:rFonts w:hint="default"/>
                      <w:color w:val="auto"/>
                      <w:lang w:val="en-US" w:eastAsia="zh-CN"/>
                    </w:rPr>
                    <w:t>5</w:t>
                  </w:r>
                </w:p>
              </w:tc>
              <w:tc>
                <w:tcPr>
                  <w:tcW w:w="1168" w:type="dxa"/>
                  <w:tcBorders>
                    <w:tl2br w:val="nil"/>
                    <w:tr2bl w:val="nil"/>
                  </w:tcBorders>
                  <w:shd w:val="clear" w:color="auto" w:fill="auto"/>
                  <w:vAlign w:val="center"/>
                </w:tcPr>
                <w:p w14:paraId="02CF43E5">
                  <w:pPr>
                    <w:pStyle w:val="37"/>
                    <w:bidi w:val="0"/>
                    <w:rPr>
                      <w:rFonts w:hint="eastAsia"/>
                      <w:color w:val="auto"/>
                    </w:rPr>
                  </w:pPr>
                </w:p>
              </w:tc>
            </w:tr>
            <w:tr w14:paraId="451529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70" w:type="dxa"/>
                  <w:tcBorders>
                    <w:tl2br w:val="nil"/>
                    <w:tr2bl w:val="nil"/>
                  </w:tcBorders>
                  <w:shd w:val="clear" w:color="auto" w:fill="auto"/>
                  <w:vAlign w:val="center"/>
                </w:tcPr>
                <w:p w14:paraId="5B7D48F7">
                  <w:pPr>
                    <w:pStyle w:val="37"/>
                    <w:bidi w:val="0"/>
                    <w:rPr>
                      <w:rFonts w:hint="default"/>
                      <w:color w:val="auto"/>
                    </w:rPr>
                  </w:pPr>
                  <w:r>
                    <w:rPr>
                      <w:rFonts w:hint="default"/>
                      <w:color w:val="auto"/>
                      <w:lang w:val="en-US" w:eastAsia="zh-CN"/>
                    </w:rPr>
                    <w:t>2</w:t>
                  </w:r>
                </w:p>
              </w:tc>
              <w:tc>
                <w:tcPr>
                  <w:tcW w:w="1885" w:type="dxa"/>
                  <w:gridSpan w:val="2"/>
                  <w:tcBorders>
                    <w:tl2br w:val="nil"/>
                    <w:tr2bl w:val="nil"/>
                  </w:tcBorders>
                  <w:shd w:val="clear" w:color="auto" w:fill="auto"/>
                  <w:vAlign w:val="center"/>
                </w:tcPr>
                <w:p w14:paraId="07935649">
                  <w:pPr>
                    <w:pStyle w:val="37"/>
                    <w:bidi w:val="0"/>
                    <w:rPr>
                      <w:rFonts w:hint="eastAsia"/>
                      <w:color w:val="auto"/>
                    </w:rPr>
                  </w:pPr>
                  <w:r>
                    <w:rPr>
                      <w:rFonts w:hint="eastAsia"/>
                      <w:color w:val="auto"/>
                      <w:lang w:val="en-US" w:eastAsia="zh-CN"/>
                    </w:rPr>
                    <w:t>人员培训费</w:t>
                  </w:r>
                </w:p>
              </w:tc>
              <w:tc>
                <w:tcPr>
                  <w:tcW w:w="823" w:type="dxa"/>
                  <w:tcBorders>
                    <w:tl2br w:val="nil"/>
                    <w:tr2bl w:val="nil"/>
                  </w:tcBorders>
                  <w:shd w:val="clear" w:color="auto" w:fill="auto"/>
                  <w:vAlign w:val="center"/>
                </w:tcPr>
                <w:p w14:paraId="231F5D26">
                  <w:pPr>
                    <w:pStyle w:val="37"/>
                    <w:bidi w:val="0"/>
                    <w:rPr>
                      <w:rFonts w:hint="eastAsia"/>
                      <w:color w:val="auto"/>
                    </w:rPr>
                  </w:pPr>
                  <w:r>
                    <w:rPr>
                      <w:rFonts w:hint="eastAsia"/>
                      <w:color w:val="auto"/>
                      <w:lang w:val="en-US" w:eastAsia="zh-CN"/>
                    </w:rPr>
                    <w:t>项</w:t>
                  </w:r>
                </w:p>
              </w:tc>
              <w:tc>
                <w:tcPr>
                  <w:tcW w:w="903" w:type="dxa"/>
                  <w:tcBorders>
                    <w:tl2br w:val="nil"/>
                    <w:tr2bl w:val="nil"/>
                  </w:tcBorders>
                  <w:shd w:val="clear" w:color="auto" w:fill="auto"/>
                  <w:vAlign w:val="center"/>
                </w:tcPr>
                <w:p w14:paraId="29C0BEB5">
                  <w:pPr>
                    <w:pStyle w:val="37"/>
                    <w:bidi w:val="0"/>
                    <w:rPr>
                      <w:rFonts w:hint="default"/>
                      <w:color w:val="auto"/>
                    </w:rPr>
                  </w:pPr>
                  <w:r>
                    <w:rPr>
                      <w:rFonts w:hint="default"/>
                      <w:color w:val="auto"/>
                      <w:lang w:val="en-US" w:eastAsia="zh-CN"/>
                    </w:rPr>
                    <w:t>1</w:t>
                  </w:r>
                </w:p>
              </w:tc>
              <w:tc>
                <w:tcPr>
                  <w:tcW w:w="849" w:type="dxa"/>
                  <w:tcBorders>
                    <w:tl2br w:val="nil"/>
                    <w:tr2bl w:val="nil"/>
                  </w:tcBorders>
                  <w:shd w:val="clear" w:color="auto" w:fill="auto"/>
                  <w:vAlign w:val="center"/>
                </w:tcPr>
                <w:p w14:paraId="0FE4897D">
                  <w:pPr>
                    <w:pStyle w:val="37"/>
                    <w:bidi w:val="0"/>
                    <w:rPr>
                      <w:rFonts w:hint="default"/>
                      <w:color w:val="auto"/>
                    </w:rPr>
                  </w:pPr>
                  <w:r>
                    <w:rPr>
                      <w:rFonts w:hint="default"/>
                      <w:color w:val="auto"/>
                      <w:lang w:val="en-US" w:eastAsia="zh-CN"/>
                    </w:rPr>
                    <w:t>10000</w:t>
                  </w:r>
                </w:p>
              </w:tc>
              <w:tc>
                <w:tcPr>
                  <w:tcW w:w="969" w:type="dxa"/>
                  <w:tcBorders>
                    <w:tl2br w:val="nil"/>
                    <w:tr2bl w:val="nil"/>
                  </w:tcBorders>
                  <w:shd w:val="clear" w:color="auto" w:fill="auto"/>
                  <w:vAlign w:val="center"/>
                </w:tcPr>
                <w:p w14:paraId="44A5854D">
                  <w:pPr>
                    <w:pStyle w:val="37"/>
                    <w:bidi w:val="0"/>
                    <w:rPr>
                      <w:rFonts w:hint="default"/>
                      <w:color w:val="auto"/>
                    </w:rPr>
                  </w:pPr>
                  <w:r>
                    <w:rPr>
                      <w:rFonts w:hint="default"/>
                      <w:color w:val="auto"/>
                      <w:lang w:val="en-US" w:eastAsia="zh-CN"/>
                    </w:rPr>
                    <w:t>1</w:t>
                  </w:r>
                </w:p>
              </w:tc>
              <w:tc>
                <w:tcPr>
                  <w:tcW w:w="1168" w:type="dxa"/>
                  <w:tcBorders>
                    <w:tl2br w:val="nil"/>
                    <w:tr2bl w:val="nil"/>
                  </w:tcBorders>
                  <w:shd w:val="clear" w:color="auto" w:fill="auto"/>
                  <w:vAlign w:val="center"/>
                </w:tcPr>
                <w:p w14:paraId="4A1DF90E">
                  <w:pPr>
                    <w:pStyle w:val="37"/>
                    <w:bidi w:val="0"/>
                    <w:rPr>
                      <w:rFonts w:hint="eastAsia"/>
                      <w:color w:val="auto"/>
                    </w:rPr>
                  </w:pPr>
                </w:p>
              </w:tc>
            </w:tr>
            <w:tr w14:paraId="1554ED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770" w:type="dxa"/>
                  <w:tcBorders>
                    <w:tl2br w:val="nil"/>
                    <w:tr2bl w:val="nil"/>
                  </w:tcBorders>
                  <w:shd w:val="clear" w:color="auto" w:fill="auto"/>
                  <w:vAlign w:val="center"/>
                </w:tcPr>
                <w:p w14:paraId="612B9A3D">
                  <w:pPr>
                    <w:pStyle w:val="37"/>
                    <w:bidi w:val="0"/>
                    <w:rPr>
                      <w:rFonts w:hint="default"/>
                      <w:color w:val="auto"/>
                    </w:rPr>
                  </w:pPr>
                  <w:r>
                    <w:rPr>
                      <w:rFonts w:hint="default"/>
                      <w:color w:val="auto"/>
                      <w:lang w:val="en-US" w:eastAsia="zh-CN"/>
                    </w:rPr>
                    <w:t>3</w:t>
                  </w:r>
                </w:p>
              </w:tc>
              <w:tc>
                <w:tcPr>
                  <w:tcW w:w="1885" w:type="dxa"/>
                  <w:gridSpan w:val="2"/>
                  <w:tcBorders>
                    <w:tl2br w:val="nil"/>
                    <w:tr2bl w:val="nil"/>
                  </w:tcBorders>
                  <w:shd w:val="clear" w:color="auto" w:fill="auto"/>
                  <w:vAlign w:val="center"/>
                </w:tcPr>
                <w:p w14:paraId="1DB29CC7">
                  <w:pPr>
                    <w:pStyle w:val="37"/>
                    <w:bidi w:val="0"/>
                    <w:rPr>
                      <w:rFonts w:hint="eastAsia"/>
                      <w:color w:val="auto"/>
                    </w:rPr>
                  </w:pPr>
                  <w:r>
                    <w:rPr>
                      <w:rFonts w:hint="eastAsia"/>
                      <w:color w:val="auto"/>
                      <w:lang w:val="en-US" w:eastAsia="zh-CN"/>
                    </w:rPr>
                    <w:t>环保宣传牌、护鸟警示牌</w:t>
                  </w:r>
                </w:p>
              </w:tc>
              <w:tc>
                <w:tcPr>
                  <w:tcW w:w="823" w:type="dxa"/>
                  <w:tcBorders>
                    <w:tl2br w:val="nil"/>
                    <w:tr2bl w:val="nil"/>
                  </w:tcBorders>
                  <w:shd w:val="clear" w:color="auto" w:fill="auto"/>
                  <w:vAlign w:val="center"/>
                </w:tcPr>
                <w:p w14:paraId="4F9D5A55">
                  <w:pPr>
                    <w:pStyle w:val="37"/>
                    <w:bidi w:val="0"/>
                    <w:rPr>
                      <w:rFonts w:hint="eastAsia"/>
                      <w:color w:val="auto"/>
                    </w:rPr>
                  </w:pPr>
                  <w:r>
                    <w:rPr>
                      <w:rFonts w:hint="eastAsia"/>
                      <w:color w:val="auto"/>
                      <w:lang w:val="en-US" w:eastAsia="zh-CN"/>
                    </w:rPr>
                    <w:t>块</w:t>
                  </w:r>
                </w:p>
              </w:tc>
              <w:tc>
                <w:tcPr>
                  <w:tcW w:w="903" w:type="dxa"/>
                  <w:tcBorders>
                    <w:tl2br w:val="nil"/>
                    <w:tr2bl w:val="nil"/>
                  </w:tcBorders>
                  <w:shd w:val="clear" w:color="auto" w:fill="auto"/>
                  <w:vAlign w:val="center"/>
                </w:tcPr>
                <w:p w14:paraId="5CA0126D">
                  <w:pPr>
                    <w:pStyle w:val="37"/>
                    <w:bidi w:val="0"/>
                    <w:rPr>
                      <w:rFonts w:hint="default"/>
                      <w:color w:val="auto"/>
                    </w:rPr>
                  </w:pPr>
                  <w:r>
                    <w:rPr>
                      <w:rFonts w:hint="default"/>
                      <w:color w:val="auto"/>
                      <w:lang w:val="en-US" w:eastAsia="zh-CN"/>
                    </w:rPr>
                    <w:t>20</w:t>
                  </w:r>
                </w:p>
              </w:tc>
              <w:tc>
                <w:tcPr>
                  <w:tcW w:w="849" w:type="dxa"/>
                  <w:tcBorders>
                    <w:tl2br w:val="nil"/>
                    <w:tr2bl w:val="nil"/>
                  </w:tcBorders>
                  <w:shd w:val="clear" w:color="auto" w:fill="auto"/>
                  <w:vAlign w:val="center"/>
                </w:tcPr>
                <w:p w14:paraId="295A1711">
                  <w:pPr>
                    <w:pStyle w:val="37"/>
                    <w:bidi w:val="0"/>
                    <w:rPr>
                      <w:rFonts w:hint="default"/>
                      <w:color w:val="auto"/>
                    </w:rPr>
                  </w:pPr>
                  <w:r>
                    <w:rPr>
                      <w:rFonts w:hint="default"/>
                      <w:color w:val="auto"/>
                      <w:lang w:val="en-US" w:eastAsia="zh-CN"/>
                    </w:rPr>
                    <w:t>1000</w:t>
                  </w:r>
                </w:p>
              </w:tc>
              <w:tc>
                <w:tcPr>
                  <w:tcW w:w="969" w:type="dxa"/>
                  <w:tcBorders>
                    <w:tl2br w:val="nil"/>
                    <w:tr2bl w:val="nil"/>
                  </w:tcBorders>
                  <w:shd w:val="clear" w:color="auto" w:fill="auto"/>
                  <w:vAlign w:val="center"/>
                </w:tcPr>
                <w:p w14:paraId="6D7E13D3">
                  <w:pPr>
                    <w:pStyle w:val="37"/>
                    <w:bidi w:val="0"/>
                    <w:rPr>
                      <w:rFonts w:hint="default"/>
                      <w:color w:val="auto"/>
                    </w:rPr>
                  </w:pPr>
                  <w:r>
                    <w:rPr>
                      <w:rFonts w:hint="eastAsia"/>
                      <w:color w:val="auto"/>
                      <w:lang w:val="en-US" w:eastAsia="zh-CN"/>
                    </w:rPr>
                    <w:t>2</w:t>
                  </w:r>
                </w:p>
              </w:tc>
              <w:tc>
                <w:tcPr>
                  <w:tcW w:w="1168" w:type="dxa"/>
                  <w:tcBorders>
                    <w:tl2br w:val="nil"/>
                    <w:tr2bl w:val="nil"/>
                  </w:tcBorders>
                  <w:shd w:val="clear" w:color="auto" w:fill="auto"/>
                  <w:vAlign w:val="center"/>
                </w:tcPr>
                <w:p w14:paraId="33C5372B">
                  <w:pPr>
                    <w:pStyle w:val="37"/>
                    <w:bidi w:val="0"/>
                    <w:rPr>
                      <w:rFonts w:hint="eastAsia"/>
                      <w:color w:val="auto"/>
                    </w:rPr>
                  </w:pPr>
                </w:p>
              </w:tc>
            </w:tr>
            <w:tr w14:paraId="167E138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70" w:type="dxa"/>
                  <w:tcBorders>
                    <w:tl2br w:val="nil"/>
                    <w:tr2bl w:val="nil"/>
                  </w:tcBorders>
                  <w:shd w:val="clear" w:color="auto" w:fill="auto"/>
                  <w:vAlign w:val="center"/>
                </w:tcPr>
                <w:p w14:paraId="09053498">
                  <w:pPr>
                    <w:pStyle w:val="37"/>
                    <w:bidi w:val="0"/>
                    <w:rPr>
                      <w:rFonts w:hint="default"/>
                      <w:color w:val="auto"/>
                    </w:rPr>
                  </w:pPr>
                  <w:r>
                    <w:rPr>
                      <w:rFonts w:hint="default"/>
                      <w:color w:val="auto"/>
                      <w:lang w:val="en-US" w:eastAsia="zh-CN"/>
                    </w:rPr>
                    <w:t>4</w:t>
                  </w:r>
                </w:p>
              </w:tc>
              <w:tc>
                <w:tcPr>
                  <w:tcW w:w="1885" w:type="dxa"/>
                  <w:gridSpan w:val="2"/>
                  <w:tcBorders>
                    <w:tl2br w:val="nil"/>
                    <w:tr2bl w:val="nil"/>
                  </w:tcBorders>
                  <w:shd w:val="clear" w:color="auto" w:fill="auto"/>
                  <w:vAlign w:val="center"/>
                </w:tcPr>
                <w:p w14:paraId="658CF87D">
                  <w:pPr>
                    <w:pStyle w:val="37"/>
                    <w:bidi w:val="0"/>
                    <w:rPr>
                      <w:rFonts w:hint="eastAsia"/>
                      <w:color w:val="auto"/>
                    </w:rPr>
                  </w:pPr>
                  <w:r>
                    <w:rPr>
                      <w:rFonts w:hint="eastAsia"/>
                      <w:color w:val="auto"/>
                      <w:lang w:val="en-US" w:eastAsia="zh-CN"/>
                    </w:rPr>
                    <w:t>预留生态修复费</w:t>
                  </w:r>
                </w:p>
              </w:tc>
              <w:tc>
                <w:tcPr>
                  <w:tcW w:w="823" w:type="dxa"/>
                  <w:tcBorders>
                    <w:tl2br w:val="nil"/>
                    <w:tr2bl w:val="nil"/>
                  </w:tcBorders>
                  <w:shd w:val="clear" w:color="auto" w:fill="auto"/>
                  <w:vAlign w:val="center"/>
                </w:tcPr>
                <w:p w14:paraId="7ACCDE21">
                  <w:pPr>
                    <w:pStyle w:val="37"/>
                    <w:bidi w:val="0"/>
                    <w:rPr>
                      <w:rFonts w:hint="eastAsia"/>
                      <w:color w:val="auto"/>
                    </w:rPr>
                  </w:pPr>
                  <w:r>
                    <w:rPr>
                      <w:rFonts w:hint="eastAsia"/>
                      <w:color w:val="auto"/>
                      <w:lang w:val="en-US" w:eastAsia="zh-CN"/>
                    </w:rPr>
                    <w:t>项</w:t>
                  </w:r>
                </w:p>
              </w:tc>
              <w:tc>
                <w:tcPr>
                  <w:tcW w:w="903" w:type="dxa"/>
                  <w:tcBorders>
                    <w:tl2br w:val="nil"/>
                    <w:tr2bl w:val="nil"/>
                  </w:tcBorders>
                  <w:shd w:val="clear" w:color="auto" w:fill="auto"/>
                  <w:vAlign w:val="center"/>
                </w:tcPr>
                <w:p w14:paraId="1D969E74">
                  <w:pPr>
                    <w:pStyle w:val="37"/>
                    <w:bidi w:val="0"/>
                    <w:rPr>
                      <w:rFonts w:hint="default"/>
                      <w:color w:val="auto"/>
                    </w:rPr>
                  </w:pPr>
                  <w:r>
                    <w:rPr>
                      <w:rFonts w:hint="default"/>
                      <w:color w:val="auto"/>
                      <w:lang w:val="en-US" w:eastAsia="zh-CN"/>
                    </w:rPr>
                    <w:t>1</w:t>
                  </w:r>
                </w:p>
              </w:tc>
              <w:tc>
                <w:tcPr>
                  <w:tcW w:w="849" w:type="dxa"/>
                  <w:tcBorders>
                    <w:tl2br w:val="nil"/>
                    <w:tr2bl w:val="nil"/>
                  </w:tcBorders>
                  <w:shd w:val="clear" w:color="auto" w:fill="auto"/>
                  <w:vAlign w:val="center"/>
                </w:tcPr>
                <w:p w14:paraId="7BBD6509">
                  <w:pPr>
                    <w:pStyle w:val="37"/>
                    <w:bidi w:val="0"/>
                    <w:rPr>
                      <w:rFonts w:hint="default"/>
                      <w:color w:val="auto"/>
                    </w:rPr>
                  </w:pPr>
                  <w:r>
                    <w:rPr>
                      <w:rFonts w:hint="default"/>
                      <w:color w:val="auto"/>
                      <w:lang w:val="en-US" w:eastAsia="zh-CN"/>
                    </w:rPr>
                    <w:t>300000</w:t>
                  </w:r>
                </w:p>
              </w:tc>
              <w:tc>
                <w:tcPr>
                  <w:tcW w:w="969" w:type="dxa"/>
                  <w:tcBorders>
                    <w:tl2br w:val="nil"/>
                    <w:tr2bl w:val="nil"/>
                  </w:tcBorders>
                  <w:shd w:val="clear" w:color="auto" w:fill="auto"/>
                  <w:vAlign w:val="center"/>
                </w:tcPr>
                <w:p w14:paraId="250D2996">
                  <w:pPr>
                    <w:pStyle w:val="37"/>
                    <w:bidi w:val="0"/>
                    <w:rPr>
                      <w:rFonts w:hint="default"/>
                      <w:color w:val="auto"/>
                    </w:rPr>
                  </w:pPr>
                  <w:r>
                    <w:rPr>
                      <w:rFonts w:hint="default"/>
                      <w:color w:val="auto"/>
                      <w:lang w:val="en-US" w:eastAsia="zh-CN"/>
                    </w:rPr>
                    <w:t>30</w:t>
                  </w:r>
                </w:p>
              </w:tc>
              <w:tc>
                <w:tcPr>
                  <w:tcW w:w="1168" w:type="dxa"/>
                  <w:tcBorders>
                    <w:tl2br w:val="nil"/>
                    <w:tr2bl w:val="nil"/>
                  </w:tcBorders>
                  <w:shd w:val="clear" w:color="auto" w:fill="auto"/>
                  <w:vAlign w:val="center"/>
                </w:tcPr>
                <w:p w14:paraId="5CC80284">
                  <w:pPr>
                    <w:pStyle w:val="37"/>
                    <w:bidi w:val="0"/>
                    <w:rPr>
                      <w:rFonts w:hint="eastAsia"/>
                      <w:color w:val="auto"/>
                    </w:rPr>
                  </w:pPr>
                </w:p>
              </w:tc>
            </w:tr>
            <w:tr w14:paraId="4E81D8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560" w:hRule="atLeast"/>
              </w:trPr>
              <w:tc>
                <w:tcPr>
                  <w:tcW w:w="770" w:type="dxa"/>
                  <w:tcBorders>
                    <w:tl2br w:val="nil"/>
                    <w:tr2bl w:val="nil"/>
                  </w:tcBorders>
                  <w:shd w:val="clear" w:color="auto" w:fill="auto"/>
                  <w:vAlign w:val="center"/>
                </w:tcPr>
                <w:p w14:paraId="3907BDC1">
                  <w:pPr>
                    <w:pStyle w:val="37"/>
                    <w:bidi w:val="0"/>
                    <w:rPr>
                      <w:rFonts w:hint="default"/>
                      <w:color w:val="auto"/>
                    </w:rPr>
                  </w:pPr>
                  <w:r>
                    <w:rPr>
                      <w:rFonts w:hint="default"/>
                      <w:color w:val="auto"/>
                      <w:lang w:val="en-US" w:eastAsia="zh-CN"/>
                    </w:rPr>
                    <w:t>5</w:t>
                  </w:r>
                </w:p>
              </w:tc>
              <w:tc>
                <w:tcPr>
                  <w:tcW w:w="1885" w:type="dxa"/>
                  <w:gridSpan w:val="2"/>
                  <w:tcBorders>
                    <w:tl2br w:val="nil"/>
                    <w:tr2bl w:val="nil"/>
                  </w:tcBorders>
                  <w:shd w:val="clear" w:color="auto" w:fill="auto"/>
                  <w:vAlign w:val="center"/>
                </w:tcPr>
                <w:p w14:paraId="02AB3727">
                  <w:pPr>
                    <w:pStyle w:val="37"/>
                    <w:bidi w:val="0"/>
                    <w:rPr>
                      <w:rFonts w:hint="eastAsia"/>
                      <w:color w:val="auto"/>
                    </w:rPr>
                  </w:pPr>
                  <w:r>
                    <w:rPr>
                      <w:rFonts w:hint="eastAsia"/>
                      <w:color w:val="auto"/>
                      <w:lang w:val="en-US" w:eastAsia="zh-CN"/>
                    </w:rPr>
                    <w:t>陆生动物保护费</w:t>
                  </w:r>
                </w:p>
              </w:tc>
              <w:tc>
                <w:tcPr>
                  <w:tcW w:w="823" w:type="dxa"/>
                  <w:tcBorders>
                    <w:tl2br w:val="nil"/>
                    <w:tr2bl w:val="nil"/>
                  </w:tcBorders>
                  <w:shd w:val="clear" w:color="auto" w:fill="auto"/>
                  <w:vAlign w:val="center"/>
                </w:tcPr>
                <w:p w14:paraId="76AAB1FE">
                  <w:pPr>
                    <w:pStyle w:val="37"/>
                    <w:bidi w:val="0"/>
                    <w:rPr>
                      <w:rFonts w:hint="eastAsia"/>
                      <w:color w:val="auto"/>
                    </w:rPr>
                  </w:pPr>
                  <w:r>
                    <w:rPr>
                      <w:rFonts w:hint="eastAsia"/>
                      <w:color w:val="auto"/>
                      <w:lang w:val="en-US" w:eastAsia="zh-CN"/>
                    </w:rPr>
                    <w:t>项</w:t>
                  </w:r>
                </w:p>
              </w:tc>
              <w:tc>
                <w:tcPr>
                  <w:tcW w:w="903" w:type="dxa"/>
                  <w:tcBorders>
                    <w:tl2br w:val="nil"/>
                    <w:tr2bl w:val="nil"/>
                  </w:tcBorders>
                  <w:shd w:val="clear" w:color="auto" w:fill="auto"/>
                  <w:vAlign w:val="center"/>
                </w:tcPr>
                <w:p w14:paraId="3D854970">
                  <w:pPr>
                    <w:pStyle w:val="37"/>
                    <w:bidi w:val="0"/>
                    <w:rPr>
                      <w:rFonts w:hint="default"/>
                      <w:color w:val="auto"/>
                    </w:rPr>
                  </w:pPr>
                  <w:r>
                    <w:rPr>
                      <w:rFonts w:hint="default"/>
                      <w:color w:val="auto"/>
                      <w:lang w:val="en-US" w:eastAsia="zh-CN"/>
                    </w:rPr>
                    <w:t>1</w:t>
                  </w:r>
                </w:p>
              </w:tc>
              <w:tc>
                <w:tcPr>
                  <w:tcW w:w="849" w:type="dxa"/>
                  <w:tcBorders>
                    <w:tl2br w:val="nil"/>
                    <w:tr2bl w:val="nil"/>
                  </w:tcBorders>
                  <w:shd w:val="clear" w:color="auto" w:fill="auto"/>
                  <w:vAlign w:val="center"/>
                </w:tcPr>
                <w:p w14:paraId="6F720A93">
                  <w:pPr>
                    <w:pStyle w:val="37"/>
                    <w:bidi w:val="0"/>
                    <w:rPr>
                      <w:rFonts w:hint="default"/>
                      <w:color w:val="auto"/>
                    </w:rPr>
                  </w:pPr>
                  <w:r>
                    <w:rPr>
                      <w:rFonts w:hint="default"/>
                      <w:color w:val="auto"/>
                      <w:lang w:val="en-US" w:eastAsia="zh-CN"/>
                    </w:rPr>
                    <w:t>100000</w:t>
                  </w:r>
                </w:p>
              </w:tc>
              <w:tc>
                <w:tcPr>
                  <w:tcW w:w="969" w:type="dxa"/>
                  <w:tcBorders>
                    <w:tl2br w:val="nil"/>
                    <w:tr2bl w:val="nil"/>
                  </w:tcBorders>
                  <w:shd w:val="clear" w:color="auto" w:fill="auto"/>
                  <w:vAlign w:val="center"/>
                </w:tcPr>
                <w:p w14:paraId="05009FA3">
                  <w:pPr>
                    <w:pStyle w:val="37"/>
                    <w:bidi w:val="0"/>
                    <w:rPr>
                      <w:rFonts w:hint="default"/>
                      <w:color w:val="auto"/>
                    </w:rPr>
                  </w:pPr>
                  <w:r>
                    <w:rPr>
                      <w:rFonts w:hint="default"/>
                      <w:color w:val="auto"/>
                      <w:lang w:val="en-US" w:eastAsia="zh-CN"/>
                    </w:rPr>
                    <w:t>10</w:t>
                  </w:r>
                </w:p>
              </w:tc>
              <w:tc>
                <w:tcPr>
                  <w:tcW w:w="1168" w:type="dxa"/>
                  <w:tcBorders>
                    <w:tl2br w:val="nil"/>
                    <w:tr2bl w:val="nil"/>
                  </w:tcBorders>
                  <w:shd w:val="clear" w:color="auto" w:fill="auto"/>
                  <w:vAlign w:val="center"/>
                </w:tcPr>
                <w:p w14:paraId="72A6571B">
                  <w:pPr>
                    <w:pStyle w:val="37"/>
                    <w:bidi w:val="0"/>
                    <w:rPr>
                      <w:rFonts w:hint="eastAsia"/>
                      <w:color w:val="auto"/>
                    </w:rPr>
                  </w:pPr>
                  <w:r>
                    <w:rPr>
                      <w:rFonts w:hint="eastAsia"/>
                      <w:color w:val="auto"/>
                      <w:lang w:val="en-US" w:eastAsia="zh-CN"/>
                    </w:rPr>
                    <w:t>施工期和试运行期费用，正式运行后计入发电成本</w:t>
                  </w:r>
                </w:p>
              </w:tc>
            </w:tr>
            <w:tr w14:paraId="6A0C2F8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70" w:type="dxa"/>
                  <w:tcBorders>
                    <w:tl2br w:val="nil"/>
                    <w:tr2bl w:val="nil"/>
                  </w:tcBorders>
                  <w:shd w:val="clear" w:color="auto" w:fill="auto"/>
                  <w:vAlign w:val="center"/>
                </w:tcPr>
                <w:p w14:paraId="04491272">
                  <w:pPr>
                    <w:pStyle w:val="37"/>
                    <w:bidi w:val="0"/>
                    <w:rPr>
                      <w:rFonts w:hint="eastAsia"/>
                      <w:color w:val="auto"/>
                    </w:rPr>
                  </w:pPr>
                  <w:r>
                    <w:rPr>
                      <w:rFonts w:hint="eastAsia"/>
                      <w:color w:val="auto"/>
                      <w:lang w:val="en-US" w:eastAsia="zh-CN"/>
                    </w:rPr>
                    <w:t>二</w:t>
                  </w:r>
                </w:p>
              </w:tc>
              <w:tc>
                <w:tcPr>
                  <w:tcW w:w="1885" w:type="dxa"/>
                  <w:gridSpan w:val="2"/>
                  <w:tcBorders>
                    <w:tl2br w:val="nil"/>
                    <w:tr2bl w:val="nil"/>
                  </w:tcBorders>
                  <w:shd w:val="clear" w:color="auto" w:fill="auto"/>
                  <w:vAlign w:val="center"/>
                </w:tcPr>
                <w:p w14:paraId="5CC8B81C">
                  <w:pPr>
                    <w:pStyle w:val="37"/>
                    <w:bidi w:val="0"/>
                    <w:rPr>
                      <w:rFonts w:hint="eastAsia"/>
                      <w:color w:val="auto"/>
                    </w:rPr>
                  </w:pPr>
                  <w:r>
                    <w:rPr>
                      <w:rFonts w:hint="eastAsia"/>
                      <w:color w:val="auto"/>
                      <w:lang w:val="en-US" w:eastAsia="zh-CN"/>
                    </w:rPr>
                    <w:t>水环境保护费</w:t>
                  </w:r>
                </w:p>
              </w:tc>
              <w:tc>
                <w:tcPr>
                  <w:tcW w:w="823" w:type="dxa"/>
                  <w:tcBorders>
                    <w:tl2br w:val="nil"/>
                    <w:tr2bl w:val="nil"/>
                  </w:tcBorders>
                  <w:shd w:val="clear" w:color="auto" w:fill="auto"/>
                  <w:vAlign w:val="center"/>
                </w:tcPr>
                <w:p w14:paraId="256CCA27">
                  <w:pPr>
                    <w:pStyle w:val="37"/>
                    <w:bidi w:val="0"/>
                    <w:rPr>
                      <w:rFonts w:hint="eastAsia"/>
                      <w:color w:val="auto"/>
                    </w:rPr>
                  </w:pPr>
                </w:p>
              </w:tc>
              <w:tc>
                <w:tcPr>
                  <w:tcW w:w="903" w:type="dxa"/>
                  <w:tcBorders>
                    <w:tl2br w:val="nil"/>
                    <w:tr2bl w:val="nil"/>
                  </w:tcBorders>
                  <w:shd w:val="clear" w:color="auto" w:fill="auto"/>
                  <w:vAlign w:val="center"/>
                </w:tcPr>
                <w:p w14:paraId="5D8B4434">
                  <w:pPr>
                    <w:pStyle w:val="37"/>
                    <w:bidi w:val="0"/>
                    <w:rPr>
                      <w:rFonts w:hint="eastAsia"/>
                      <w:color w:val="auto"/>
                    </w:rPr>
                  </w:pPr>
                </w:p>
              </w:tc>
              <w:tc>
                <w:tcPr>
                  <w:tcW w:w="849" w:type="dxa"/>
                  <w:tcBorders>
                    <w:tl2br w:val="nil"/>
                    <w:tr2bl w:val="nil"/>
                  </w:tcBorders>
                  <w:shd w:val="clear" w:color="auto" w:fill="auto"/>
                  <w:vAlign w:val="center"/>
                </w:tcPr>
                <w:p w14:paraId="235D42B0">
                  <w:pPr>
                    <w:pStyle w:val="37"/>
                    <w:bidi w:val="0"/>
                    <w:rPr>
                      <w:rFonts w:hint="eastAsia"/>
                      <w:color w:val="auto"/>
                    </w:rPr>
                  </w:pPr>
                </w:p>
              </w:tc>
              <w:tc>
                <w:tcPr>
                  <w:tcW w:w="969" w:type="dxa"/>
                  <w:tcBorders>
                    <w:tl2br w:val="nil"/>
                    <w:tr2bl w:val="nil"/>
                  </w:tcBorders>
                  <w:shd w:val="clear" w:color="auto" w:fill="auto"/>
                  <w:vAlign w:val="center"/>
                </w:tcPr>
                <w:p w14:paraId="6C608188">
                  <w:pPr>
                    <w:pStyle w:val="37"/>
                    <w:bidi w:val="0"/>
                    <w:rPr>
                      <w:rFonts w:hint="default"/>
                      <w:color w:val="auto"/>
                      <w:lang w:val="en-US"/>
                    </w:rPr>
                  </w:pPr>
                  <w:r>
                    <w:rPr>
                      <w:rFonts w:hint="eastAsia"/>
                      <w:color w:val="auto"/>
                      <w:lang w:val="en-US" w:eastAsia="zh-CN"/>
                    </w:rPr>
                    <w:t>7.02</w:t>
                  </w:r>
                </w:p>
              </w:tc>
              <w:tc>
                <w:tcPr>
                  <w:tcW w:w="1168" w:type="dxa"/>
                  <w:tcBorders>
                    <w:tl2br w:val="nil"/>
                    <w:tr2bl w:val="nil"/>
                  </w:tcBorders>
                  <w:shd w:val="clear" w:color="auto" w:fill="auto"/>
                  <w:vAlign w:val="center"/>
                </w:tcPr>
                <w:p w14:paraId="5C2B3D2A">
                  <w:pPr>
                    <w:pStyle w:val="37"/>
                    <w:bidi w:val="0"/>
                    <w:rPr>
                      <w:rFonts w:hint="eastAsia"/>
                      <w:color w:val="auto"/>
                    </w:rPr>
                  </w:pPr>
                </w:p>
              </w:tc>
            </w:tr>
            <w:tr w14:paraId="6E9393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770" w:type="dxa"/>
                  <w:tcBorders>
                    <w:tl2br w:val="nil"/>
                    <w:tr2bl w:val="nil"/>
                  </w:tcBorders>
                  <w:shd w:val="clear" w:color="auto" w:fill="auto"/>
                  <w:vAlign w:val="center"/>
                </w:tcPr>
                <w:p w14:paraId="5D5A9F4D">
                  <w:pPr>
                    <w:pStyle w:val="37"/>
                    <w:bidi w:val="0"/>
                    <w:rPr>
                      <w:rFonts w:hint="default"/>
                      <w:color w:val="auto"/>
                    </w:rPr>
                  </w:pPr>
                  <w:r>
                    <w:rPr>
                      <w:rFonts w:hint="default"/>
                      <w:color w:val="auto"/>
                      <w:lang w:val="en-US" w:eastAsia="zh-CN"/>
                    </w:rPr>
                    <w:t>1</w:t>
                  </w:r>
                </w:p>
              </w:tc>
              <w:tc>
                <w:tcPr>
                  <w:tcW w:w="810" w:type="dxa"/>
                  <w:vMerge w:val="restart"/>
                  <w:tcBorders>
                    <w:tl2br w:val="nil"/>
                    <w:tr2bl w:val="nil"/>
                  </w:tcBorders>
                  <w:shd w:val="clear" w:color="auto" w:fill="auto"/>
                  <w:vAlign w:val="center"/>
                </w:tcPr>
                <w:p w14:paraId="0C0768D8">
                  <w:pPr>
                    <w:pStyle w:val="37"/>
                    <w:bidi w:val="0"/>
                    <w:rPr>
                      <w:rFonts w:hint="eastAsia"/>
                      <w:color w:val="auto"/>
                    </w:rPr>
                  </w:pPr>
                  <w:r>
                    <w:rPr>
                      <w:rFonts w:hint="eastAsia"/>
                      <w:color w:val="auto"/>
                      <w:lang w:val="en-US" w:eastAsia="zh-CN"/>
                    </w:rPr>
                    <w:t>施工期</w:t>
                  </w:r>
                </w:p>
              </w:tc>
              <w:tc>
                <w:tcPr>
                  <w:tcW w:w="1075" w:type="dxa"/>
                  <w:tcBorders>
                    <w:tl2br w:val="nil"/>
                    <w:tr2bl w:val="nil"/>
                  </w:tcBorders>
                  <w:shd w:val="clear" w:color="auto" w:fill="auto"/>
                  <w:vAlign w:val="center"/>
                </w:tcPr>
                <w:p w14:paraId="17FF7856">
                  <w:pPr>
                    <w:pStyle w:val="37"/>
                    <w:bidi w:val="0"/>
                    <w:rPr>
                      <w:rFonts w:hint="eastAsia"/>
                      <w:color w:val="auto"/>
                    </w:rPr>
                  </w:pPr>
                  <w:r>
                    <w:rPr>
                      <w:rFonts w:hint="eastAsia"/>
                      <w:color w:val="auto"/>
                      <w:lang w:val="en-US" w:eastAsia="zh-CN"/>
                    </w:rPr>
                    <w:t>施工废水沉淀池及雨水收集设施</w:t>
                  </w:r>
                </w:p>
              </w:tc>
              <w:tc>
                <w:tcPr>
                  <w:tcW w:w="823" w:type="dxa"/>
                  <w:tcBorders>
                    <w:tl2br w:val="nil"/>
                    <w:tr2bl w:val="nil"/>
                  </w:tcBorders>
                  <w:shd w:val="clear" w:color="auto" w:fill="auto"/>
                  <w:vAlign w:val="center"/>
                </w:tcPr>
                <w:p w14:paraId="5B63DADE">
                  <w:pPr>
                    <w:pStyle w:val="37"/>
                    <w:bidi w:val="0"/>
                    <w:rPr>
                      <w:rFonts w:hint="eastAsia" w:eastAsia="宋体"/>
                      <w:color w:val="auto"/>
                      <w:lang w:val="en-US" w:eastAsia="zh-CN"/>
                    </w:rPr>
                  </w:pPr>
                  <w:r>
                    <w:rPr>
                      <w:rFonts w:hint="eastAsia"/>
                      <w:color w:val="auto"/>
                      <w:lang w:val="en-US" w:eastAsia="zh-CN"/>
                    </w:rPr>
                    <w:t>项</w:t>
                  </w:r>
                </w:p>
              </w:tc>
              <w:tc>
                <w:tcPr>
                  <w:tcW w:w="903" w:type="dxa"/>
                  <w:tcBorders>
                    <w:tl2br w:val="nil"/>
                    <w:tr2bl w:val="nil"/>
                  </w:tcBorders>
                  <w:shd w:val="clear" w:color="auto" w:fill="auto"/>
                  <w:vAlign w:val="center"/>
                </w:tcPr>
                <w:p w14:paraId="623C3453">
                  <w:pPr>
                    <w:pStyle w:val="37"/>
                    <w:bidi w:val="0"/>
                    <w:rPr>
                      <w:rFonts w:hint="default"/>
                      <w:color w:val="auto"/>
                    </w:rPr>
                  </w:pPr>
                  <w:r>
                    <w:rPr>
                      <w:rFonts w:hint="eastAsia"/>
                      <w:color w:val="auto"/>
                      <w:lang w:val="en-US" w:eastAsia="zh-CN"/>
                    </w:rPr>
                    <w:t>1</w:t>
                  </w:r>
                </w:p>
              </w:tc>
              <w:tc>
                <w:tcPr>
                  <w:tcW w:w="849" w:type="dxa"/>
                  <w:tcBorders>
                    <w:tl2br w:val="nil"/>
                    <w:tr2bl w:val="nil"/>
                  </w:tcBorders>
                  <w:shd w:val="clear" w:color="auto" w:fill="auto"/>
                  <w:vAlign w:val="center"/>
                </w:tcPr>
                <w:p w14:paraId="6ACD4A96">
                  <w:pPr>
                    <w:pStyle w:val="37"/>
                    <w:bidi w:val="0"/>
                    <w:rPr>
                      <w:rFonts w:hint="default"/>
                      <w:color w:val="auto"/>
                    </w:rPr>
                  </w:pPr>
                  <w:r>
                    <w:rPr>
                      <w:rFonts w:hint="eastAsia"/>
                      <w:color w:val="auto"/>
                      <w:lang w:val="en-US" w:eastAsia="zh-CN"/>
                    </w:rPr>
                    <w:t>2</w:t>
                  </w:r>
                  <w:r>
                    <w:rPr>
                      <w:rFonts w:hint="default"/>
                      <w:color w:val="auto"/>
                      <w:lang w:val="en-US" w:eastAsia="zh-CN"/>
                    </w:rPr>
                    <w:t>0000</w:t>
                  </w:r>
                </w:p>
              </w:tc>
              <w:tc>
                <w:tcPr>
                  <w:tcW w:w="969" w:type="dxa"/>
                  <w:tcBorders>
                    <w:tl2br w:val="nil"/>
                    <w:tr2bl w:val="nil"/>
                  </w:tcBorders>
                  <w:shd w:val="clear" w:color="auto" w:fill="auto"/>
                  <w:vAlign w:val="center"/>
                </w:tcPr>
                <w:p w14:paraId="7AC23439">
                  <w:pPr>
                    <w:pStyle w:val="37"/>
                    <w:bidi w:val="0"/>
                    <w:rPr>
                      <w:rFonts w:hint="default"/>
                      <w:color w:val="auto"/>
                    </w:rPr>
                  </w:pPr>
                  <w:r>
                    <w:rPr>
                      <w:rFonts w:hint="eastAsia"/>
                      <w:color w:val="auto"/>
                      <w:lang w:val="en-US" w:eastAsia="zh-CN"/>
                    </w:rPr>
                    <w:t>2</w:t>
                  </w:r>
                </w:p>
              </w:tc>
              <w:tc>
                <w:tcPr>
                  <w:tcW w:w="1168" w:type="dxa"/>
                  <w:tcBorders>
                    <w:tl2br w:val="nil"/>
                    <w:tr2bl w:val="nil"/>
                  </w:tcBorders>
                  <w:shd w:val="clear" w:color="auto" w:fill="auto"/>
                  <w:vAlign w:val="center"/>
                </w:tcPr>
                <w:p w14:paraId="633ABA77">
                  <w:pPr>
                    <w:pStyle w:val="37"/>
                    <w:bidi w:val="0"/>
                    <w:rPr>
                      <w:rFonts w:hint="default"/>
                      <w:color w:val="auto"/>
                    </w:rPr>
                  </w:pPr>
                  <w:r>
                    <w:rPr>
                      <w:rFonts w:hint="eastAsia"/>
                      <w:color w:val="auto"/>
                      <w:lang w:val="en-US" w:eastAsia="zh-CN"/>
                    </w:rPr>
                    <w:t>3</w:t>
                  </w:r>
                  <w:r>
                    <w:rPr>
                      <w:rFonts w:hint="default"/>
                      <w:color w:val="auto"/>
                      <w:lang w:val="en-US" w:eastAsia="zh-CN"/>
                    </w:rPr>
                    <w:t>m³</w:t>
                  </w:r>
                </w:p>
              </w:tc>
            </w:tr>
            <w:tr w14:paraId="013FA1D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770" w:type="dxa"/>
                  <w:tcBorders>
                    <w:tl2br w:val="nil"/>
                    <w:tr2bl w:val="nil"/>
                  </w:tcBorders>
                  <w:shd w:val="clear" w:color="auto" w:fill="auto"/>
                  <w:vAlign w:val="center"/>
                </w:tcPr>
                <w:p w14:paraId="415AE5F8">
                  <w:pPr>
                    <w:pStyle w:val="37"/>
                    <w:bidi w:val="0"/>
                    <w:rPr>
                      <w:rFonts w:hint="default"/>
                      <w:color w:val="auto"/>
                    </w:rPr>
                  </w:pPr>
                  <w:r>
                    <w:rPr>
                      <w:rFonts w:hint="default"/>
                      <w:color w:val="auto"/>
                      <w:lang w:val="en-US" w:eastAsia="zh-CN"/>
                    </w:rPr>
                    <w:t>2</w:t>
                  </w:r>
                </w:p>
              </w:tc>
              <w:tc>
                <w:tcPr>
                  <w:tcW w:w="810" w:type="dxa"/>
                  <w:vMerge w:val="continue"/>
                  <w:tcBorders>
                    <w:tl2br w:val="nil"/>
                    <w:tr2bl w:val="nil"/>
                  </w:tcBorders>
                  <w:shd w:val="clear" w:color="auto" w:fill="auto"/>
                  <w:vAlign w:val="center"/>
                </w:tcPr>
                <w:p w14:paraId="2FBC8584">
                  <w:pPr>
                    <w:pStyle w:val="37"/>
                    <w:bidi w:val="0"/>
                    <w:rPr>
                      <w:rFonts w:hint="eastAsia"/>
                      <w:color w:val="auto"/>
                    </w:rPr>
                  </w:pPr>
                </w:p>
              </w:tc>
              <w:tc>
                <w:tcPr>
                  <w:tcW w:w="1075" w:type="dxa"/>
                  <w:tcBorders>
                    <w:tl2br w:val="nil"/>
                    <w:tr2bl w:val="nil"/>
                  </w:tcBorders>
                  <w:shd w:val="clear" w:color="auto" w:fill="auto"/>
                  <w:vAlign w:val="center"/>
                </w:tcPr>
                <w:p w14:paraId="358286B7">
                  <w:pPr>
                    <w:pStyle w:val="37"/>
                    <w:bidi w:val="0"/>
                    <w:rPr>
                      <w:rFonts w:hint="eastAsia"/>
                      <w:color w:val="auto"/>
                    </w:rPr>
                  </w:pPr>
                  <w:r>
                    <w:rPr>
                      <w:rFonts w:hint="eastAsia"/>
                      <w:color w:val="auto"/>
                      <w:lang w:val="en-US" w:eastAsia="zh-CN"/>
                    </w:rPr>
                    <w:t>旱厕建设及拆除</w:t>
                  </w:r>
                </w:p>
              </w:tc>
              <w:tc>
                <w:tcPr>
                  <w:tcW w:w="823" w:type="dxa"/>
                  <w:tcBorders>
                    <w:tl2br w:val="nil"/>
                    <w:tr2bl w:val="nil"/>
                  </w:tcBorders>
                  <w:shd w:val="clear" w:color="auto" w:fill="auto"/>
                  <w:vAlign w:val="center"/>
                </w:tcPr>
                <w:p w14:paraId="263B9865">
                  <w:pPr>
                    <w:pStyle w:val="37"/>
                    <w:bidi w:val="0"/>
                    <w:rPr>
                      <w:rFonts w:hint="eastAsia"/>
                      <w:color w:val="auto"/>
                    </w:rPr>
                  </w:pPr>
                  <w:r>
                    <w:rPr>
                      <w:rFonts w:hint="eastAsia"/>
                      <w:color w:val="auto"/>
                      <w:lang w:val="en-US" w:eastAsia="zh-CN"/>
                    </w:rPr>
                    <w:t>座</w:t>
                  </w:r>
                </w:p>
              </w:tc>
              <w:tc>
                <w:tcPr>
                  <w:tcW w:w="903" w:type="dxa"/>
                  <w:tcBorders>
                    <w:tl2br w:val="nil"/>
                    <w:tr2bl w:val="nil"/>
                  </w:tcBorders>
                  <w:shd w:val="clear" w:color="auto" w:fill="auto"/>
                  <w:vAlign w:val="center"/>
                </w:tcPr>
                <w:p w14:paraId="2F081948">
                  <w:pPr>
                    <w:pStyle w:val="37"/>
                    <w:bidi w:val="0"/>
                    <w:rPr>
                      <w:rFonts w:hint="default"/>
                      <w:color w:val="auto"/>
                    </w:rPr>
                  </w:pPr>
                  <w:r>
                    <w:rPr>
                      <w:rFonts w:hint="default"/>
                      <w:color w:val="auto"/>
                      <w:lang w:val="en-US" w:eastAsia="zh-CN"/>
                    </w:rPr>
                    <w:t>1</w:t>
                  </w:r>
                </w:p>
              </w:tc>
              <w:tc>
                <w:tcPr>
                  <w:tcW w:w="849" w:type="dxa"/>
                  <w:tcBorders>
                    <w:tl2br w:val="nil"/>
                    <w:tr2bl w:val="nil"/>
                  </w:tcBorders>
                  <w:shd w:val="clear" w:color="auto" w:fill="auto"/>
                  <w:vAlign w:val="center"/>
                </w:tcPr>
                <w:p w14:paraId="420BD50A">
                  <w:pPr>
                    <w:pStyle w:val="37"/>
                    <w:bidi w:val="0"/>
                    <w:rPr>
                      <w:rFonts w:hint="default"/>
                      <w:color w:val="auto"/>
                    </w:rPr>
                  </w:pPr>
                  <w:r>
                    <w:rPr>
                      <w:rFonts w:hint="default"/>
                      <w:color w:val="auto"/>
                      <w:lang w:val="en-US" w:eastAsia="zh-CN"/>
                    </w:rPr>
                    <w:t>20000</w:t>
                  </w:r>
                </w:p>
              </w:tc>
              <w:tc>
                <w:tcPr>
                  <w:tcW w:w="969" w:type="dxa"/>
                  <w:tcBorders>
                    <w:tl2br w:val="nil"/>
                    <w:tr2bl w:val="nil"/>
                  </w:tcBorders>
                  <w:shd w:val="clear" w:color="auto" w:fill="auto"/>
                  <w:vAlign w:val="center"/>
                </w:tcPr>
                <w:p w14:paraId="611C46D3">
                  <w:pPr>
                    <w:pStyle w:val="37"/>
                    <w:bidi w:val="0"/>
                    <w:rPr>
                      <w:rFonts w:hint="default"/>
                      <w:color w:val="auto"/>
                    </w:rPr>
                  </w:pPr>
                  <w:r>
                    <w:rPr>
                      <w:rFonts w:hint="default"/>
                      <w:color w:val="auto"/>
                      <w:lang w:val="en-US" w:eastAsia="zh-CN"/>
                    </w:rPr>
                    <w:t>2</w:t>
                  </w:r>
                </w:p>
              </w:tc>
              <w:tc>
                <w:tcPr>
                  <w:tcW w:w="1168" w:type="dxa"/>
                  <w:tcBorders>
                    <w:tl2br w:val="nil"/>
                    <w:tr2bl w:val="nil"/>
                  </w:tcBorders>
                  <w:shd w:val="clear" w:color="auto" w:fill="auto"/>
                  <w:vAlign w:val="center"/>
                </w:tcPr>
                <w:p w14:paraId="157325D9">
                  <w:pPr>
                    <w:pStyle w:val="37"/>
                    <w:bidi w:val="0"/>
                    <w:rPr>
                      <w:rFonts w:hint="eastAsia"/>
                      <w:color w:val="auto"/>
                    </w:rPr>
                  </w:pPr>
                </w:p>
              </w:tc>
            </w:tr>
            <w:tr w14:paraId="4B81696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770" w:type="dxa"/>
                  <w:tcBorders>
                    <w:tl2br w:val="nil"/>
                    <w:tr2bl w:val="nil"/>
                  </w:tcBorders>
                  <w:shd w:val="clear" w:color="auto" w:fill="auto"/>
                  <w:vAlign w:val="center"/>
                </w:tcPr>
                <w:p w14:paraId="72636345">
                  <w:pPr>
                    <w:pStyle w:val="37"/>
                    <w:bidi w:val="0"/>
                    <w:rPr>
                      <w:rFonts w:hint="eastAsia"/>
                      <w:color w:val="auto"/>
                    </w:rPr>
                  </w:pPr>
                  <w:r>
                    <w:rPr>
                      <w:rFonts w:hint="eastAsia"/>
                      <w:color w:val="auto"/>
                      <w:lang w:val="en-US" w:eastAsia="zh-CN"/>
                    </w:rPr>
                    <w:t>3</w:t>
                  </w:r>
                </w:p>
              </w:tc>
              <w:tc>
                <w:tcPr>
                  <w:tcW w:w="810" w:type="dxa"/>
                  <w:vMerge w:val="continue"/>
                  <w:tcBorders>
                    <w:tl2br w:val="nil"/>
                    <w:tr2bl w:val="nil"/>
                  </w:tcBorders>
                  <w:shd w:val="clear" w:color="auto" w:fill="auto"/>
                  <w:vAlign w:val="center"/>
                </w:tcPr>
                <w:p w14:paraId="50CA9BDD">
                  <w:pPr>
                    <w:pStyle w:val="37"/>
                    <w:bidi w:val="0"/>
                    <w:rPr>
                      <w:rFonts w:hint="eastAsia"/>
                      <w:color w:val="auto"/>
                    </w:rPr>
                  </w:pPr>
                </w:p>
              </w:tc>
              <w:tc>
                <w:tcPr>
                  <w:tcW w:w="1075" w:type="dxa"/>
                  <w:tcBorders>
                    <w:tl2br w:val="nil"/>
                    <w:tr2bl w:val="nil"/>
                  </w:tcBorders>
                  <w:shd w:val="clear" w:color="auto" w:fill="auto"/>
                  <w:vAlign w:val="center"/>
                </w:tcPr>
                <w:p w14:paraId="00AF532A">
                  <w:pPr>
                    <w:pStyle w:val="37"/>
                    <w:bidi w:val="0"/>
                    <w:rPr>
                      <w:rFonts w:hint="eastAsia"/>
                      <w:color w:val="auto"/>
                    </w:rPr>
                  </w:pPr>
                  <w:r>
                    <w:rPr>
                      <w:rFonts w:hint="eastAsia"/>
                      <w:color w:val="auto"/>
                      <w:lang w:val="en-US" w:eastAsia="zh-CN"/>
                    </w:rPr>
                    <w:t>玻璃钢化粪池</w:t>
                  </w:r>
                </w:p>
              </w:tc>
              <w:tc>
                <w:tcPr>
                  <w:tcW w:w="823" w:type="dxa"/>
                  <w:tcBorders>
                    <w:tl2br w:val="nil"/>
                    <w:tr2bl w:val="nil"/>
                  </w:tcBorders>
                  <w:shd w:val="clear" w:color="auto" w:fill="auto"/>
                  <w:vAlign w:val="center"/>
                </w:tcPr>
                <w:p w14:paraId="344B41B8">
                  <w:pPr>
                    <w:pStyle w:val="37"/>
                    <w:bidi w:val="0"/>
                    <w:rPr>
                      <w:rFonts w:hint="eastAsia"/>
                      <w:color w:val="auto"/>
                    </w:rPr>
                  </w:pPr>
                  <w:r>
                    <w:rPr>
                      <w:rFonts w:hint="eastAsia"/>
                      <w:color w:val="auto"/>
                      <w:lang w:val="en-US" w:eastAsia="zh-CN"/>
                    </w:rPr>
                    <w:t>座</w:t>
                  </w:r>
                </w:p>
              </w:tc>
              <w:tc>
                <w:tcPr>
                  <w:tcW w:w="903" w:type="dxa"/>
                  <w:tcBorders>
                    <w:tl2br w:val="nil"/>
                    <w:tr2bl w:val="nil"/>
                  </w:tcBorders>
                  <w:shd w:val="clear" w:color="auto" w:fill="auto"/>
                  <w:vAlign w:val="center"/>
                </w:tcPr>
                <w:p w14:paraId="6E2A897B">
                  <w:pPr>
                    <w:pStyle w:val="37"/>
                    <w:bidi w:val="0"/>
                    <w:rPr>
                      <w:rFonts w:hint="default"/>
                      <w:color w:val="auto"/>
                    </w:rPr>
                  </w:pPr>
                  <w:r>
                    <w:rPr>
                      <w:rFonts w:hint="default"/>
                      <w:color w:val="auto"/>
                      <w:lang w:val="en-US" w:eastAsia="zh-CN"/>
                    </w:rPr>
                    <w:t>1</w:t>
                  </w:r>
                </w:p>
              </w:tc>
              <w:tc>
                <w:tcPr>
                  <w:tcW w:w="849" w:type="dxa"/>
                  <w:tcBorders>
                    <w:tl2br w:val="nil"/>
                    <w:tr2bl w:val="nil"/>
                  </w:tcBorders>
                  <w:shd w:val="clear" w:color="auto" w:fill="auto"/>
                  <w:vAlign w:val="center"/>
                </w:tcPr>
                <w:p w14:paraId="1EAD984B">
                  <w:pPr>
                    <w:pStyle w:val="37"/>
                    <w:bidi w:val="0"/>
                    <w:rPr>
                      <w:rFonts w:hint="default"/>
                      <w:color w:val="auto"/>
                    </w:rPr>
                  </w:pPr>
                  <w:r>
                    <w:rPr>
                      <w:rFonts w:hint="default"/>
                      <w:color w:val="auto"/>
                      <w:lang w:val="en-US" w:eastAsia="zh-CN"/>
                    </w:rPr>
                    <w:t>30000</w:t>
                  </w:r>
                </w:p>
              </w:tc>
              <w:tc>
                <w:tcPr>
                  <w:tcW w:w="969" w:type="dxa"/>
                  <w:tcBorders>
                    <w:tl2br w:val="nil"/>
                    <w:tr2bl w:val="nil"/>
                  </w:tcBorders>
                  <w:shd w:val="clear" w:color="auto" w:fill="auto"/>
                  <w:vAlign w:val="center"/>
                </w:tcPr>
                <w:p w14:paraId="135561DA">
                  <w:pPr>
                    <w:pStyle w:val="37"/>
                    <w:bidi w:val="0"/>
                    <w:rPr>
                      <w:rFonts w:hint="default"/>
                      <w:color w:val="auto"/>
                    </w:rPr>
                  </w:pPr>
                  <w:r>
                    <w:rPr>
                      <w:rFonts w:hint="default"/>
                      <w:color w:val="auto"/>
                      <w:lang w:val="en-US" w:eastAsia="zh-CN"/>
                    </w:rPr>
                    <w:t>3</w:t>
                  </w:r>
                </w:p>
              </w:tc>
              <w:tc>
                <w:tcPr>
                  <w:tcW w:w="1168" w:type="dxa"/>
                  <w:tcBorders>
                    <w:tl2br w:val="nil"/>
                    <w:tr2bl w:val="nil"/>
                  </w:tcBorders>
                  <w:shd w:val="clear" w:color="auto" w:fill="auto"/>
                  <w:noWrap/>
                  <w:vAlign w:val="center"/>
                </w:tcPr>
                <w:p w14:paraId="424AD28C">
                  <w:pPr>
                    <w:pStyle w:val="37"/>
                    <w:bidi w:val="0"/>
                    <w:rPr>
                      <w:rFonts w:hint="eastAsia"/>
                      <w:color w:val="auto"/>
                    </w:rPr>
                  </w:pPr>
                  <w:r>
                    <w:rPr>
                      <w:rFonts w:hint="eastAsia"/>
                      <w:color w:val="auto"/>
                      <w:lang w:val="en-US" w:eastAsia="zh-CN"/>
                    </w:rPr>
                    <w:t>10</w:t>
                  </w:r>
                  <w:r>
                    <w:rPr>
                      <w:rFonts w:hint="default"/>
                      <w:color w:val="auto"/>
                      <w:lang w:val="en-US" w:eastAsia="zh-CN"/>
                    </w:rPr>
                    <w:t>m³</w:t>
                  </w:r>
                </w:p>
              </w:tc>
            </w:tr>
            <w:tr w14:paraId="51820B0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770" w:type="dxa"/>
                  <w:tcBorders>
                    <w:tl2br w:val="nil"/>
                    <w:tr2bl w:val="nil"/>
                  </w:tcBorders>
                  <w:shd w:val="clear" w:color="auto" w:fill="auto"/>
                  <w:vAlign w:val="center"/>
                </w:tcPr>
                <w:p w14:paraId="4DF810A8">
                  <w:pPr>
                    <w:pStyle w:val="37"/>
                    <w:bidi w:val="0"/>
                    <w:rPr>
                      <w:rFonts w:hint="default"/>
                      <w:color w:val="auto"/>
                      <w:lang w:val="en-US" w:eastAsia="zh-CN"/>
                    </w:rPr>
                  </w:pPr>
                  <w:r>
                    <w:rPr>
                      <w:rFonts w:hint="eastAsia"/>
                      <w:color w:val="auto"/>
                      <w:lang w:val="en-US" w:eastAsia="zh-CN"/>
                    </w:rPr>
                    <w:t>4</w:t>
                  </w:r>
                </w:p>
              </w:tc>
              <w:tc>
                <w:tcPr>
                  <w:tcW w:w="810" w:type="dxa"/>
                  <w:tcBorders>
                    <w:tl2br w:val="nil"/>
                    <w:tr2bl w:val="nil"/>
                  </w:tcBorders>
                  <w:shd w:val="clear" w:color="auto" w:fill="auto"/>
                  <w:vAlign w:val="center"/>
                </w:tcPr>
                <w:p w14:paraId="2691EE31">
                  <w:pPr>
                    <w:pStyle w:val="37"/>
                    <w:bidi w:val="0"/>
                    <w:rPr>
                      <w:rFonts w:hint="eastAsia" w:eastAsia="宋体"/>
                      <w:color w:val="auto"/>
                      <w:lang w:val="en-US" w:eastAsia="zh-CN"/>
                    </w:rPr>
                  </w:pPr>
                  <w:r>
                    <w:rPr>
                      <w:rFonts w:hint="eastAsia"/>
                      <w:color w:val="auto"/>
                      <w:lang w:val="en-US" w:eastAsia="zh-CN"/>
                    </w:rPr>
                    <w:t>运营期</w:t>
                  </w:r>
                </w:p>
              </w:tc>
              <w:tc>
                <w:tcPr>
                  <w:tcW w:w="1075" w:type="dxa"/>
                  <w:tcBorders>
                    <w:tl2br w:val="nil"/>
                    <w:tr2bl w:val="nil"/>
                  </w:tcBorders>
                  <w:shd w:val="clear" w:color="auto" w:fill="auto"/>
                  <w:vAlign w:val="center"/>
                </w:tcPr>
                <w:p w14:paraId="3BA0A7DA">
                  <w:pPr>
                    <w:pStyle w:val="37"/>
                    <w:bidi w:val="0"/>
                    <w:rPr>
                      <w:rFonts w:hint="default"/>
                      <w:color w:val="auto"/>
                      <w:lang w:val="en-US" w:eastAsia="zh-CN"/>
                    </w:rPr>
                  </w:pPr>
                  <w:r>
                    <w:rPr>
                      <w:rFonts w:hint="eastAsia"/>
                      <w:color w:val="auto"/>
                      <w:lang w:val="en-US" w:eastAsia="zh-CN"/>
                    </w:rPr>
                    <w:t>更换标识标牌</w:t>
                  </w:r>
                </w:p>
              </w:tc>
              <w:tc>
                <w:tcPr>
                  <w:tcW w:w="823" w:type="dxa"/>
                  <w:tcBorders>
                    <w:tl2br w:val="nil"/>
                    <w:tr2bl w:val="nil"/>
                  </w:tcBorders>
                  <w:shd w:val="clear" w:color="auto" w:fill="auto"/>
                  <w:vAlign w:val="center"/>
                </w:tcPr>
                <w:p w14:paraId="482C30CF">
                  <w:pPr>
                    <w:pStyle w:val="37"/>
                    <w:bidi w:val="0"/>
                    <w:rPr>
                      <w:rFonts w:hint="default"/>
                      <w:color w:val="auto"/>
                      <w:lang w:val="en-US" w:eastAsia="zh-CN"/>
                    </w:rPr>
                  </w:pPr>
                  <w:r>
                    <w:rPr>
                      <w:rFonts w:hint="eastAsia"/>
                      <w:color w:val="auto"/>
                      <w:lang w:val="en-US" w:eastAsia="zh-CN"/>
                    </w:rPr>
                    <w:t>项</w:t>
                  </w:r>
                </w:p>
              </w:tc>
              <w:tc>
                <w:tcPr>
                  <w:tcW w:w="903" w:type="dxa"/>
                  <w:tcBorders>
                    <w:tl2br w:val="nil"/>
                    <w:tr2bl w:val="nil"/>
                  </w:tcBorders>
                  <w:shd w:val="clear" w:color="auto" w:fill="auto"/>
                  <w:vAlign w:val="center"/>
                </w:tcPr>
                <w:p w14:paraId="7B466F45">
                  <w:pPr>
                    <w:pStyle w:val="37"/>
                    <w:bidi w:val="0"/>
                    <w:rPr>
                      <w:rFonts w:hint="default"/>
                      <w:color w:val="auto"/>
                      <w:lang w:val="en-US" w:eastAsia="zh-CN"/>
                    </w:rPr>
                  </w:pPr>
                  <w:r>
                    <w:rPr>
                      <w:rFonts w:hint="eastAsia"/>
                      <w:color w:val="auto"/>
                      <w:lang w:val="en-US" w:eastAsia="zh-CN"/>
                    </w:rPr>
                    <w:t>1</w:t>
                  </w:r>
                </w:p>
              </w:tc>
              <w:tc>
                <w:tcPr>
                  <w:tcW w:w="849" w:type="dxa"/>
                  <w:tcBorders>
                    <w:tl2br w:val="nil"/>
                    <w:tr2bl w:val="nil"/>
                  </w:tcBorders>
                  <w:shd w:val="clear" w:color="auto" w:fill="auto"/>
                  <w:vAlign w:val="center"/>
                </w:tcPr>
                <w:p w14:paraId="5FF28AA6">
                  <w:pPr>
                    <w:pStyle w:val="37"/>
                    <w:bidi w:val="0"/>
                    <w:rPr>
                      <w:rFonts w:hint="default"/>
                      <w:color w:val="auto"/>
                      <w:lang w:val="en-US" w:eastAsia="zh-CN"/>
                    </w:rPr>
                  </w:pPr>
                  <w:r>
                    <w:rPr>
                      <w:rFonts w:hint="eastAsia"/>
                      <w:color w:val="auto"/>
                      <w:lang w:val="en-US" w:eastAsia="zh-CN"/>
                    </w:rPr>
                    <w:t>200</w:t>
                  </w:r>
                </w:p>
              </w:tc>
              <w:tc>
                <w:tcPr>
                  <w:tcW w:w="969" w:type="dxa"/>
                  <w:tcBorders>
                    <w:tl2br w:val="nil"/>
                    <w:tr2bl w:val="nil"/>
                  </w:tcBorders>
                  <w:shd w:val="clear" w:color="auto" w:fill="auto"/>
                  <w:vAlign w:val="center"/>
                </w:tcPr>
                <w:p w14:paraId="6A81BC4C">
                  <w:pPr>
                    <w:pStyle w:val="37"/>
                    <w:bidi w:val="0"/>
                    <w:rPr>
                      <w:rFonts w:hint="default"/>
                      <w:color w:val="auto"/>
                      <w:lang w:val="en-US" w:eastAsia="zh-CN"/>
                    </w:rPr>
                  </w:pPr>
                  <w:r>
                    <w:rPr>
                      <w:rFonts w:hint="eastAsia"/>
                      <w:color w:val="auto"/>
                      <w:lang w:val="en-US" w:eastAsia="zh-CN"/>
                    </w:rPr>
                    <w:t>0.02</w:t>
                  </w:r>
                </w:p>
              </w:tc>
              <w:tc>
                <w:tcPr>
                  <w:tcW w:w="1168" w:type="dxa"/>
                  <w:tcBorders>
                    <w:tl2br w:val="nil"/>
                    <w:tr2bl w:val="nil"/>
                  </w:tcBorders>
                  <w:shd w:val="clear" w:color="auto" w:fill="auto"/>
                  <w:noWrap/>
                  <w:vAlign w:val="center"/>
                </w:tcPr>
                <w:p w14:paraId="1DA4D15C">
                  <w:pPr>
                    <w:pStyle w:val="37"/>
                    <w:bidi w:val="0"/>
                    <w:rPr>
                      <w:rFonts w:hint="eastAsia"/>
                      <w:color w:val="auto"/>
                      <w:lang w:val="en-US" w:eastAsia="zh-CN"/>
                    </w:rPr>
                  </w:pPr>
                </w:p>
              </w:tc>
            </w:tr>
            <w:tr w14:paraId="653B827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70" w:type="dxa"/>
                  <w:tcBorders>
                    <w:tl2br w:val="nil"/>
                    <w:tr2bl w:val="nil"/>
                  </w:tcBorders>
                  <w:shd w:val="clear" w:color="auto" w:fill="auto"/>
                  <w:vAlign w:val="center"/>
                </w:tcPr>
                <w:p w14:paraId="57CC8957">
                  <w:pPr>
                    <w:pStyle w:val="37"/>
                    <w:bidi w:val="0"/>
                    <w:rPr>
                      <w:rFonts w:hint="eastAsia"/>
                      <w:color w:val="auto"/>
                    </w:rPr>
                  </w:pPr>
                  <w:r>
                    <w:rPr>
                      <w:rFonts w:hint="eastAsia"/>
                      <w:color w:val="auto"/>
                      <w:lang w:val="en-US" w:eastAsia="zh-CN"/>
                    </w:rPr>
                    <w:t>三</w:t>
                  </w:r>
                </w:p>
              </w:tc>
              <w:tc>
                <w:tcPr>
                  <w:tcW w:w="1885" w:type="dxa"/>
                  <w:gridSpan w:val="2"/>
                  <w:tcBorders>
                    <w:tl2br w:val="nil"/>
                    <w:tr2bl w:val="nil"/>
                  </w:tcBorders>
                  <w:shd w:val="clear" w:color="auto" w:fill="auto"/>
                  <w:vAlign w:val="center"/>
                </w:tcPr>
                <w:p w14:paraId="212F8820">
                  <w:pPr>
                    <w:pStyle w:val="37"/>
                    <w:bidi w:val="0"/>
                    <w:rPr>
                      <w:rFonts w:hint="eastAsia"/>
                      <w:color w:val="auto"/>
                    </w:rPr>
                  </w:pPr>
                  <w:r>
                    <w:rPr>
                      <w:rFonts w:hint="eastAsia"/>
                      <w:color w:val="auto"/>
                      <w:lang w:val="en-US" w:eastAsia="zh-CN"/>
                    </w:rPr>
                    <w:t>大气环境保护费</w:t>
                  </w:r>
                </w:p>
              </w:tc>
              <w:tc>
                <w:tcPr>
                  <w:tcW w:w="823" w:type="dxa"/>
                  <w:tcBorders>
                    <w:tl2br w:val="nil"/>
                    <w:tr2bl w:val="nil"/>
                  </w:tcBorders>
                  <w:shd w:val="clear" w:color="auto" w:fill="auto"/>
                  <w:vAlign w:val="center"/>
                </w:tcPr>
                <w:p w14:paraId="0E5D7284">
                  <w:pPr>
                    <w:pStyle w:val="37"/>
                    <w:bidi w:val="0"/>
                    <w:rPr>
                      <w:rFonts w:hint="eastAsia"/>
                      <w:color w:val="auto"/>
                    </w:rPr>
                  </w:pPr>
                </w:p>
              </w:tc>
              <w:tc>
                <w:tcPr>
                  <w:tcW w:w="903" w:type="dxa"/>
                  <w:tcBorders>
                    <w:tl2br w:val="nil"/>
                    <w:tr2bl w:val="nil"/>
                  </w:tcBorders>
                  <w:shd w:val="clear" w:color="auto" w:fill="auto"/>
                  <w:vAlign w:val="center"/>
                </w:tcPr>
                <w:p w14:paraId="67485073">
                  <w:pPr>
                    <w:pStyle w:val="37"/>
                    <w:bidi w:val="0"/>
                    <w:rPr>
                      <w:rFonts w:hint="eastAsia"/>
                      <w:color w:val="auto"/>
                    </w:rPr>
                  </w:pPr>
                </w:p>
              </w:tc>
              <w:tc>
                <w:tcPr>
                  <w:tcW w:w="849" w:type="dxa"/>
                  <w:tcBorders>
                    <w:tl2br w:val="nil"/>
                    <w:tr2bl w:val="nil"/>
                  </w:tcBorders>
                  <w:shd w:val="clear" w:color="auto" w:fill="auto"/>
                  <w:noWrap/>
                  <w:vAlign w:val="center"/>
                </w:tcPr>
                <w:p w14:paraId="02E24732">
                  <w:pPr>
                    <w:pStyle w:val="37"/>
                    <w:bidi w:val="0"/>
                    <w:rPr>
                      <w:rFonts w:hint="eastAsia"/>
                      <w:color w:val="auto"/>
                    </w:rPr>
                  </w:pPr>
                </w:p>
              </w:tc>
              <w:tc>
                <w:tcPr>
                  <w:tcW w:w="969" w:type="dxa"/>
                  <w:tcBorders>
                    <w:tl2br w:val="nil"/>
                    <w:tr2bl w:val="nil"/>
                  </w:tcBorders>
                  <w:shd w:val="clear" w:color="auto" w:fill="auto"/>
                  <w:vAlign w:val="center"/>
                </w:tcPr>
                <w:p w14:paraId="7BB585BC">
                  <w:pPr>
                    <w:pStyle w:val="37"/>
                    <w:bidi w:val="0"/>
                    <w:rPr>
                      <w:rFonts w:hint="default"/>
                      <w:color w:val="auto"/>
                    </w:rPr>
                  </w:pPr>
                  <w:r>
                    <w:rPr>
                      <w:rFonts w:hint="default"/>
                      <w:color w:val="auto"/>
                      <w:lang w:val="en-US" w:eastAsia="zh-CN"/>
                    </w:rPr>
                    <w:t>3</w:t>
                  </w:r>
                </w:p>
              </w:tc>
              <w:tc>
                <w:tcPr>
                  <w:tcW w:w="1168" w:type="dxa"/>
                  <w:tcBorders>
                    <w:tl2br w:val="nil"/>
                    <w:tr2bl w:val="nil"/>
                  </w:tcBorders>
                  <w:shd w:val="clear" w:color="auto" w:fill="auto"/>
                  <w:noWrap/>
                  <w:vAlign w:val="center"/>
                </w:tcPr>
                <w:p w14:paraId="3BAF874C">
                  <w:pPr>
                    <w:pStyle w:val="37"/>
                    <w:bidi w:val="0"/>
                    <w:rPr>
                      <w:rFonts w:hint="eastAsia"/>
                      <w:color w:val="auto"/>
                    </w:rPr>
                  </w:pPr>
                </w:p>
              </w:tc>
            </w:tr>
            <w:tr w14:paraId="277006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70" w:type="dxa"/>
                  <w:tcBorders>
                    <w:tl2br w:val="nil"/>
                    <w:tr2bl w:val="nil"/>
                  </w:tcBorders>
                  <w:shd w:val="clear" w:color="auto" w:fill="auto"/>
                  <w:noWrap/>
                  <w:vAlign w:val="center"/>
                </w:tcPr>
                <w:p w14:paraId="6F662A2F">
                  <w:pPr>
                    <w:pStyle w:val="37"/>
                    <w:bidi w:val="0"/>
                    <w:rPr>
                      <w:rFonts w:hint="default"/>
                      <w:color w:val="auto"/>
                    </w:rPr>
                  </w:pPr>
                  <w:r>
                    <w:rPr>
                      <w:rFonts w:hint="default"/>
                      <w:color w:val="auto"/>
                      <w:lang w:val="en-US" w:eastAsia="zh-CN"/>
                    </w:rPr>
                    <w:t>1</w:t>
                  </w:r>
                </w:p>
              </w:tc>
              <w:tc>
                <w:tcPr>
                  <w:tcW w:w="810" w:type="dxa"/>
                  <w:tcBorders>
                    <w:tl2br w:val="nil"/>
                    <w:tr2bl w:val="nil"/>
                  </w:tcBorders>
                  <w:shd w:val="clear" w:color="auto" w:fill="auto"/>
                  <w:noWrap/>
                  <w:vAlign w:val="center"/>
                </w:tcPr>
                <w:p w14:paraId="1D2AAAD5">
                  <w:pPr>
                    <w:pStyle w:val="37"/>
                    <w:bidi w:val="0"/>
                    <w:rPr>
                      <w:rFonts w:hint="eastAsia"/>
                      <w:color w:val="auto"/>
                    </w:rPr>
                  </w:pPr>
                  <w:r>
                    <w:rPr>
                      <w:rFonts w:hint="eastAsia"/>
                      <w:color w:val="auto"/>
                      <w:lang w:val="en-US" w:eastAsia="zh-CN"/>
                    </w:rPr>
                    <w:t>施工期</w:t>
                  </w:r>
                </w:p>
              </w:tc>
              <w:tc>
                <w:tcPr>
                  <w:tcW w:w="1075" w:type="dxa"/>
                  <w:tcBorders>
                    <w:tl2br w:val="nil"/>
                    <w:tr2bl w:val="nil"/>
                  </w:tcBorders>
                  <w:shd w:val="clear" w:color="auto" w:fill="auto"/>
                  <w:noWrap/>
                  <w:vAlign w:val="center"/>
                </w:tcPr>
                <w:p w14:paraId="5B119ACD">
                  <w:pPr>
                    <w:pStyle w:val="37"/>
                    <w:bidi w:val="0"/>
                    <w:rPr>
                      <w:rFonts w:hint="eastAsia"/>
                      <w:color w:val="auto"/>
                    </w:rPr>
                  </w:pPr>
                  <w:r>
                    <w:rPr>
                      <w:rFonts w:hint="eastAsia"/>
                      <w:color w:val="auto"/>
                      <w:lang w:val="en-US" w:eastAsia="zh-CN"/>
                    </w:rPr>
                    <w:t>洒水降尘</w:t>
                  </w:r>
                </w:p>
              </w:tc>
              <w:tc>
                <w:tcPr>
                  <w:tcW w:w="823" w:type="dxa"/>
                  <w:tcBorders>
                    <w:tl2br w:val="nil"/>
                    <w:tr2bl w:val="nil"/>
                  </w:tcBorders>
                  <w:shd w:val="clear" w:color="auto" w:fill="auto"/>
                  <w:noWrap/>
                  <w:vAlign w:val="center"/>
                </w:tcPr>
                <w:p w14:paraId="0E6D91BE">
                  <w:pPr>
                    <w:pStyle w:val="37"/>
                    <w:bidi w:val="0"/>
                    <w:rPr>
                      <w:rFonts w:hint="eastAsia"/>
                      <w:color w:val="auto"/>
                    </w:rPr>
                  </w:pPr>
                </w:p>
              </w:tc>
              <w:tc>
                <w:tcPr>
                  <w:tcW w:w="903" w:type="dxa"/>
                  <w:tcBorders>
                    <w:tl2br w:val="nil"/>
                    <w:tr2bl w:val="nil"/>
                  </w:tcBorders>
                  <w:shd w:val="clear" w:color="auto" w:fill="auto"/>
                  <w:noWrap/>
                  <w:vAlign w:val="center"/>
                </w:tcPr>
                <w:p w14:paraId="4555F69B">
                  <w:pPr>
                    <w:pStyle w:val="37"/>
                    <w:bidi w:val="0"/>
                    <w:rPr>
                      <w:rFonts w:hint="eastAsia"/>
                      <w:color w:val="auto"/>
                    </w:rPr>
                  </w:pPr>
                </w:p>
              </w:tc>
              <w:tc>
                <w:tcPr>
                  <w:tcW w:w="849" w:type="dxa"/>
                  <w:tcBorders>
                    <w:tl2br w:val="nil"/>
                    <w:tr2bl w:val="nil"/>
                  </w:tcBorders>
                  <w:shd w:val="clear" w:color="auto" w:fill="auto"/>
                  <w:noWrap/>
                  <w:vAlign w:val="center"/>
                </w:tcPr>
                <w:p w14:paraId="651A30A9">
                  <w:pPr>
                    <w:pStyle w:val="37"/>
                    <w:bidi w:val="0"/>
                    <w:rPr>
                      <w:rFonts w:hint="eastAsia"/>
                      <w:color w:val="auto"/>
                    </w:rPr>
                  </w:pPr>
                </w:p>
              </w:tc>
              <w:tc>
                <w:tcPr>
                  <w:tcW w:w="969" w:type="dxa"/>
                  <w:tcBorders>
                    <w:tl2br w:val="nil"/>
                    <w:tr2bl w:val="nil"/>
                  </w:tcBorders>
                  <w:shd w:val="clear" w:color="auto" w:fill="auto"/>
                  <w:noWrap/>
                  <w:vAlign w:val="center"/>
                </w:tcPr>
                <w:p w14:paraId="6AE25ADF">
                  <w:pPr>
                    <w:pStyle w:val="37"/>
                    <w:bidi w:val="0"/>
                    <w:rPr>
                      <w:rFonts w:hint="default"/>
                      <w:color w:val="auto"/>
                    </w:rPr>
                  </w:pPr>
                  <w:r>
                    <w:rPr>
                      <w:rFonts w:hint="default"/>
                      <w:color w:val="auto"/>
                      <w:lang w:val="en-US" w:eastAsia="zh-CN"/>
                    </w:rPr>
                    <w:t>3</w:t>
                  </w:r>
                </w:p>
              </w:tc>
              <w:tc>
                <w:tcPr>
                  <w:tcW w:w="1168" w:type="dxa"/>
                  <w:tcBorders>
                    <w:tl2br w:val="nil"/>
                    <w:tr2bl w:val="nil"/>
                  </w:tcBorders>
                  <w:shd w:val="clear" w:color="auto" w:fill="auto"/>
                  <w:noWrap/>
                  <w:vAlign w:val="center"/>
                </w:tcPr>
                <w:p w14:paraId="3B398611">
                  <w:pPr>
                    <w:pStyle w:val="37"/>
                    <w:bidi w:val="0"/>
                    <w:rPr>
                      <w:rFonts w:hint="eastAsia"/>
                      <w:color w:val="auto"/>
                    </w:rPr>
                  </w:pPr>
                </w:p>
              </w:tc>
            </w:tr>
            <w:tr w14:paraId="25587A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70" w:type="dxa"/>
                  <w:tcBorders>
                    <w:tl2br w:val="nil"/>
                    <w:tr2bl w:val="nil"/>
                  </w:tcBorders>
                  <w:shd w:val="clear" w:color="auto" w:fill="auto"/>
                  <w:vAlign w:val="center"/>
                </w:tcPr>
                <w:p w14:paraId="6442F5CC">
                  <w:pPr>
                    <w:pStyle w:val="37"/>
                    <w:bidi w:val="0"/>
                    <w:rPr>
                      <w:rFonts w:hint="eastAsia"/>
                      <w:color w:val="auto"/>
                    </w:rPr>
                  </w:pPr>
                  <w:r>
                    <w:rPr>
                      <w:rFonts w:hint="eastAsia"/>
                      <w:color w:val="auto"/>
                      <w:lang w:val="en-US" w:eastAsia="zh-CN"/>
                    </w:rPr>
                    <w:t>四</w:t>
                  </w:r>
                </w:p>
              </w:tc>
              <w:tc>
                <w:tcPr>
                  <w:tcW w:w="1885" w:type="dxa"/>
                  <w:gridSpan w:val="2"/>
                  <w:tcBorders>
                    <w:tl2br w:val="nil"/>
                    <w:tr2bl w:val="nil"/>
                  </w:tcBorders>
                  <w:shd w:val="clear" w:color="auto" w:fill="auto"/>
                  <w:vAlign w:val="center"/>
                </w:tcPr>
                <w:p w14:paraId="242C09DB">
                  <w:pPr>
                    <w:pStyle w:val="37"/>
                    <w:bidi w:val="0"/>
                    <w:rPr>
                      <w:rFonts w:hint="eastAsia"/>
                      <w:color w:val="auto"/>
                    </w:rPr>
                  </w:pPr>
                  <w:r>
                    <w:rPr>
                      <w:rFonts w:hint="eastAsia"/>
                      <w:color w:val="auto"/>
                      <w:lang w:val="en-US" w:eastAsia="zh-CN"/>
                    </w:rPr>
                    <w:t>噪声防治</w:t>
                  </w:r>
                </w:p>
              </w:tc>
              <w:tc>
                <w:tcPr>
                  <w:tcW w:w="823" w:type="dxa"/>
                  <w:tcBorders>
                    <w:tl2br w:val="nil"/>
                    <w:tr2bl w:val="nil"/>
                  </w:tcBorders>
                  <w:shd w:val="clear" w:color="auto" w:fill="auto"/>
                  <w:noWrap/>
                  <w:vAlign w:val="center"/>
                </w:tcPr>
                <w:p w14:paraId="6AA387B2">
                  <w:pPr>
                    <w:pStyle w:val="37"/>
                    <w:bidi w:val="0"/>
                    <w:rPr>
                      <w:rFonts w:hint="eastAsia"/>
                      <w:color w:val="auto"/>
                    </w:rPr>
                  </w:pPr>
                </w:p>
              </w:tc>
              <w:tc>
                <w:tcPr>
                  <w:tcW w:w="903" w:type="dxa"/>
                  <w:tcBorders>
                    <w:tl2br w:val="nil"/>
                    <w:tr2bl w:val="nil"/>
                  </w:tcBorders>
                  <w:shd w:val="clear" w:color="auto" w:fill="auto"/>
                  <w:noWrap/>
                  <w:vAlign w:val="center"/>
                </w:tcPr>
                <w:p w14:paraId="1EFE7F3F">
                  <w:pPr>
                    <w:pStyle w:val="37"/>
                    <w:bidi w:val="0"/>
                    <w:rPr>
                      <w:rFonts w:hint="eastAsia"/>
                      <w:color w:val="auto"/>
                    </w:rPr>
                  </w:pPr>
                </w:p>
              </w:tc>
              <w:tc>
                <w:tcPr>
                  <w:tcW w:w="849" w:type="dxa"/>
                  <w:tcBorders>
                    <w:tl2br w:val="nil"/>
                    <w:tr2bl w:val="nil"/>
                  </w:tcBorders>
                  <w:shd w:val="clear" w:color="auto" w:fill="auto"/>
                  <w:noWrap/>
                  <w:vAlign w:val="center"/>
                </w:tcPr>
                <w:p w14:paraId="282B6F2F">
                  <w:pPr>
                    <w:pStyle w:val="37"/>
                    <w:bidi w:val="0"/>
                    <w:rPr>
                      <w:rFonts w:hint="eastAsia"/>
                      <w:color w:val="auto"/>
                    </w:rPr>
                  </w:pPr>
                </w:p>
              </w:tc>
              <w:tc>
                <w:tcPr>
                  <w:tcW w:w="969" w:type="dxa"/>
                  <w:tcBorders>
                    <w:tl2br w:val="nil"/>
                    <w:tr2bl w:val="nil"/>
                  </w:tcBorders>
                  <w:shd w:val="clear" w:color="auto" w:fill="auto"/>
                  <w:vAlign w:val="center"/>
                </w:tcPr>
                <w:p w14:paraId="55861BEB">
                  <w:pPr>
                    <w:pStyle w:val="37"/>
                    <w:bidi w:val="0"/>
                    <w:rPr>
                      <w:rFonts w:hint="default"/>
                      <w:color w:val="auto"/>
                    </w:rPr>
                  </w:pPr>
                  <w:r>
                    <w:rPr>
                      <w:rFonts w:hint="default"/>
                      <w:color w:val="auto"/>
                      <w:lang w:val="en-US" w:eastAsia="zh-CN"/>
                    </w:rPr>
                    <w:t>10.</w:t>
                  </w:r>
                  <w:r>
                    <w:rPr>
                      <w:rFonts w:hint="eastAsia"/>
                      <w:color w:val="auto"/>
                      <w:lang w:val="en-US" w:eastAsia="zh-CN"/>
                    </w:rPr>
                    <w:t>5</w:t>
                  </w:r>
                </w:p>
              </w:tc>
              <w:tc>
                <w:tcPr>
                  <w:tcW w:w="1168" w:type="dxa"/>
                  <w:tcBorders>
                    <w:tl2br w:val="nil"/>
                    <w:tr2bl w:val="nil"/>
                  </w:tcBorders>
                  <w:shd w:val="clear" w:color="auto" w:fill="auto"/>
                  <w:vAlign w:val="center"/>
                </w:tcPr>
                <w:p w14:paraId="58919BFA">
                  <w:pPr>
                    <w:pStyle w:val="37"/>
                    <w:bidi w:val="0"/>
                    <w:rPr>
                      <w:rFonts w:hint="eastAsia"/>
                      <w:color w:val="auto"/>
                    </w:rPr>
                  </w:pPr>
                </w:p>
              </w:tc>
            </w:tr>
            <w:tr w14:paraId="779BF1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70" w:type="dxa"/>
                  <w:tcBorders>
                    <w:tl2br w:val="nil"/>
                    <w:tr2bl w:val="nil"/>
                  </w:tcBorders>
                  <w:shd w:val="clear" w:color="auto" w:fill="auto"/>
                  <w:vAlign w:val="center"/>
                </w:tcPr>
                <w:p w14:paraId="10D5F329">
                  <w:pPr>
                    <w:pStyle w:val="37"/>
                    <w:bidi w:val="0"/>
                    <w:rPr>
                      <w:rFonts w:hint="default"/>
                      <w:color w:val="auto"/>
                    </w:rPr>
                  </w:pPr>
                  <w:r>
                    <w:rPr>
                      <w:rFonts w:hint="default"/>
                      <w:color w:val="auto"/>
                      <w:lang w:val="en-US" w:eastAsia="zh-CN"/>
                    </w:rPr>
                    <w:t>1</w:t>
                  </w:r>
                </w:p>
              </w:tc>
              <w:tc>
                <w:tcPr>
                  <w:tcW w:w="810" w:type="dxa"/>
                  <w:vMerge w:val="restart"/>
                  <w:tcBorders>
                    <w:tl2br w:val="nil"/>
                    <w:tr2bl w:val="nil"/>
                  </w:tcBorders>
                  <w:shd w:val="clear" w:color="auto" w:fill="auto"/>
                  <w:noWrap/>
                  <w:vAlign w:val="center"/>
                </w:tcPr>
                <w:p w14:paraId="2E6A2F4C">
                  <w:pPr>
                    <w:pStyle w:val="37"/>
                    <w:bidi w:val="0"/>
                    <w:rPr>
                      <w:rFonts w:hint="eastAsia"/>
                      <w:color w:val="auto"/>
                    </w:rPr>
                  </w:pPr>
                  <w:r>
                    <w:rPr>
                      <w:rFonts w:hint="eastAsia"/>
                      <w:color w:val="auto"/>
                      <w:lang w:val="en-US" w:eastAsia="zh-CN"/>
                    </w:rPr>
                    <w:t>施工期</w:t>
                  </w:r>
                </w:p>
              </w:tc>
              <w:tc>
                <w:tcPr>
                  <w:tcW w:w="1075" w:type="dxa"/>
                  <w:tcBorders>
                    <w:tl2br w:val="nil"/>
                    <w:tr2bl w:val="nil"/>
                  </w:tcBorders>
                  <w:shd w:val="clear" w:color="auto" w:fill="auto"/>
                  <w:vAlign w:val="center"/>
                </w:tcPr>
                <w:p w14:paraId="6DB26E55">
                  <w:pPr>
                    <w:pStyle w:val="37"/>
                    <w:bidi w:val="0"/>
                    <w:rPr>
                      <w:rFonts w:hint="eastAsia"/>
                      <w:color w:val="auto"/>
                    </w:rPr>
                  </w:pPr>
                  <w:r>
                    <w:rPr>
                      <w:rFonts w:hint="eastAsia"/>
                      <w:color w:val="auto"/>
                      <w:lang w:val="en-US" w:eastAsia="zh-CN"/>
                    </w:rPr>
                    <w:t>预留</w:t>
                  </w:r>
                </w:p>
              </w:tc>
              <w:tc>
                <w:tcPr>
                  <w:tcW w:w="823" w:type="dxa"/>
                  <w:tcBorders>
                    <w:tl2br w:val="nil"/>
                    <w:tr2bl w:val="nil"/>
                  </w:tcBorders>
                  <w:shd w:val="clear" w:color="auto" w:fill="auto"/>
                  <w:vAlign w:val="center"/>
                </w:tcPr>
                <w:p w14:paraId="2D0EB131">
                  <w:pPr>
                    <w:pStyle w:val="37"/>
                    <w:bidi w:val="0"/>
                    <w:rPr>
                      <w:rFonts w:hint="eastAsia"/>
                      <w:color w:val="auto"/>
                    </w:rPr>
                  </w:pPr>
                  <w:r>
                    <w:rPr>
                      <w:rFonts w:hint="eastAsia"/>
                      <w:color w:val="auto"/>
                      <w:lang w:val="en-US" w:eastAsia="zh-CN"/>
                    </w:rPr>
                    <w:t>项</w:t>
                  </w:r>
                </w:p>
              </w:tc>
              <w:tc>
                <w:tcPr>
                  <w:tcW w:w="903" w:type="dxa"/>
                  <w:tcBorders>
                    <w:tl2br w:val="nil"/>
                    <w:tr2bl w:val="nil"/>
                  </w:tcBorders>
                  <w:shd w:val="clear" w:color="auto" w:fill="auto"/>
                  <w:vAlign w:val="center"/>
                </w:tcPr>
                <w:p w14:paraId="593ACD32">
                  <w:pPr>
                    <w:pStyle w:val="37"/>
                    <w:bidi w:val="0"/>
                    <w:rPr>
                      <w:rFonts w:hint="default"/>
                      <w:color w:val="auto"/>
                    </w:rPr>
                  </w:pPr>
                  <w:r>
                    <w:rPr>
                      <w:rFonts w:hint="default"/>
                      <w:color w:val="auto"/>
                      <w:lang w:val="en-US" w:eastAsia="zh-CN"/>
                    </w:rPr>
                    <w:t>1</w:t>
                  </w:r>
                </w:p>
              </w:tc>
              <w:tc>
                <w:tcPr>
                  <w:tcW w:w="849" w:type="dxa"/>
                  <w:tcBorders>
                    <w:tl2br w:val="nil"/>
                    <w:tr2bl w:val="nil"/>
                  </w:tcBorders>
                  <w:shd w:val="clear" w:color="auto" w:fill="auto"/>
                  <w:vAlign w:val="center"/>
                </w:tcPr>
                <w:p w14:paraId="0363613F">
                  <w:pPr>
                    <w:pStyle w:val="37"/>
                    <w:bidi w:val="0"/>
                    <w:rPr>
                      <w:rFonts w:hint="default"/>
                      <w:color w:val="auto"/>
                    </w:rPr>
                  </w:pPr>
                  <w:r>
                    <w:rPr>
                      <w:rFonts w:hint="default"/>
                      <w:color w:val="auto"/>
                      <w:lang w:val="en-US" w:eastAsia="zh-CN"/>
                    </w:rPr>
                    <w:t>100000</w:t>
                  </w:r>
                </w:p>
              </w:tc>
              <w:tc>
                <w:tcPr>
                  <w:tcW w:w="969" w:type="dxa"/>
                  <w:tcBorders>
                    <w:tl2br w:val="nil"/>
                    <w:tr2bl w:val="nil"/>
                  </w:tcBorders>
                  <w:shd w:val="clear" w:color="auto" w:fill="auto"/>
                  <w:vAlign w:val="center"/>
                </w:tcPr>
                <w:p w14:paraId="6BBC91F3">
                  <w:pPr>
                    <w:pStyle w:val="37"/>
                    <w:bidi w:val="0"/>
                    <w:rPr>
                      <w:rFonts w:hint="default"/>
                      <w:color w:val="auto"/>
                    </w:rPr>
                  </w:pPr>
                  <w:r>
                    <w:rPr>
                      <w:rFonts w:hint="default"/>
                      <w:color w:val="auto"/>
                      <w:lang w:val="en-US" w:eastAsia="zh-CN"/>
                    </w:rPr>
                    <w:t>10</w:t>
                  </w:r>
                </w:p>
              </w:tc>
              <w:tc>
                <w:tcPr>
                  <w:tcW w:w="1168" w:type="dxa"/>
                  <w:tcBorders>
                    <w:tl2br w:val="nil"/>
                    <w:tr2bl w:val="nil"/>
                  </w:tcBorders>
                  <w:shd w:val="clear" w:color="auto" w:fill="auto"/>
                  <w:noWrap/>
                  <w:vAlign w:val="center"/>
                </w:tcPr>
                <w:p w14:paraId="71EB4C58">
                  <w:pPr>
                    <w:pStyle w:val="37"/>
                    <w:bidi w:val="0"/>
                    <w:rPr>
                      <w:rFonts w:hint="eastAsia"/>
                      <w:color w:val="auto"/>
                    </w:rPr>
                  </w:pPr>
                </w:p>
              </w:tc>
            </w:tr>
            <w:tr w14:paraId="6B436A9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70" w:type="dxa"/>
                  <w:tcBorders>
                    <w:tl2br w:val="nil"/>
                    <w:tr2bl w:val="nil"/>
                  </w:tcBorders>
                  <w:shd w:val="clear" w:color="auto" w:fill="auto"/>
                  <w:vAlign w:val="center"/>
                </w:tcPr>
                <w:p w14:paraId="7925651D">
                  <w:pPr>
                    <w:pStyle w:val="37"/>
                    <w:bidi w:val="0"/>
                    <w:rPr>
                      <w:rFonts w:hint="default"/>
                      <w:color w:val="auto"/>
                    </w:rPr>
                  </w:pPr>
                  <w:r>
                    <w:rPr>
                      <w:rFonts w:hint="default"/>
                      <w:color w:val="auto"/>
                      <w:lang w:val="en-US" w:eastAsia="zh-CN"/>
                    </w:rPr>
                    <w:t>2</w:t>
                  </w:r>
                </w:p>
              </w:tc>
              <w:tc>
                <w:tcPr>
                  <w:tcW w:w="810" w:type="dxa"/>
                  <w:vMerge w:val="continue"/>
                  <w:tcBorders>
                    <w:tl2br w:val="nil"/>
                    <w:tr2bl w:val="nil"/>
                  </w:tcBorders>
                  <w:shd w:val="clear" w:color="auto" w:fill="auto"/>
                  <w:noWrap/>
                  <w:vAlign w:val="center"/>
                </w:tcPr>
                <w:p w14:paraId="0AB3F674">
                  <w:pPr>
                    <w:pStyle w:val="37"/>
                    <w:bidi w:val="0"/>
                    <w:rPr>
                      <w:rFonts w:hint="eastAsia"/>
                      <w:color w:val="auto"/>
                    </w:rPr>
                  </w:pPr>
                </w:p>
              </w:tc>
              <w:tc>
                <w:tcPr>
                  <w:tcW w:w="1075" w:type="dxa"/>
                  <w:tcBorders>
                    <w:tl2br w:val="nil"/>
                    <w:tr2bl w:val="nil"/>
                  </w:tcBorders>
                  <w:shd w:val="clear" w:color="auto" w:fill="auto"/>
                  <w:vAlign w:val="center"/>
                </w:tcPr>
                <w:p w14:paraId="76F1FAC2">
                  <w:pPr>
                    <w:pStyle w:val="37"/>
                    <w:bidi w:val="0"/>
                    <w:rPr>
                      <w:rFonts w:hint="eastAsia"/>
                      <w:color w:val="auto"/>
                    </w:rPr>
                  </w:pPr>
                  <w:r>
                    <w:rPr>
                      <w:rFonts w:hint="eastAsia"/>
                      <w:color w:val="auto"/>
                      <w:lang w:val="en-US" w:eastAsia="zh-CN"/>
                    </w:rPr>
                    <w:t>禁鸣标志</w:t>
                  </w:r>
                </w:p>
              </w:tc>
              <w:tc>
                <w:tcPr>
                  <w:tcW w:w="823" w:type="dxa"/>
                  <w:tcBorders>
                    <w:tl2br w:val="nil"/>
                    <w:tr2bl w:val="nil"/>
                  </w:tcBorders>
                  <w:shd w:val="clear" w:color="auto" w:fill="auto"/>
                  <w:vAlign w:val="center"/>
                </w:tcPr>
                <w:p w14:paraId="264B8CCF">
                  <w:pPr>
                    <w:pStyle w:val="37"/>
                    <w:bidi w:val="0"/>
                    <w:rPr>
                      <w:rFonts w:hint="eastAsia"/>
                      <w:color w:val="auto"/>
                    </w:rPr>
                  </w:pPr>
                  <w:r>
                    <w:rPr>
                      <w:rFonts w:hint="eastAsia"/>
                      <w:color w:val="auto"/>
                      <w:lang w:val="en-US" w:eastAsia="zh-CN"/>
                    </w:rPr>
                    <w:t>块</w:t>
                  </w:r>
                </w:p>
              </w:tc>
              <w:tc>
                <w:tcPr>
                  <w:tcW w:w="903" w:type="dxa"/>
                  <w:tcBorders>
                    <w:tl2br w:val="nil"/>
                    <w:tr2bl w:val="nil"/>
                  </w:tcBorders>
                  <w:shd w:val="clear" w:color="auto" w:fill="auto"/>
                  <w:vAlign w:val="center"/>
                </w:tcPr>
                <w:p w14:paraId="447634C1">
                  <w:pPr>
                    <w:pStyle w:val="37"/>
                    <w:bidi w:val="0"/>
                    <w:rPr>
                      <w:rFonts w:hint="default"/>
                      <w:color w:val="auto"/>
                    </w:rPr>
                  </w:pPr>
                  <w:r>
                    <w:rPr>
                      <w:rFonts w:hint="default"/>
                      <w:color w:val="auto"/>
                      <w:lang w:val="en-US" w:eastAsia="zh-CN"/>
                    </w:rPr>
                    <w:t>10</w:t>
                  </w:r>
                </w:p>
              </w:tc>
              <w:tc>
                <w:tcPr>
                  <w:tcW w:w="849" w:type="dxa"/>
                  <w:tcBorders>
                    <w:tl2br w:val="nil"/>
                    <w:tr2bl w:val="nil"/>
                  </w:tcBorders>
                  <w:shd w:val="clear" w:color="auto" w:fill="auto"/>
                  <w:vAlign w:val="center"/>
                </w:tcPr>
                <w:p w14:paraId="7062E920">
                  <w:pPr>
                    <w:pStyle w:val="37"/>
                    <w:bidi w:val="0"/>
                    <w:rPr>
                      <w:rFonts w:hint="default"/>
                      <w:color w:val="auto"/>
                    </w:rPr>
                  </w:pPr>
                  <w:r>
                    <w:rPr>
                      <w:rFonts w:hint="eastAsia"/>
                      <w:color w:val="auto"/>
                      <w:lang w:val="en-US" w:eastAsia="zh-CN"/>
                    </w:rPr>
                    <w:t>5</w:t>
                  </w:r>
                  <w:r>
                    <w:rPr>
                      <w:rFonts w:hint="default"/>
                      <w:color w:val="auto"/>
                      <w:lang w:val="en-US" w:eastAsia="zh-CN"/>
                    </w:rPr>
                    <w:t>00</w:t>
                  </w:r>
                </w:p>
              </w:tc>
              <w:tc>
                <w:tcPr>
                  <w:tcW w:w="969" w:type="dxa"/>
                  <w:tcBorders>
                    <w:tl2br w:val="nil"/>
                    <w:tr2bl w:val="nil"/>
                  </w:tcBorders>
                  <w:shd w:val="clear" w:color="auto" w:fill="auto"/>
                  <w:vAlign w:val="center"/>
                </w:tcPr>
                <w:p w14:paraId="4912F24C">
                  <w:pPr>
                    <w:pStyle w:val="37"/>
                    <w:bidi w:val="0"/>
                    <w:rPr>
                      <w:rFonts w:hint="default"/>
                      <w:color w:val="auto"/>
                      <w:lang w:val="en-US"/>
                    </w:rPr>
                  </w:pPr>
                  <w:r>
                    <w:rPr>
                      <w:rFonts w:hint="default"/>
                      <w:color w:val="auto"/>
                      <w:lang w:val="en-US" w:eastAsia="zh-CN"/>
                    </w:rPr>
                    <w:t>0.</w:t>
                  </w:r>
                  <w:r>
                    <w:rPr>
                      <w:rFonts w:hint="eastAsia"/>
                      <w:color w:val="auto"/>
                      <w:lang w:val="en-US" w:eastAsia="zh-CN"/>
                    </w:rPr>
                    <w:t>5</w:t>
                  </w:r>
                </w:p>
              </w:tc>
              <w:tc>
                <w:tcPr>
                  <w:tcW w:w="1168" w:type="dxa"/>
                  <w:tcBorders>
                    <w:tl2br w:val="nil"/>
                    <w:tr2bl w:val="nil"/>
                  </w:tcBorders>
                  <w:shd w:val="clear" w:color="auto" w:fill="auto"/>
                  <w:noWrap/>
                  <w:vAlign w:val="center"/>
                </w:tcPr>
                <w:p w14:paraId="246133ED">
                  <w:pPr>
                    <w:pStyle w:val="37"/>
                    <w:bidi w:val="0"/>
                    <w:rPr>
                      <w:rFonts w:hint="eastAsia"/>
                      <w:color w:val="auto"/>
                    </w:rPr>
                  </w:pPr>
                </w:p>
              </w:tc>
            </w:tr>
            <w:tr w14:paraId="746D01C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770" w:type="dxa"/>
                  <w:tcBorders>
                    <w:tl2br w:val="nil"/>
                    <w:tr2bl w:val="nil"/>
                  </w:tcBorders>
                  <w:shd w:val="clear" w:color="auto" w:fill="auto"/>
                  <w:vAlign w:val="center"/>
                </w:tcPr>
                <w:p w14:paraId="4110F901">
                  <w:pPr>
                    <w:pStyle w:val="37"/>
                    <w:bidi w:val="0"/>
                    <w:rPr>
                      <w:rFonts w:hint="eastAsia"/>
                      <w:color w:val="auto"/>
                    </w:rPr>
                  </w:pPr>
                  <w:r>
                    <w:rPr>
                      <w:rFonts w:hint="eastAsia"/>
                      <w:color w:val="auto"/>
                      <w:lang w:val="en-US" w:eastAsia="zh-CN"/>
                    </w:rPr>
                    <w:t>五</w:t>
                  </w:r>
                </w:p>
              </w:tc>
              <w:tc>
                <w:tcPr>
                  <w:tcW w:w="1885" w:type="dxa"/>
                  <w:gridSpan w:val="2"/>
                  <w:tcBorders>
                    <w:tl2br w:val="nil"/>
                    <w:tr2bl w:val="nil"/>
                  </w:tcBorders>
                  <w:shd w:val="clear" w:color="auto" w:fill="auto"/>
                  <w:vAlign w:val="center"/>
                </w:tcPr>
                <w:p w14:paraId="12946009">
                  <w:pPr>
                    <w:pStyle w:val="37"/>
                    <w:bidi w:val="0"/>
                    <w:rPr>
                      <w:rFonts w:hint="eastAsia"/>
                      <w:color w:val="auto"/>
                    </w:rPr>
                  </w:pPr>
                  <w:r>
                    <w:rPr>
                      <w:rFonts w:hint="eastAsia"/>
                      <w:color w:val="auto"/>
                      <w:lang w:val="en-US" w:eastAsia="zh-CN"/>
                    </w:rPr>
                    <w:t>固废处置</w:t>
                  </w:r>
                </w:p>
              </w:tc>
              <w:tc>
                <w:tcPr>
                  <w:tcW w:w="823" w:type="dxa"/>
                  <w:tcBorders>
                    <w:tl2br w:val="nil"/>
                    <w:tr2bl w:val="nil"/>
                  </w:tcBorders>
                  <w:shd w:val="clear" w:color="auto" w:fill="auto"/>
                  <w:vAlign w:val="center"/>
                </w:tcPr>
                <w:p w14:paraId="588693DA">
                  <w:pPr>
                    <w:pStyle w:val="37"/>
                    <w:bidi w:val="0"/>
                    <w:rPr>
                      <w:rFonts w:hint="eastAsia"/>
                      <w:color w:val="auto"/>
                    </w:rPr>
                  </w:pPr>
                </w:p>
              </w:tc>
              <w:tc>
                <w:tcPr>
                  <w:tcW w:w="903" w:type="dxa"/>
                  <w:tcBorders>
                    <w:tl2br w:val="nil"/>
                    <w:tr2bl w:val="nil"/>
                  </w:tcBorders>
                  <w:shd w:val="clear" w:color="auto" w:fill="auto"/>
                  <w:vAlign w:val="center"/>
                </w:tcPr>
                <w:p w14:paraId="51C5C9D4">
                  <w:pPr>
                    <w:pStyle w:val="37"/>
                    <w:bidi w:val="0"/>
                    <w:rPr>
                      <w:rFonts w:hint="eastAsia"/>
                      <w:color w:val="auto"/>
                    </w:rPr>
                  </w:pPr>
                </w:p>
              </w:tc>
              <w:tc>
                <w:tcPr>
                  <w:tcW w:w="849" w:type="dxa"/>
                  <w:tcBorders>
                    <w:tl2br w:val="nil"/>
                    <w:tr2bl w:val="nil"/>
                  </w:tcBorders>
                  <w:shd w:val="clear" w:color="auto" w:fill="auto"/>
                  <w:vAlign w:val="center"/>
                </w:tcPr>
                <w:p w14:paraId="02A7F38B">
                  <w:pPr>
                    <w:pStyle w:val="37"/>
                    <w:bidi w:val="0"/>
                    <w:rPr>
                      <w:rFonts w:hint="eastAsia"/>
                      <w:color w:val="auto"/>
                    </w:rPr>
                  </w:pPr>
                </w:p>
              </w:tc>
              <w:tc>
                <w:tcPr>
                  <w:tcW w:w="969" w:type="dxa"/>
                  <w:tcBorders>
                    <w:tl2br w:val="nil"/>
                    <w:tr2bl w:val="nil"/>
                  </w:tcBorders>
                  <w:shd w:val="clear" w:color="auto" w:fill="auto"/>
                  <w:vAlign w:val="center"/>
                </w:tcPr>
                <w:p w14:paraId="1AADAB51">
                  <w:pPr>
                    <w:pStyle w:val="37"/>
                    <w:bidi w:val="0"/>
                    <w:rPr>
                      <w:rFonts w:hint="default"/>
                      <w:color w:val="auto"/>
                    </w:rPr>
                  </w:pPr>
                  <w:r>
                    <w:rPr>
                      <w:rFonts w:hint="default"/>
                      <w:color w:val="auto"/>
                      <w:lang w:val="en-US" w:eastAsia="zh-CN"/>
                    </w:rPr>
                    <w:t>3</w:t>
                  </w:r>
                </w:p>
              </w:tc>
              <w:tc>
                <w:tcPr>
                  <w:tcW w:w="1168" w:type="dxa"/>
                  <w:tcBorders>
                    <w:tl2br w:val="nil"/>
                    <w:tr2bl w:val="nil"/>
                  </w:tcBorders>
                  <w:shd w:val="clear" w:color="auto" w:fill="auto"/>
                  <w:vAlign w:val="center"/>
                </w:tcPr>
                <w:p w14:paraId="4DEAB088">
                  <w:pPr>
                    <w:pStyle w:val="37"/>
                    <w:bidi w:val="0"/>
                    <w:rPr>
                      <w:rFonts w:hint="eastAsia"/>
                      <w:color w:val="auto"/>
                    </w:rPr>
                  </w:pPr>
                </w:p>
              </w:tc>
            </w:tr>
            <w:tr w14:paraId="0ACF18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0" w:type="dxa"/>
                  <w:tcBorders>
                    <w:tl2br w:val="nil"/>
                    <w:tr2bl w:val="nil"/>
                  </w:tcBorders>
                  <w:shd w:val="clear" w:color="auto" w:fill="auto"/>
                  <w:vAlign w:val="center"/>
                </w:tcPr>
                <w:p w14:paraId="0E8878DF">
                  <w:pPr>
                    <w:pStyle w:val="37"/>
                    <w:bidi w:val="0"/>
                    <w:rPr>
                      <w:rFonts w:hint="default"/>
                      <w:color w:val="auto"/>
                    </w:rPr>
                  </w:pPr>
                  <w:r>
                    <w:rPr>
                      <w:rFonts w:hint="default"/>
                      <w:color w:val="auto"/>
                      <w:lang w:val="en-US" w:eastAsia="zh-CN"/>
                    </w:rPr>
                    <w:t>1</w:t>
                  </w:r>
                </w:p>
              </w:tc>
              <w:tc>
                <w:tcPr>
                  <w:tcW w:w="810" w:type="dxa"/>
                  <w:vMerge w:val="restart"/>
                  <w:tcBorders>
                    <w:tl2br w:val="nil"/>
                    <w:tr2bl w:val="nil"/>
                  </w:tcBorders>
                  <w:shd w:val="clear" w:color="auto" w:fill="auto"/>
                  <w:vAlign w:val="center"/>
                </w:tcPr>
                <w:p w14:paraId="3DB6CAE9">
                  <w:pPr>
                    <w:pStyle w:val="37"/>
                    <w:bidi w:val="0"/>
                    <w:rPr>
                      <w:rFonts w:hint="eastAsia"/>
                      <w:color w:val="auto"/>
                    </w:rPr>
                  </w:pPr>
                  <w:r>
                    <w:rPr>
                      <w:rFonts w:hint="eastAsia"/>
                      <w:color w:val="auto"/>
                      <w:lang w:val="en-US" w:eastAsia="zh-CN"/>
                    </w:rPr>
                    <w:t>施工期</w:t>
                  </w:r>
                </w:p>
              </w:tc>
              <w:tc>
                <w:tcPr>
                  <w:tcW w:w="1075" w:type="dxa"/>
                  <w:tcBorders>
                    <w:tl2br w:val="nil"/>
                    <w:tr2bl w:val="nil"/>
                  </w:tcBorders>
                  <w:shd w:val="clear" w:color="auto" w:fill="auto"/>
                  <w:vAlign w:val="center"/>
                </w:tcPr>
                <w:p w14:paraId="3FBE17F6">
                  <w:pPr>
                    <w:pStyle w:val="37"/>
                    <w:bidi w:val="0"/>
                    <w:rPr>
                      <w:rFonts w:hint="eastAsia"/>
                      <w:color w:val="auto"/>
                    </w:rPr>
                  </w:pPr>
                  <w:r>
                    <w:rPr>
                      <w:rFonts w:hint="eastAsia"/>
                      <w:color w:val="auto"/>
                      <w:lang w:val="en-US" w:eastAsia="zh-CN"/>
                    </w:rPr>
                    <w:t>垃圾收集桶</w:t>
                  </w:r>
                </w:p>
              </w:tc>
              <w:tc>
                <w:tcPr>
                  <w:tcW w:w="823" w:type="dxa"/>
                  <w:tcBorders>
                    <w:tl2br w:val="nil"/>
                    <w:tr2bl w:val="nil"/>
                  </w:tcBorders>
                  <w:shd w:val="clear" w:color="auto" w:fill="auto"/>
                  <w:vAlign w:val="center"/>
                </w:tcPr>
                <w:p w14:paraId="688D5272">
                  <w:pPr>
                    <w:pStyle w:val="37"/>
                    <w:bidi w:val="0"/>
                    <w:rPr>
                      <w:rFonts w:hint="eastAsia"/>
                      <w:color w:val="auto"/>
                    </w:rPr>
                  </w:pPr>
                  <w:r>
                    <w:rPr>
                      <w:rFonts w:hint="eastAsia"/>
                      <w:color w:val="auto"/>
                      <w:lang w:val="en-US" w:eastAsia="zh-CN"/>
                    </w:rPr>
                    <w:t>个</w:t>
                  </w:r>
                </w:p>
              </w:tc>
              <w:tc>
                <w:tcPr>
                  <w:tcW w:w="903" w:type="dxa"/>
                  <w:tcBorders>
                    <w:tl2br w:val="nil"/>
                    <w:tr2bl w:val="nil"/>
                  </w:tcBorders>
                  <w:shd w:val="clear" w:color="auto" w:fill="auto"/>
                  <w:vAlign w:val="center"/>
                </w:tcPr>
                <w:p w14:paraId="47EC0FAD">
                  <w:pPr>
                    <w:pStyle w:val="37"/>
                    <w:bidi w:val="0"/>
                    <w:rPr>
                      <w:rFonts w:hint="default"/>
                      <w:color w:val="auto"/>
                    </w:rPr>
                  </w:pPr>
                  <w:r>
                    <w:rPr>
                      <w:rFonts w:hint="default"/>
                      <w:color w:val="auto"/>
                      <w:lang w:val="en-US" w:eastAsia="zh-CN"/>
                    </w:rPr>
                    <w:t>12</w:t>
                  </w:r>
                </w:p>
              </w:tc>
              <w:tc>
                <w:tcPr>
                  <w:tcW w:w="849" w:type="dxa"/>
                  <w:tcBorders>
                    <w:tl2br w:val="nil"/>
                    <w:tr2bl w:val="nil"/>
                  </w:tcBorders>
                  <w:shd w:val="clear" w:color="auto" w:fill="auto"/>
                  <w:vAlign w:val="center"/>
                </w:tcPr>
                <w:p w14:paraId="63C95101">
                  <w:pPr>
                    <w:pStyle w:val="37"/>
                    <w:bidi w:val="0"/>
                    <w:rPr>
                      <w:rFonts w:hint="default"/>
                      <w:color w:val="auto"/>
                    </w:rPr>
                  </w:pPr>
                  <w:r>
                    <w:rPr>
                      <w:rFonts w:hint="default"/>
                      <w:color w:val="auto"/>
                      <w:lang w:val="en-US" w:eastAsia="zh-CN"/>
                    </w:rPr>
                    <w:t>500</w:t>
                  </w:r>
                </w:p>
              </w:tc>
              <w:tc>
                <w:tcPr>
                  <w:tcW w:w="969" w:type="dxa"/>
                  <w:tcBorders>
                    <w:tl2br w:val="nil"/>
                    <w:tr2bl w:val="nil"/>
                  </w:tcBorders>
                  <w:shd w:val="clear" w:color="auto" w:fill="auto"/>
                  <w:vAlign w:val="center"/>
                </w:tcPr>
                <w:p w14:paraId="08605476">
                  <w:pPr>
                    <w:pStyle w:val="37"/>
                    <w:bidi w:val="0"/>
                    <w:rPr>
                      <w:rFonts w:hint="default"/>
                      <w:color w:val="auto"/>
                    </w:rPr>
                  </w:pPr>
                  <w:r>
                    <w:rPr>
                      <w:rFonts w:hint="default"/>
                      <w:color w:val="auto"/>
                      <w:lang w:val="en-US" w:eastAsia="zh-CN"/>
                    </w:rPr>
                    <w:t>0.6</w:t>
                  </w:r>
                </w:p>
              </w:tc>
              <w:tc>
                <w:tcPr>
                  <w:tcW w:w="1168" w:type="dxa"/>
                  <w:tcBorders>
                    <w:tl2br w:val="nil"/>
                    <w:tr2bl w:val="nil"/>
                  </w:tcBorders>
                  <w:shd w:val="clear" w:color="auto" w:fill="auto"/>
                  <w:vAlign w:val="center"/>
                </w:tcPr>
                <w:p w14:paraId="73FA7C41">
                  <w:pPr>
                    <w:pStyle w:val="37"/>
                    <w:bidi w:val="0"/>
                    <w:rPr>
                      <w:rFonts w:hint="eastAsia"/>
                      <w:color w:val="auto"/>
                    </w:rPr>
                  </w:pPr>
                </w:p>
              </w:tc>
            </w:tr>
            <w:tr w14:paraId="00CD443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1305" w:hRule="atLeast"/>
              </w:trPr>
              <w:tc>
                <w:tcPr>
                  <w:tcW w:w="770" w:type="dxa"/>
                  <w:tcBorders>
                    <w:tl2br w:val="nil"/>
                    <w:tr2bl w:val="nil"/>
                  </w:tcBorders>
                  <w:shd w:val="clear" w:color="auto" w:fill="auto"/>
                  <w:vAlign w:val="center"/>
                </w:tcPr>
                <w:p w14:paraId="66733A5A">
                  <w:pPr>
                    <w:pStyle w:val="37"/>
                    <w:bidi w:val="0"/>
                    <w:rPr>
                      <w:rFonts w:hint="default"/>
                      <w:color w:val="auto"/>
                    </w:rPr>
                  </w:pPr>
                  <w:r>
                    <w:rPr>
                      <w:rFonts w:hint="default"/>
                      <w:color w:val="auto"/>
                      <w:lang w:val="en-US" w:eastAsia="zh-CN"/>
                    </w:rPr>
                    <w:t>2</w:t>
                  </w:r>
                </w:p>
              </w:tc>
              <w:tc>
                <w:tcPr>
                  <w:tcW w:w="810" w:type="dxa"/>
                  <w:vMerge w:val="continue"/>
                  <w:tcBorders>
                    <w:tl2br w:val="nil"/>
                    <w:tr2bl w:val="nil"/>
                  </w:tcBorders>
                  <w:shd w:val="clear" w:color="auto" w:fill="auto"/>
                  <w:vAlign w:val="center"/>
                </w:tcPr>
                <w:p w14:paraId="654717DC">
                  <w:pPr>
                    <w:pStyle w:val="37"/>
                    <w:bidi w:val="0"/>
                    <w:rPr>
                      <w:rFonts w:hint="eastAsia"/>
                      <w:color w:val="auto"/>
                    </w:rPr>
                  </w:pPr>
                </w:p>
              </w:tc>
              <w:tc>
                <w:tcPr>
                  <w:tcW w:w="1075" w:type="dxa"/>
                  <w:tcBorders>
                    <w:tl2br w:val="nil"/>
                    <w:tr2bl w:val="nil"/>
                  </w:tcBorders>
                  <w:shd w:val="clear" w:color="auto" w:fill="auto"/>
                  <w:vAlign w:val="center"/>
                </w:tcPr>
                <w:p w14:paraId="7D424D33">
                  <w:pPr>
                    <w:pStyle w:val="37"/>
                    <w:bidi w:val="0"/>
                    <w:rPr>
                      <w:rFonts w:hint="eastAsia"/>
                      <w:color w:val="auto"/>
                    </w:rPr>
                  </w:pPr>
                  <w:r>
                    <w:rPr>
                      <w:rFonts w:hint="eastAsia"/>
                      <w:color w:val="auto"/>
                      <w:lang w:val="en-US" w:eastAsia="zh-CN"/>
                    </w:rPr>
                    <w:t>清运费</w:t>
                  </w:r>
                </w:p>
              </w:tc>
              <w:tc>
                <w:tcPr>
                  <w:tcW w:w="823" w:type="dxa"/>
                  <w:tcBorders>
                    <w:tl2br w:val="nil"/>
                    <w:tr2bl w:val="nil"/>
                  </w:tcBorders>
                  <w:shd w:val="clear" w:color="auto" w:fill="auto"/>
                  <w:vAlign w:val="center"/>
                </w:tcPr>
                <w:p w14:paraId="711EDAF4">
                  <w:pPr>
                    <w:pStyle w:val="37"/>
                    <w:bidi w:val="0"/>
                    <w:rPr>
                      <w:rFonts w:hint="eastAsia"/>
                      <w:color w:val="auto"/>
                    </w:rPr>
                  </w:pPr>
                  <w:r>
                    <w:rPr>
                      <w:rFonts w:hint="eastAsia"/>
                      <w:color w:val="auto"/>
                      <w:lang w:val="en-US" w:eastAsia="zh-CN"/>
                    </w:rPr>
                    <w:t>月</w:t>
                  </w:r>
                </w:p>
              </w:tc>
              <w:tc>
                <w:tcPr>
                  <w:tcW w:w="903" w:type="dxa"/>
                  <w:tcBorders>
                    <w:tl2br w:val="nil"/>
                    <w:tr2bl w:val="nil"/>
                  </w:tcBorders>
                  <w:shd w:val="clear" w:color="auto" w:fill="auto"/>
                  <w:vAlign w:val="center"/>
                </w:tcPr>
                <w:p w14:paraId="713B7CB8">
                  <w:pPr>
                    <w:pStyle w:val="37"/>
                    <w:bidi w:val="0"/>
                    <w:rPr>
                      <w:rFonts w:hint="default"/>
                      <w:color w:val="auto"/>
                    </w:rPr>
                  </w:pPr>
                  <w:r>
                    <w:rPr>
                      <w:rFonts w:hint="default"/>
                      <w:color w:val="auto"/>
                      <w:lang w:val="en-US" w:eastAsia="zh-CN"/>
                    </w:rPr>
                    <w:t>12</w:t>
                  </w:r>
                </w:p>
              </w:tc>
              <w:tc>
                <w:tcPr>
                  <w:tcW w:w="849" w:type="dxa"/>
                  <w:tcBorders>
                    <w:tl2br w:val="nil"/>
                    <w:tr2bl w:val="nil"/>
                  </w:tcBorders>
                  <w:shd w:val="clear" w:color="auto" w:fill="auto"/>
                  <w:vAlign w:val="center"/>
                </w:tcPr>
                <w:p w14:paraId="1D4735A6">
                  <w:pPr>
                    <w:pStyle w:val="37"/>
                    <w:bidi w:val="0"/>
                    <w:rPr>
                      <w:rFonts w:hint="default"/>
                      <w:color w:val="auto"/>
                    </w:rPr>
                  </w:pPr>
                  <w:r>
                    <w:rPr>
                      <w:rFonts w:hint="default"/>
                      <w:color w:val="auto"/>
                      <w:lang w:val="en-US" w:eastAsia="zh-CN"/>
                    </w:rPr>
                    <w:t>2000</w:t>
                  </w:r>
                </w:p>
              </w:tc>
              <w:tc>
                <w:tcPr>
                  <w:tcW w:w="969" w:type="dxa"/>
                  <w:tcBorders>
                    <w:tl2br w:val="nil"/>
                    <w:tr2bl w:val="nil"/>
                  </w:tcBorders>
                  <w:shd w:val="clear" w:color="auto" w:fill="auto"/>
                  <w:vAlign w:val="center"/>
                </w:tcPr>
                <w:p w14:paraId="5C7936CA">
                  <w:pPr>
                    <w:pStyle w:val="37"/>
                    <w:bidi w:val="0"/>
                    <w:rPr>
                      <w:rFonts w:hint="default"/>
                      <w:color w:val="auto"/>
                    </w:rPr>
                  </w:pPr>
                  <w:r>
                    <w:rPr>
                      <w:rFonts w:hint="default"/>
                      <w:color w:val="auto"/>
                      <w:lang w:val="en-US" w:eastAsia="zh-CN"/>
                    </w:rPr>
                    <w:t>2.4</w:t>
                  </w:r>
                </w:p>
              </w:tc>
              <w:tc>
                <w:tcPr>
                  <w:tcW w:w="1168" w:type="dxa"/>
                  <w:tcBorders>
                    <w:tl2br w:val="nil"/>
                    <w:tr2bl w:val="nil"/>
                  </w:tcBorders>
                  <w:shd w:val="clear" w:color="auto" w:fill="auto"/>
                  <w:vAlign w:val="center"/>
                </w:tcPr>
                <w:p w14:paraId="36087E5F">
                  <w:pPr>
                    <w:pStyle w:val="37"/>
                    <w:bidi w:val="0"/>
                    <w:rPr>
                      <w:rFonts w:hint="eastAsia"/>
                      <w:color w:val="auto"/>
                    </w:rPr>
                  </w:pPr>
                  <w:r>
                    <w:rPr>
                      <w:rFonts w:hint="eastAsia"/>
                      <w:color w:val="auto"/>
                      <w:lang w:val="en-US" w:eastAsia="zh-CN"/>
                    </w:rPr>
                    <w:t>工程表土剥离与收集已列入水土保持投资</w:t>
                  </w:r>
                </w:p>
              </w:tc>
            </w:tr>
            <w:tr w14:paraId="6A4CC6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70" w:type="dxa"/>
                  <w:tcBorders>
                    <w:tl2br w:val="nil"/>
                    <w:tr2bl w:val="nil"/>
                  </w:tcBorders>
                  <w:shd w:val="clear" w:color="auto" w:fill="auto"/>
                  <w:vAlign w:val="center"/>
                </w:tcPr>
                <w:p w14:paraId="276B817E">
                  <w:pPr>
                    <w:pStyle w:val="37"/>
                    <w:bidi w:val="0"/>
                    <w:rPr>
                      <w:rFonts w:hint="eastAsia"/>
                      <w:color w:val="auto"/>
                    </w:rPr>
                  </w:pPr>
                  <w:r>
                    <w:rPr>
                      <w:rFonts w:hint="eastAsia"/>
                      <w:color w:val="auto"/>
                      <w:lang w:val="en-US" w:eastAsia="zh-CN"/>
                    </w:rPr>
                    <w:t>六</w:t>
                  </w:r>
                </w:p>
              </w:tc>
              <w:tc>
                <w:tcPr>
                  <w:tcW w:w="1885" w:type="dxa"/>
                  <w:gridSpan w:val="2"/>
                  <w:tcBorders>
                    <w:tl2br w:val="nil"/>
                    <w:tr2bl w:val="nil"/>
                  </w:tcBorders>
                  <w:shd w:val="clear" w:color="auto" w:fill="auto"/>
                  <w:vAlign w:val="center"/>
                </w:tcPr>
                <w:p w14:paraId="3F56381B">
                  <w:pPr>
                    <w:pStyle w:val="37"/>
                    <w:bidi w:val="0"/>
                    <w:rPr>
                      <w:rFonts w:hint="eastAsia"/>
                      <w:color w:val="auto"/>
                    </w:rPr>
                  </w:pPr>
                  <w:r>
                    <w:rPr>
                      <w:rFonts w:hint="eastAsia"/>
                      <w:color w:val="auto"/>
                      <w:lang w:val="en-US" w:eastAsia="zh-CN"/>
                    </w:rPr>
                    <w:t>环境监测费</w:t>
                  </w:r>
                </w:p>
              </w:tc>
              <w:tc>
                <w:tcPr>
                  <w:tcW w:w="823" w:type="dxa"/>
                  <w:tcBorders>
                    <w:tl2br w:val="nil"/>
                    <w:tr2bl w:val="nil"/>
                  </w:tcBorders>
                  <w:shd w:val="clear" w:color="auto" w:fill="auto"/>
                  <w:vAlign w:val="center"/>
                </w:tcPr>
                <w:p w14:paraId="31BEF39F">
                  <w:pPr>
                    <w:pStyle w:val="37"/>
                    <w:bidi w:val="0"/>
                    <w:rPr>
                      <w:rFonts w:hint="eastAsia"/>
                      <w:color w:val="auto"/>
                    </w:rPr>
                  </w:pPr>
                </w:p>
              </w:tc>
              <w:tc>
                <w:tcPr>
                  <w:tcW w:w="903" w:type="dxa"/>
                  <w:tcBorders>
                    <w:tl2br w:val="nil"/>
                    <w:tr2bl w:val="nil"/>
                  </w:tcBorders>
                  <w:shd w:val="clear" w:color="auto" w:fill="auto"/>
                  <w:vAlign w:val="center"/>
                </w:tcPr>
                <w:p w14:paraId="5114A5D2">
                  <w:pPr>
                    <w:pStyle w:val="37"/>
                    <w:bidi w:val="0"/>
                    <w:rPr>
                      <w:rFonts w:hint="eastAsia"/>
                      <w:color w:val="auto"/>
                    </w:rPr>
                  </w:pPr>
                </w:p>
              </w:tc>
              <w:tc>
                <w:tcPr>
                  <w:tcW w:w="849" w:type="dxa"/>
                  <w:tcBorders>
                    <w:tl2br w:val="nil"/>
                    <w:tr2bl w:val="nil"/>
                  </w:tcBorders>
                  <w:shd w:val="clear" w:color="auto" w:fill="auto"/>
                  <w:vAlign w:val="center"/>
                </w:tcPr>
                <w:p w14:paraId="316C9288">
                  <w:pPr>
                    <w:pStyle w:val="37"/>
                    <w:bidi w:val="0"/>
                    <w:rPr>
                      <w:rFonts w:hint="eastAsia"/>
                      <w:color w:val="auto"/>
                    </w:rPr>
                  </w:pPr>
                </w:p>
              </w:tc>
              <w:tc>
                <w:tcPr>
                  <w:tcW w:w="969" w:type="dxa"/>
                  <w:tcBorders>
                    <w:tl2br w:val="nil"/>
                    <w:tr2bl w:val="nil"/>
                  </w:tcBorders>
                  <w:shd w:val="clear" w:color="auto" w:fill="auto"/>
                  <w:vAlign w:val="center"/>
                </w:tcPr>
                <w:p w14:paraId="57517007">
                  <w:pPr>
                    <w:pStyle w:val="37"/>
                    <w:bidi w:val="0"/>
                    <w:rPr>
                      <w:rFonts w:hint="default"/>
                      <w:color w:val="auto"/>
                    </w:rPr>
                  </w:pPr>
                  <w:r>
                    <w:rPr>
                      <w:rFonts w:hint="default"/>
                      <w:color w:val="auto"/>
                      <w:lang w:val="en-US" w:eastAsia="zh-CN"/>
                    </w:rPr>
                    <w:t>43</w:t>
                  </w:r>
                </w:p>
              </w:tc>
              <w:tc>
                <w:tcPr>
                  <w:tcW w:w="1168" w:type="dxa"/>
                  <w:tcBorders>
                    <w:tl2br w:val="nil"/>
                    <w:tr2bl w:val="nil"/>
                  </w:tcBorders>
                  <w:shd w:val="clear" w:color="auto" w:fill="auto"/>
                  <w:vAlign w:val="center"/>
                </w:tcPr>
                <w:p w14:paraId="623A143B">
                  <w:pPr>
                    <w:pStyle w:val="37"/>
                    <w:bidi w:val="0"/>
                    <w:rPr>
                      <w:rFonts w:hint="eastAsia"/>
                      <w:color w:val="auto"/>
                    </w:rPr>
                  </w:pPr>
                </w:p>
              </w:tc>
            </w:tr>
            <w:tr w14:paraId="5B5A415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70" w:type="dxa"/>
                  <w:tcBorders>
                    <w:tl2br w:val="nil"/>
                    <w:tr2bl w:val="nil"/>
                  </w:tcBorders>
                  <w:shd w:val="clear" w:color="auto" w:fill="auto"/>
                  <w:vAlign w:val="center"/>
                </w:tcPr>
                <w:p w14:paraId="0F2E8176">
                  <w:pPr>
                    <w:pStyle w:val="37"/>
                    <w:bidi w:val="0"/>
                    <w:rPr>
                      <w:rFonts w:hint="default"/>
                      <w:color w:val="auto"/>
                    </w:rPr>
                  </w:pPr>
                  <w:r>
                    <w:rPr>
                      <w:rFonts w:hint="default"/>
                      <w:color w:val="auto"/>
                      <w:lang w:val="en-US" w:eastAsia="zh-CN"/>
                    </w:rPr>
                    <w:t>1</w:t>
                  </w:r>
                </w:p>
              </w:tc>
              <w:tc>
                <w:tcPr>
                  <w:tcW w:w="1885" w:type="dxa"/>
                  <w:gridSpan w:val="2"/>
                  <w:tcBorders>
                    <w:tl2br w:val="nil"/>
                    <w:tr2bl w:val="nil"/>
                  </w:tcBorders>
                  <w:shd w:val="clear" w:color="auto" w:fill="auto"/>
                  <w:vAlign w:val="center"/>
                </w:tcPr>
                <w:p w14:paraId="51A186F1">
                  <w:pPr>
                    <w:pStyle w:val="37"/>
                    <w:bidi w:val="0"/>
                    <w:rPr>
                      <w:rFonts w:hint="default"/>
                      <w:color w:val="auto"/>
                    </w:rPr>
                  </w:pPr>
                  <w:r>
                    <w:rPr>
                      <w:rFonts w:hint="eastAsia"/>
                      <w:color w:val="auto"/>
                      <w:lang w:val="en-US" w:eastAsia="zh-CN"/>
                    </w:rPr>
                    <w:t>鸟类监测（连续监测</w:t>
                  </w:r>
                  <w:r>
                    <w:rPr>
                      <w:rFonts w:hint="default"/>
                      <w:color w:val="auto"/>
                      <w:lang w:val="en-US" w:eastAsia="zh-CN"/>
                    </w:rPr>
                    <w:t>3</w:t>
                  </w:r>
                  <w:r>
                    <w:rPr>
                      <w:rFonts w:hint="eastAsia"/>
                      <w:color w:val="auto"/>
                      <w:lang w:val="en-US" w:eastAsia="zh-CN"/>
                    </w:rPr>
                    <w:t>年）</w:t>
                  </w:r>
                </w:p>
              </w:tc>
              <w:tc>
                <w:tcPr>
                  <w:tcW w:w="823" w:type="dxa"/>
                  <w:tcBorders>
                    <w:tl2br w:val="nil"/>
                    <w:tr2bl w:val="nil"/>
                  </w:tcBorders>
                  <w:shd w:val="clear" w:color="auto" w:fill="auto"/>
                  <w:vAlign w:val="center"/>
                </w:tcPr>
                <w:p w14:paraId="29896CE0">
                  <w:pPr>
                    <w:pStyle w:val="37"/>
                    <w:bidi w:val="0"/>
                    <w:rPr>
                      <w:rFonts w:hint="eastAsia"/>
                      <w:color w:val="auto"/>
                    </w:rPr>
                  </w:pPr>
                  <w:r>
                    <w:rPr>
                      <w:rFonts w:hint="eastAsia"/>
                      <w:color w:val="auto"/>
                      <w:lang w:val="en-US" w:eastAsia="zh-CN"/>
                    </w:rPr>
                    <w:t>项</w:t>
                  </w:r>
                </w:p>
              </w:tc>
              <w:tc>
                <w:tcPr>
                  <w:tcW w:w="903" w:type="dxa"/>
                  <w:tcBorders>
                    <w:tl2br w:val="nil"/>
                    <w:tr2bl w:val="nil"/>
                  </w:tcBorders>
                  <w:shd w:val="clear" w:color="auto" w:fill="auto"/>
                  <w:vAlign w:val="center"/>
                </w:tcPr>
                <w:p w14:paraId="42DFCFF2">
                  <w:pPr>
                    <w:pStyle w:val="37"/>
                    <w:bidi w:val="0"/>
                    <w:rPr>
                      <w:rFonts w:hint="default"/>
                      <w:color w:val="auto"/>
                    </w:rPr>
                  </w:pPr>
                  <w:r>
                    <w:rPr>
                      <w:rFonts w:hint="default"/>
                      <w:color w:val="auto"/>
                      <w:lang w:val="en-US" w:eastAsia="zh-CN"/>
                    </w:rPr>
                    <w:t>8</w:t>
                  </w:r>
                </w:p>
              </w:tc>
              <w:tc>
                <w:tcPr>
                  <w:tcW w:w="849" w:type="dxa"/>
                  <w:tcBorders>
                    <w:tl2br w:val="nil"/>
                    <w:tr2bl w:val="nil"/>
                  </w:tcBorders>
                  <w:shd w:val="clear" w:color="auto" w:fill="auto"/>
                  <w:vAlign w:val="center"/>
                </w:tcPr>
                <w:p w14:paraId="32848673">
                  <w:pPr>
                    <w:pStyle w:val="37"/>
                    <w:bidi w:val="0"/>
                    <w:rPr>
                      <w:rFonts w:hint="default"/>
                      <w:color w:val="auto"/>
                    </w:rPr>
                  </w:pPr>
                  <w:r>
                    <w:rPr>
                      <w:rFonts w:hint="default"/>
                      <w:color w:val="auto"/>
                      <w:lang w:val="en-US" w:eastAsia="zh-CN"/>
                    </w:rPr>
                    <w:t>50000</w:t>
                  </w:r>
                </w:p>
              </w:tc>
              <w:tc>
                <w:tcPr>
                  <w:tcW w:w="969" w:type="dxa"/>
                  <w:tcBorders>
                    <w:tl2br w:val="nil"/>
                    <w:tr2bl w:val="nil"/>
                  </w:tcBorders>
                  <w:shd w:val="clear" w:color="auto" w:fill="auto"/>
                  <w:noWrap/>
                  <w:vAlign w:val="center"/>
                </w:tcPr>
                <w:p w14:paraId="67C716CF">
                  <w:pPr>
                    <w:pStyle w:val="37"/>
                    <w:bidi w:val="0"/>
                    <w:rPr>
                      <w:rFonts w:hint="default"/>
                      <w:color w:val="auto"/>
                    </w:rPr>
                  </w:pPr>
                  <w:r>
                    <w:rPr>
                      <w:rFonts w:hint="default"/>
                      <w:color w:val="auto"/>
                      <w:lang w:val="en-US" w:eastAsia="zh-CN"/>
                    </w:rPr>
                    <w:t>40</w:t>
                  </w:r>
                </w:p>
              </w:tc>
              <w:tc>
                <w:tcPr>
                  <w:tcW w:w="1168" w:type="dxa"/>
                  <w:tcBorders>
                    <w:tl2br w:val="nil"/>
                    <w:tr2bl w:val="nil"/>
                  </w:tcBorders>
                  <w:shd w:val="clear" w:color="auto" w:fill="auto"/>
                  <w:vAlign w:val="center"/>
                </w:tcPr>
                <w:p w14:paraId="73170CE4">
                  <w:pPr>
                    <w:pStyle w:val="37"/>
                    <w:bidi w:val="0"/>
                    <w:rPr>
                      <w:rFonts w:hint="eastAsia"/>
                      <w:color w:val="auto"/>
                    </w:rPr>
                  </w:pPr>
                </w:p>
              </w:tc>
            </w:tr>
            <w:tr w14:paraId="00C34B1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25" w:hRule="atLeast"/>
              </w:trPr>
              <w:tc>
                <w:tcPr>
                  <w:tcW w:w="770" w:type="dxa"/>
                  <w:tcBorders>
                    <w:tl2br w:val="nil"/>
                    <w:tr2bl w:val="nil"/>
                  </w:tcBorders>
                  <w:shd w:val="clear" w:color="auto" w:fill="auto"/>
                  <w:vAlign w:val="center"/>
                </w:tcPr>
                <w:p w14:paraId="3297F3A1">
                  <w:pPr>
                    <w:pStyle w:val="37"/>
                    <w:bidi w:val="0"/>
                    <w:rPr>
                      <w:rFonts w:hint="default"/>
                      <w:color w:val="auto"/>
                    </w:rPr>
                  </w:pPr>
                  <w:r>
                    <w:rPr>
                      <w:rFonts w:hint="default"/>
                      <w:color w:val="auto"/>
                      <w:lang w:val="en-US" w:eastAsia="zh-CN"/>
                    </w:rPr>
                    <w:t>2</w:t>
                  </w:r>
                </w:p>
              </w:tc>
              <w:tc>
                <w:tcPr>
                  <w:tcW w:w="1885" w:type="dxa"/>
                  <w:gridSpan w:val="2"/>
                  <w:tcBorders>
                    <w:tl2br w:val="nil"/>
                    <w:tr2bl w:val="nil"/>
                  </w:tcBorders>
                  <w:shd w:val="clear" w:color="auto" w:fill="auto"/>
                  <w:vAlign w:val="center"/>
                </w:tcPr>
                <w:p w14:paraId="1E12CDA2">
                  <w:pPr>
                    <w:pStyle w:val="37"/>
                    <w:bidi w:val="0"/>
                    <w:rPr>
                      <w:rFonts w:hint="eastAsia"/>
                      <w:color w:val="auto"/>
                    </w:rPr>
                  </w:pPr>
                  <w:r>
                    <w:rPr>
                      <w:rFonts w:hint="eastAsia"/>
                      <w:color w:val="auto"/>
                      <w:lang w:val="en-US" w:eastAsia="zh-CN"/>
                    </w:rPr>
                    <w:t>噪声跟踪监测（长期，一年一次）</w:t>
                  </w:r>
                </w:p>
              </w:tc>
              <w:tc>
                <w:tcPr>
                  <w:tcW w:w="823" w:type="dxa"/>
                  <w:tcBorders>
                    <w:tl2br w:val="nil"/>
                    <w:tr2bl w:val="nil"/>
                  </w:tcBorders>
                  <w:shd w:val="clear" w:color="auto" w:fill="auto"/>
                  <w:vAlign w:val="center"/>
                </w:tcPr>
                <w:p w14:paraId="2CB28A52">
                  <w:pPr>
                    <w:pStyle w:val="37"/>
                    <w:bidi w:val="0"/>
                    <w:rPr>
                      <w:rFonts w:hint="eastAsia"/>
                      <w:color w:val="auto"/>
                    </w:rPr>
                  </w:pPr>
                  <w:r>
                    <w:rPr>
                      <w:rFonts w:hint="eastAsia"/>
                      <w:color w:val="auto"/>
                      <w:lang w:val="en-US" w:eastAsia="zh-CN"/>
                    </w:rPr>
                    <w:t>项</w:t>
                  </w:r>
                </w:p>
              </w:tc>
              <w:tc>
                <w:tcPr>
                  <w:tcW w:w="903" w:type="dxa"/>
                  <w:tcBorders>
                    <w:tl2br w:val="nil"/>
                    <w:tr2bl w:val="nil"/>
                  </w:tcBorders>
                  <w:shd w:val="clear" w:color="auto" w:fill="auto"/>
                  <w:vAlign w:val="center"/>
                </w:tcPr>
                <w:p w14:paraId="073BA184">
                  <w:pPr>
                    <w:pStyle w:val="37"/>
                    <w:bidi w:val="0"/>
                    <w:rPr>
                      <w:rFonts w:hint="default"/>
                      <w:color w:val="auto"/>
                    </w:rPr>
                  </w:pPr>
                  <w:r>
                    <w:rPr>
                      <w:rFonts w:hint="default"/>
                      <w:color w:val="auto"/>
                      <w:lang w:val="en-US" w:eastAsia="zh-CN"/>
                    </w:rPr>
                    <w:t>1</w:t>
                  </w:r>
                </w:p>
              </w:tc>
              <w:tc>
                <w:tcPr>
                  <w:tcW w:w="849" w:type="dxa"/>
                  <w:tcBorders>
                    <w:tl2br w:val="nil"/>
                    <w:tr2bl w:val="nil"/>
                  </w:tcBorders>
                  <w:shd w:val="clear" w:color="auto" w:fill="auto"/>
                  <w:vAlign w:val="center"/>
                </w:tcPr>
                <w:p w14:paraId="45C94048">
                  <w:pPr>
                    <w:pStyle w:val="37"/>
                    <w:bidi w:val="0"/>
                    <w:rPr>
                      <w:rFonts w:hint="default"/>
                      <w:color w:val="auto"/>
                    </w:rPr>
                  </w:pPr>
                  <w:r>
                    <w:rPr>
                      <w:rFonts w:hint="default"/>
                      <w:color w:val="auto"/>
                      <w:lang w:val="en-US" w:eastAsia="zh-CN"/>
                    </w:rPr>
                    <w:t>20000</w:t>
                  </w:r>
                </w:p>
              </w:tc>
              <w:tc>
                <w:tcPr>
                  <w:tcW w:w="969" w:type="dxa"/>
                  <w:tcBorders>
                    <w:tl2br w:val="nil"/>
                    <w:tr2bl w:val="nil"/>
                  </w:tcBorders>
                  <w:shd w:val="clear" w:color="auto" w:fill="auto"/>
                  <w:noWrap/>
                  <w:vAlign w:val="center"/>
                </w:tcPr>
                <w:p w14:paraId="05AED403">
                  <w:pPr>
                    <w:pStyle w:val="37"/>
                    <w:bidi w:val="0"/>
                    <w:rPr>
                      <w:rFonts w:hint="default"/>
                      <w:color w:val="auto"/>
                    </w:rPr>
                  </w:pPr>
                  <w:r>
                    <w:rPr>
                      <w:rFonts w:hint="default"/>
                      <w:color w:val="auto"/>
                      <w:lang w:val="en-US" w:eastAsia="zh-CN"/>
                    </w:rPr>
                    <w:t>2</w:t>
                  </w:r>
                </w:p>
              </w:tc>
              <w:tc>
                <w:tcPr>
                  <w:tcW w:w="1168" w:type="dxa"/>
                  <w:tcBorders>
                    <w:tl2br w:val="nil"/>
                    <w:tr2bl w:val="nil"/>
                  </w:tcBorders>
                  <w:shd w:val="clear" w:color="auto" w:fill="auto"/>
                  <w:vAlign w:val="center"/>
                </w:tcPr>
                <w:p w14:paraId="2CA38CE9">
                  <w:pPr>
                    <w:pStyle w:val="37"/>
                    <w:bidi w:val="0"/>
                    <w:rPr>
                      <w:rFonts w:hint="eastAsia"/>
                      <w:color w:val="auto"/>
                    </w:rPr>
                  </w:pPr>
                </w:p>
              </w:tc>
            </w:tr>
            <w:tr w14:paraId="2830F23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770" w:type="dxa"/>
                  <w:tcBorders>
                    <w:tl2br w:val="nil"/>
                    <w:tr2bl w:val="nil"/>
                  </w:tcBorders>
                  <w:shd w:val="clear" w:color="auto" w:fill="auto"/>
                  <w:vAlign w:val="center"/>
                </w:tcPr>
                <w:p w14:paraId="211BBC2D">
                  <w:pPr>
                    <w:pStyle w:val="37"/>
                    <w:bidi w:val="0"/>
                    <w:rPr>
                      <w:rFonts w:hint="default"/>
                      <w:color w:val="auto"/>
                    </w:rPr>
                  </w:pPr>
                  <w:r>
                    <w:rPr>
                      <w:rFonts w:hint="default"/>
                      <w:color w:val="auto"/>
                      <w:lang w:val="en-US" w:eastAsia="zh-CN"/>
                    </w:rPr>
                    <w:t>3</w:t>
                  </w:r>
                </w:p>
              </w:tc>
              <w:tc>
                <w:tcPr>
                  <w:tcW w:w="1885" w:type="dxa"/>
                  <w:gridSpan w:val="2"/>
                  <w:tcBorders>
                    <w:tl2br w:val="nil"/>
                    <w:tr2bl w:val="nil"/>
                  </w:tcBorders>
                  <w:shd w:val="clear" w:color="auto" w:fill="auto"/>
                  <w:vAlign w:val="center"/>
                </w:tcPr>
                <w:p w14:paraId="1413AFCE">
                  <w:pPr>
                    <w:pStyle w:val="37"/>
                    <w:bidi w:val="0"/>
                    <w:rPr>
                      <w:rFonts w:hint="eastAsia"/>
                      <w:color w:val="auto"/>
                    </w:rPr>
                  </w:pPr>
                  <w:r>
                    <w:rPr>
                      <w:rFonts w:hint="eastAsia"/>
                      <w:color w:val="auto"/>
                      <w:lang w:val="en-US" w:eastAsia="zh-CN"/>
                    </w:rPr>
                    <w:t>电磁环境监测</w:t>
                  </w:r>
                </w:p>
              </w:tc>
              <w:tc>
                <w:tcPr>
                  <w:tcW w:w="823" w:type="dxa"/>
                  <w:tcBorders>
                    <w:tl2br w:val="nil"/>
                    <w:tr2bl w:val="nil"/>
                  </w:tcBorders>
                  <w:shd w:val="clear" w:color="auto" w:fill="auto"/>
                  <w:vAlign w:val="center"/>
                </w:tcPr>
                <w:p w14:paraId="60CEE841">
                  <w:pPr>
                    <w:pStyle w:val="37"/>
                    <w:bidi w:val="0"/>
                    <w:rPr>
                      <w:rFonts w:hint="eastAsia"/>
                      <w:color w:val="auto"/>
                    </w:rPr>
                  </w:pPr>
                  <w:r>
                    <w:rPr>
                      <w:rFonts w:hint="eastAsia"/>
                      <w:color w:val="auto"/>
                      <w:lang w:val="en-US" w:eastAsia="zh-CN"/>
                    </w:rPr>
                    <w:t>项</w:t>
                  </w:r>
                </w:p>
              </w:tc>
              <w:tc>
                <w:tcPr>
                  <w:tcW w:w="903" w:type="dxa"/>
                  <w:tcBorders>
                    <w:tl2br w:val="nil"/>
                    <w:tr2bl w:val="nil"/>
                  </w:tcBorders>
                  <w:shd w:val="clear" w:color="auto" w:fill="auto"/>
                  <w:vAlign w:val="center"/>
                </w:tcPr>
                <w:p w14:paraId="41A2F1B6">
                  <w:pPr>
                    <w:pStyle w:val="37"/>
                    <w:bidi w:val="0"/>
                    <w:rPr>
                      <w:rFonts w:hint="default"/>
                      <w:color w:val="auto"/>
                    </w:rPr>
                  </w:pPr>
                  <w:r>
                    <w:rPr>
                      <w:rFonts w:hint="default"/>
                      <w:color w:val="auto"/>
                      <w:lang w:val="en-US" w:eastAsia="zh-CN"/>
                    </w:rPr>
                    <w:t>1</w:t>
                  </w:r>
                </w:p>
              </w:tc>
              <w:tc>
                <w:tcPr>
                  <w:tcW w:w="849" w:type="dxa"/>
                  <w:tcBorders>
                    <w:tl2br w:val="nil"/>
                    <w:tr2bl w:val="nil"/>
                  </w:tcBorders>
                  <w:shd w:val="clear" w:color="auto" w:fill="auto"/>
                  <w:vAlign w:val="center"/>
                </w:tcPr>
                <w:p w14:paraId="43DBF163">
                  <w:pPr>
                    <w:pStyle w:val="37"/>
                    <w:bidi w:val="0"/>
                    <w:rPr>
                      <w:rFonts w:hint="default"/>
                      <w:color w:val="auto"/>
                    </w:rPr>
                  </w:pPr>
                  <w:r>
                    <w:rPr>
                      <w:rFonts w:hint="default"/>
                      <w:color w:val="auto"/>
                      <w:lang w:val="en-US" w:eastAsia="zh-CN"/>
                    </w:rPr>
                    <w:t>10000</w:t>
                  </w:r>
                </w:p>
              </w:tc>
              <w:tc>
                <w:tcPr>
                  <w:tcW w:w="969" w:type="dxa"/>
                  <w:tcBorders>
                    <w:tl2br w:val="nil"/>
                    <w:tr2bl w:val="nil"/>
                  </w:tcBorders>
                  <w:shd w:val="clear" w:color="auto" w:fill="auto"/>
                  <w:noWrap/>
                  <w:vAlign w:val="center"/>
                </w:tcPr>
                <w:p w14:paraId="140B685C">
                  <w:pPr>
                    <w:pStyle w:val="37"/>
                    <w:bidi w:val="0"/>
                    <w:rPr>
                      <w:rFonts w:hint="default"/>
                      <w:color w:val="auto"/>
                    </w:rPr>
                  </w:pPr>
                  <w:r>
                    <w:rPr>
                      <w:rFonts w:hint="default"/>
                      <w:color w:val="auto"/>
                      <w:lang w:val="en-US" w:eastAsia="zh-CN"/>
                    </w:rPr>
                    <w:t>1</w:t>
                  </w:r>
                </w:p>
              </w:tc>
              <w:tc>
                <w:tcPr>
                  <w:tcW w:w="1168" w:type="dxa"/>
                  <w:tcBorders>
                    <w:tl2br w:val="nil"/>
                    <w:tr2bl w:val="nil"/>
                  </w:tcBorders>
                  <w:shd w:val="clear" w:color="auto" w:fill="auto"/>
                  <w:vAlign w:val="center"/>
                </w:tcPr>
                <w:p w14:paraId="3A4B7636">
                  <w:pPr>
                    <w:pStyle w:val="37"/>
                    <w:bidi w:val="0"/>
                    <w:rPr>
                      <w:rFonts w:hint="eastAsia"/>
                      <w:color w:val="auto"/>
                    </w:rPr>
                  </w:pPr>
                </w:p>
              </w:tc>
            </w:tr>
            <w:tr w14:paraId="4979EFA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655" w:type="dxa"/>
                  <w:gridSpan w:val="3"/>
                  <w:tcBorders>
                    <w:tl2br w:val="nil"/>
                    <w:tr2bl w:val="nil"/>
                  </w:tcBorders>
                  <w:shd w:val="clear" w:color="auto" w:fill="auto"/>
                  <w:vAlign w:val="center"/>
                </w:tcPr>
                <w:p w14:paraId="4B048D25">
                  <w:pPr>
                    <w:pStyle w:val="37"/>
                    <w:bidi w:val="0"/>
                    <w:rPr>
                      <w:rFonts w:hint="eastAsia"/>
                      <w:color w:val="auto"/>
                    </w:rPr>
                  </w:pPr>
                  <w:r>
                    <w:rPr>
                      <w:rFonts w:hint="eastAsia"/>
                      <w:color w:val="auto"/>
                      <w:lang w:val="en-US" w:eastAsia="zh-CN"/>
                    </w:rPr>
                    <w:t>总计</w:t>
                  </w:r>
                </w:p>
              </w:tc>
              <w:tc>
                <w:tcPr>
                  <w:tcW w:w="823" w:type="dxa"/>
                  <w:tcBorders>
                    <w:tl2br w:val="nil"/>
                    <w:tr2bl w:val="nil"/>
                  </w:tcBorders>
                  <w:shd w:val="clear" w:color="auto" w:fill="auto"/>
                  <w:vAlign w:val="center"/>
                </w:tcPr>
                <w:p w14:paraId="0834246F">
                  <w:pPr>
                    <w:pStyle w:val="37"/>
                    <w:bidi w:val="0"/>
                    <w:rPr>
                      <w:rFonts w:hint="eastAsia"/>
                      <w:color w:val="auto"/>
                    </w:rPr>
                  </w:pPr>
                </w:p>
              </w:tc>
              <w:tc>
                <w:tcPr>
                  <w:tcW w:w="903" w:type="dxa"/>
                  <w:tcBorders>
                    <w:tl2br w:val="nil"/>
                    <w:tr2bl w:val="nil"/>
                  </w:tcBorders>
                  <w:shd w:val="clear" w:color="auto" w:fill="auto"/>
                  <w:vAlign w:val="center"/>
                </w:tcPr>
                <w:p w14:paraId="709DACC0">
                  <w:pPr>
                    <w:pStyle w:val="37"/>
                    <w:bidi w:val="0"/>
                    <w:rPr>
                      <w:rFonts w:hint="eastAsia"/>
                      <w:color w:val="auto"/>
                    </w:rPr>
                  </w:pPr>
                </w:p>
              </w:tc>
              <w:tc>
                <w:tcPr>
                  <w:tcW w:w="849" w:type="dxa"/>
                  <w:tcBorders>
                    <w:tl2br w:val="nil"/>
                    <w:tr2bl w:val="nil"/>
                  </w:tcBorders>
                  <w:shd w:val="clear" w:color="auto" w:fill="auto"/>
                  <w:vAlign w:val="center"/>
                </w:tcPr>
                <w:p w14:paraId="79EC9A0A">
                  <w:pPr>
                    <w:pStyle w:val="37"/>
                    <w:bidi w:val="0"/>
                    <w:rPr>
                      <w:rFonts w:hint="eastAsia"/>
                      <w:color w:val="auto"/>
                    </w:rPr>
                  </w:pPr>
                </w:p>
              </w:tc>
              <w:tc>
                <w:tcPr>
                  <w:tcW w:w="969" w:type="dxa"/>
                  <w:tcBorders>
                    <w:tl2br w:val="nil"/>
                    <w:tr2bl w:val="nil"/>
                  </w:tcBorders>
                  <w:shd w:val="clear" w:color="auto" w:fill="auto"/>
                  <w:vAlign w:val="center"/>
                </w:tcPr>
                <w:p w14:paraId="4E29BA1A">
                  <w:pPr>
                    <w:pStyle w:val="37"/>
                    <w:bidi w:val="0"/>
                    <w:rPr>
                      <w:rFonts w:hint="default"/>
                      <w:color w:val="auto"/>
                      <w:lang w:val="en-US"/>
                    </w:rPr>
                  </w:pPr>
                  <w:r>
                    <w:rPr>
                      <w:rFonts w:hint="eastAsia"/>
                      <w:color w:val="auto"/>
                      <w:lang w:val="en-US" w:eastAsia="zh-CN"/>
                    </w:rPr>
                    <w:t>114.52</w:t>
                  </w:r>
                </w:p>
              </w:tc>
              <w:tc>
                <w:tcPr>
                  <w:tcW w:w="1168" w:type="dxa"/>
                  <w:tcBorders>
                    <w:tl2br w:val="nil"/>
                    <w:tr2bl w:val="nil"/>
                  </w:tcBorders>
                  <w:shd w:val="clear" w:color="auto" w:fill="auto"/>
                  <w:noWrap/>
                  <w:vAlign w:val="center"/>
                </w:tcPr>
                <w:p w14:paraId="30C0603E">
                  <w:pPr>
                    <w:pStyle w:val="37"/>
                    <w:bidi w:val="0"/>
                    <w:rPr>
                      <w:rFonts w:hint="eastAsia"/>
                      <w:color w:val="auto"/>
                    </w:rPr>
                  </w:pPr>
                </w:p>
              </w:tc>
            </w:tr>
          </w:tbl>
          <w:p w14:paraId="2D407395">
            <w:pPr>
              <w:pStyle w:val="34"/>
              <w:bidi w:val="0"/>
              <w:rPr>
                <w:color w:val="auto"/>
              </w:rPr>
            </w:pPr>
          </w:p>
        </w:tc>
      </w:tr>
    </w:tbl>
    <w:p w14:paraId="7EF10A36">
      <w:pPr>
        <w:pageBreakBefore w:val="0"/>
        <w:kinsoku/>
        <w:wordWrap/>
        <w:overflowPunct/>
        <w:bidi w:val="0"/>
        <w:rPr>
          <w:rFonts w:ascii="Times New Roman" w:hAnsi="Times New Roman" w:eastAsia="宋体"/>
          <w:color w:val="auto"/>
          <w:highlight w:val="none"/>
        </w:rPr>
        <w:sectPr>
          <w:footerReference r:id="rId11" w:type="default"/>
          <w:pgSz w:w="11906" w:h="16838"/>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14:paraId="45436EAC">
      <w:pPr>
        <w:pStyle w:val="18"/>
        <w:pageBreakBefore w:val="0"/>
        <w:kinsoku/>
        <w:wordWrap/>
        <w:overflowPunct/>
        <w:bidi w:val="0"/>
        <w:spacing w:before="192" w:beforeLines="80" w:beforeAutospacing="0"/>
        <w:jc w:val="center"/>
        <w:outlineLvl w:val="0"/>
        <w:rPr>
          <w:rFonts w:ascii="Times New Roman" w:hAnsi="Times New Roman" w:eastAsia="宋体"/>
          <w:snapToGrid w:val="0"/>
          <w:color w:val="auto"/>
          <w:sz w:val="30"/>
          <w:szCs w:val="30"/>
          <w:highlight w:val="none"/>
        </w:rPr>
      </w:pPr>
      <w:r>
        <w:rPr>
          <w:rFonts w:hint="eastAsia" w:ascii="Times New Roman" w:hAnsi="Times New Roman"/>
          <w:snapToGrid w:val="0"/>
          <w:color w:val="auto"/>
          <w:sz w:val="30"/>
          <w:szCs w:val="30"/>
          <w:highlight w:val="none"/>
          <w:lang w:val="en-US" w:eastAsia="zh-CN"/>
        </w:rPr>
        <w:t>六</w:t>
      </w:r>
      <w:r>
        <w:rPr>
          <w:rFonts w:hint="eastAsia" w:ascii="Times New Roman" w:hAnsi="Times New Roman" w:eastAsia="宋体"/>
          <w:snapToGrid w:val="0"/>
          <w:color w:val="auto"/>
          <w:sz w:val="30"/>
          <w:szCs w:val="30"/>
          <w:highlight w:val="none"/>
        </w:rPr>
        <w:t>、生态环境保护措施监督检查清单</w:t>
      </w:r>
    </w:p>
    <w:tbl>
      <w:tblPr>
        <w:tblStyle w:val="26"/>
        <w:tblW w:w="1393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
        <w:gridCol w:w="807"/>
        <w:gridCol w:w="5732"/>
        <w:gridCol w:w="2262"/>
        <w:gridCol w:w="3347"/>
        <w:gridCol w:w="1782"/>
        <w:gridCol w:w="2"/>
      </w:tblGrid>
      <w:tr w14:paraId="29D2B2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4" w:hRule="atLeast"/>
        </w:trPr>
        <w:tc>
          <w:tcPr>
            <w:tcW w:w="812" w:type="dxa"/>
            <w:gridSpan w:val="2"/>
            <w:vMerge w:val="restart"/>
            <w:tcBorders>
              <w:bottom w:val="nil"/>
              <w:tl2br w:val="single" w:color="000000" w:sz="4" w:space="0"/>
            </w:tcBorders>
            <w:vAlign w:val="center"/>
          </w:tcPr>
          <w:p w14:paraId="0F936C93">
            <w:pPr>
              <w:pStyle w:val="18"/>
              <w:bidi w:val="0"/>
              <w:jc w:val="center"/>
              <w:rPr>
                <w:rFonts w:hint="default" w:ascii="Times New Roman" w:hAnsi="Times New Roman" w:cs="Times New Roman"/>
                <w:color w:val="auto"/>
                <w:lang w:eastAsia="zh-CN"/>
              </w:rPr>
            </w:pPr>
            <w:r>
              <w:rPr>
                <w:rFonts w:hint="default" w:ascii="Times New Roman" w:hAnsi="Times New Roman" w:cs="Times New Roman"/>
                <w:color w:val="auto"/>
              </w:rPr>
              <w:t>内容</w:t>
            </w:r>
          </w:p>
          <w:p w14:paraId="55744998">
            <w:pPr>
              <w:pStyle w:val="18"/>
              <w:bidi w:val="0"/>
              <w:jc w:val="center"/>
              <w:rPr>
                <w:rFonts w:hint="default" w:ascii="Times New Roman" w:hAnsi="Times New Roman" w:cs="Times New Roman"/>
                <w:color w:val="auto"/>
              </w:rPr>
            </w:pPr>
          </w:p>
          <w:p w14:paraId="246B5529">
            <w:pPr>
              <w:pStyle w:val="18"/>
              <w:bidi w:val="0"/>
              <w:jc w:val="center"/>
              <w:rPr>
                <w:rFonts w:hint="default" w:ascii="Times New Roman" w:hAnsi="Times New Roman" w:cs="Times New Roman"/>
                <w:color w:val="auto"/>
              </w:rPr>
            </w:pPr>
          </w:p>
          <w:p w14:paraId="68222266">
            <w:pPr>
              <w:pStyle w:val="18"/>
              <w:bidi w:val="0"/>
              <w:jc w:val="center"/>
              <w:rPr>
                <w:rFonts w:hint="default" w:ascii="Times New Roman" w:hAnsi="Times New Roman" w:cs="Times New Roman"/>
                <w:color w:val="auto"/>
              </w:rPr>
            </w:pPr>
            <w:r>
              <w:rPr>
                <w:rFonts w:hint="default" w:ascii="Times New Roman" w:hAnsi="Times New Roman" w:cs="Times New Roman"/>
                <w:color w:val="auto"/>
              </w:rPr>
              <w:t>要素</w:t>
            </w:r>
          </w:p>
        </w:tc>
        <w:tc>
          <w:tcPr>
            <w:tcW w:w="7994" w:type="dxa"/>
            <w:gridSpan w:val="2"/>
            <w:vAlign w:val="center"/>
          </w:tcPr>
          <w:p w14:paraId="3118D646">
            <w:pPr>
              <w:pStyle w:val="18"/>
              <w:bidi w:val="0"/>
              <w:jc w:val="center"/>
              <w:rPr>
                <w:rFonts w:hint="default" w:ascii="Times New Roman" w:hAnsi="Times New Roman" w:cs="Times New Roman"/>
                <w:color w:val="auto"/>
              </w:rPr>
            </w:pPr>
            <w:r>
              <w:rPr>
                <w:rFonts w:hint="default" w:ascii="Times New Roman" w:hAnsi="Times New Roman" w:cs="Times New Roman"/>
                <w:color w:val="auto"/>
              </w:rPr>
              <w:t>施工期</w:t>
            </w:r>
          </w:p>
        </w:tc>
        <w:tc>
          <w:tcPr>
            <w:tcW w:w="5131" w:type="dxa"/>
            <w:gridSpan w:val="3"/>
            <w:vAlign w:val="center"/>
          </w:tcPr>
          <w:p w14:paraId="3D723D77">
            <w:pPr>
              <w:pStyle w:val="18"/>
              <w:bidi w:val="0"/>
              <w:jc w:val="center"/>
              <w:rPr>
                <w:rFonts w:hint="default" w:ascii="Times New Roman" w:hAnsi="Times New Roman" w:cs="Times New Roman"/>
                <w:color w:val="auto"/>
              </w:rPr>
            </w:pPr>
            <w:r>
              <w:rPr>
                <w:rFonts w:hint="default" w:ascii="Times New Roman" w:hAnsi="Times New Roman" w:cs="Times New Roman"/>
                <w:color w:val="auto"/>
              </w:rPr>
              <w:t>运营期</w:t>
            </w:r>
          </w:p>
        </w:tc>
      </w:tr>
      <w:tr w14:paraId="424629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812" w:type="dxa"/>
            <w:gridSpan w:val="2"/>
            <w:vMerge w:val="continue"/>
            <w:tcBorders>
              <w:top w:val="nil"/>
              <w:tl2br w:val="single" w:color="000000" w:sz="4" w:space="0"/>
            </w:tcBorders>
            <w:vAlign w:val="center"/>
          </w:tcPr>
          <w:p w14:paraId="2309C151">
            <w:pPr>
              <w:pStyle w:val="18"/>
              <w:bidi w:val="0"/>
              <w:jc w:val="center"/>
              <w:rPr>
                <w:rFonts w:hint="default" w:ascii="Times New Roman" w:hAnsi="Times New Roman" w:cs="Times New Roman"/>
                <w:color w:val="auto"/>
              </w:rPr>
            </w:pPr>
          </w:p>
        </w:tc>
        <w:tc>
          <w:tcPr>
            <w:tcW w:w="5732" w:type="dxa"/>
            <w:vAlign w:val="center"/>
          </w:tcPr>
          <w:p w14:paraId="43A039A3">
            <w:pPr>
              <w:pStyle w:val="18"/>
              <w:bidi w:val="0"/>
              <w:jc w:val="center"/>
              <w:rPr>
                <w:rFonts w:hint="default" w:ascii="Times New Roman" w:hAnsi="Times New Roman" w:cs="Times New Roman"/>
                <w:color w:val="auto"/>
              </w:rPr>
            </w:pPr>
            <w:r>
              <w:rPr>
                <w:rFonts w:hint="default" w:ascii="Times New Roman" w:hAnsi="Times New Roman" w:cs="Times New Roman"/>
                <w:color w:val="auto"/>
              </w:rPr>
              <w:t>环境保护措施</w:t>
            </w:r>
          </w:p>
        </w:tc>
        <w:tc>
          <w:tcPr>
            <w:tcW w:w="2262" w:type="dxa"/>
            <w:vAlign w:val="center"/>
          </w:tcPr>
          <w:p w14:paraId="7946BFA5">
            <w:pPr>
              <w:pStyle w:val="18"/>
              <w:bidi w:val="0"/>
              <w:jc w:val="center"/>
              <w:rPr>
                <w:rFonts w:hint="default" w:ascii="Times New Roman" w:hAnsi="Times New Roman" w:cs="Times New Roman"/>
                <w:color w:val="auto"/>
              </w:rPr>
            </w:pPr>
            <w:r>
              <w:rPr>
                <w:rFonts w:hint="default" w:ascii="Times New Roman" w:hAnsi="Times New Roman" w:cs="Times New Roman"/>
                <w:color w:val="auto"/>
              </w:rPr>
              <w:t>验收要求</w:t>
            </w:r>
          </w:p>
        </w:tc>
        <w:tc>
          <w:tcPr>
            <w:tcW w:w="3347" w:type="dxa"/>
            <w:vAlign w:val="center"/>
          </w:tcPr>
          <w:p w14:paraId="35F7873C">
            <w:pPr>
              <w:pStyle w:val="18"/>
              <w:bidi w:val="0"/>
              <w:jc w:val="center"/>
              <w:rPr>
                <w:rFonts w:hint="default" w:ascii="Times New Roman" w:hAnsi="Times New Roman" w:cs="Times New Roman"/>
                <w:color w:val="auto"/>
              </w:rPr>
            </w:pPr>
            <w:r>
              <w:rPr>
                <w:rFonts w:hint="default" w:ascii="Times New Roman" w:hAnsi="Times New Roman" w:cs="Times New Roman"/>
                <w:color w:val="auto"/>
              </w:rPr>
              <w:t>环境保护措施</w:t>
            </w:r>
          </w:p>
        </w:tc>
        <w:tc>
          <w:tcPr>
            <w:tcW w:w="1784" w:type="dxa"/>
            <w:gridSpan w:val="2"/>
            <w:vAlign w:val="center"/>
          </w:tcPr>
          <w:p w14:paraId="29AC634A">
            <w:pPr>
              <w:pStyle w:val="18"/>
              <w:bidi w:val="0"/>
              <w:jc w:val="center"/>
              <w:rPr>
                <w:rFonts w:hint="default" w:ascii="Times New Roman" w:hAnsi="Times New Roman" w:cs="Times New Roman"/>
                <w:color w:val="auto"/>
              </w:rPr>
            </w:pPr>
            <w:r>
              <w:rPr>
                <w:rFonts w:hint="default" w:ascii="Times New Roman" w:hAnsi="Times New Roman" w:cs="Times New Roman"/>
                <w:color w:val="auto"/>
              </w:rPr>
              <w:t>验收要求</w:t>
            </w:r>
          </w:p>
        </w:tc>
      </w:tr>
      <w:tr w14:paraId="7675E9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8" w:hRule="atLeast"/>
        </w:trPr>
        <w:tc>
          <w:tcPr>
            <w:tcW w:w="812" w:type="dxa"/>
            <w:gridSpan w:val="2"/>
            <w:vAlign w:val="center"/>
          </w:tcPr>
          <w:p w14:paraId="2126FC37">
            <w:pPr>
              <w:pStyle w:val="18"/>
              <w:bidi w:val="0"/>
              <w:jc w:val="center"/>
              <w:rPr>
                <w:rFonts w:hint="default" w:ascii="Times New Roman" w:hAnsi="Times New Roman" w:cs="Times New Roman"/>
                <w:color w:val="auto"/>
              </w:rPr>
            </w:pPr>
            <w:r>
              <w:rPr>
                <w:rFonts w:hint="default" w:ascii="Times New Roman" w:hAnsi="Times New Roman" w:cs="Times New Roman"/>
                <w:color w:val="auto"/>
              </w:rPr>
              <w:t>陆生生态</w:t>
            </w:r>
          </w:p>
        </w:tc>
        <w:tc>
          <w:tcPr>
            <w:tcW w:w="5732" w:type="dxa"/>
            <w:vAlign w:val="center"/>
          </w:tcPr>
          <w:p w14:paraId="506475BA">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禁止在生态保护红线和基本农田内新增占地；</w:t>
            </w:r>
            <w:r>
              <w:rPr>
                <w:rFonts w:hint="default" w:ascii="Times New Roman" w:hAnsi="Times New Roman" w:cs="Times New Roman"/>
                <w:color w:val="auto"/>
              </w:rPr>
              <w:t>工程在靠近生态保护红线等敏感因素</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生态保护红线、天然林和公益林</w:t>
            </w:r>
            <w:r>
              <w:rPr>
                <w:rFonts w:hint="eastAsia" w:ascii="Times New Roman" w:hAnsi="Times New Roman" w:cs="Times New Roman"/>
                <w:color w:val="auto"/>
                <w:lang w:eastAsia="zh-CN"/>
              </w:rPr>
              <w:t>）</w:t>
            </w:r>
            <w:r>
              <w:rPr>
                <w:rFonts w:hint="default" w:ascii="Times New Roman" w:hAnsi="Times New Roman" w:cs="Times New Roman"/>
                <w:color w:val="auto"/>
              </w:rPr>
              <w:t>时，应对靠近的敏感因素边界以彩带围</w:t>
            </w:r>
            <w:r>
              <w:rPr>
                <w:rFonts w:hint="eastAsia" w:ascii="Times New Roman" w:hAnsi="Times New Roman" w:cs="Times New Roman"/>
                <w:color w:val="auto"/>
                <w:lang w:val="en-US" w:eastAsia="zh-CN"/>
              </w:rPr>
              <w:t>挡</w:t>
            </w:r>
            <w:r>
              <w:rPr>
                <w:rFonts w:hint="default" w:ascii="Times New Roman" w:hAnsi="Times New Roman" w:cs="Times New Roman"/>
                <w:color w:val="auto"/>
              </w:rPr>
              <w:t>，施工时禁止跨越以上敏感因素界域；</w:t>
            </w:r>
          </w:p>
          <w:p w14:paraId="53038A0A">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2</w:t>
            </w:r>
            <w:r>
              <w:rPr>
                <w:rFonts w:hint="default" w:ascii="Times New Roman" w:hAnsi="Times New Roman" w:cs="Times New Roman"/>
                <w:color w:val="auto"/>
                <w:lang w:eastAsia="zh-CN"/>
              </w:rPr>
              <w:t>）</w:t>
            </w:r>
            <w:r>
              <w:rPr>
                <w:rFonts w:hint="default" w:ascii="Times New Roman" w:hAnsi="Times New Roman" w:cs="Times New Roman"/>
                <w:color w:val="auto"/>
              </w:rPr>
              <w:t>收集区域内的绿化树种用作后期植被恢复和绿化</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施工结束后对施工迹地进行恢复</w:t>
            </w:r>
            <w:r>
              <w:rPr>
                <w:rFonts w:hint="default" w:ascii="Times New Roman" w:hAnsi="Times New Roman" w:cs="Times New Roman"/>
                <w:color w:val="auto"/>
              </w:rPr>
              <w:t>；</w:t>
            </w:r>
          </w:p>
          <w:p w14:paraId="4BC77726">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3</w:t>
            </w:r>
            <w:r>
              <w:rPr>
                <w:rFonts w:hint="default" w:ascii="Times New Roman" w:hAnsi="Times New Roman" w:cs="Times New Roman"/>
                <w:color w:val="auto"/>
                <w:lang w:eastAsia="zh-CN"/>
              </w:rPr>
              <w:t>）</w:t>
            </w:r>
            <w:r>
              <w:rPr>
                <w:rFonts w:hint="default" w:ascii="Times New Roman" w:hAnsi="Times New Roman" w:cs="Times New Roman"/>
                <w:color w:val="auto"/>
              </w:rPr>
              <w:t>场内道路尽量沿用已有道路；</w:t>
            </w:r>
          </w:p>
          <w:p w14:paraId="3498D108">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4</w:t>
            </w:r>
            <w:r>
              <w:rPr>
                <w:rFonts w:hint="default" w:ascii="Times New Roman" w:hAnsi="Times New Roman" w:cs="Times New Roman"/>
                <w:color w:val="auto"/>
                <w:lang w:eastAsia="zh-CN"/>
              </w:rPr>
              <w:t>）</w:t>
            </w:r>
            <w:r>
              <w:rPr>
                <w:rFonts w:hint="default" w:ascii="Times New Roman" w:hAnsi="Times New Roman" w:cs="Times New Roman"/>
                <w:color w:val="auto"/>
              </w:rPr>
              <w:t>施工时尽量避开植被较好的森林、</w:t>
            </w:r>
            <w:r>
              <w:rPr>
                <w:rFonts w:hint="default" w:ascii="Times New Roman" w:hAnsi="Times New Roman" w:cs="Times New Roman"/>
                <w:color w:val="auto"/>
                <w:lang w:eastAsia="zh-CN"/>
              </w:rPr>
              <w:t>灌丛</w:t>
            </w:r>
            <w:r>
              <w:rPr>
                <w:rFonts w:hint="default" w:ascii="Times New Roman" w:hAnsi="Times New Roman" w:cs="Times New Roman"/>
                <w:color w:val="auto"/>
              </w:rPr>
              <w:t>，减小对动物生境的扰动；</w:t>
            </w:r>
          </w:p>
          <w:p w14:paraId="3B7B3353">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default" w:ascii="Times New Roman" w:hAnsi="Times New Roman" w:cs="Times New Roman"/>
                <w:color w:val="auto"/>
              </w:rPr>
              <w:t>尽量避免在鸟类繁殖期</w:t>
            </w:r>
            <w:r>
              <w:rPr>
                <w:rFonts w:hint="default" w:ascii="Times New Roman" w:hAnsi="Times New Roman" w:cs="Times New Roman"/>
                <w:color w:val="auto"/>
                <w:lang w:eastAsia="zh-CN"/>
              </w:rPr>
              <w:t>（</w:t>
            </w:r>
            <w:r>
              <w:rPr>
                <w:rFonts w:hint="default" w:ascii="Times New Roman" w:hAnsi="Times New Roman" w:cs="Times New Roman"/>
                <w:color w:val="auto"/>
              </w:rPr>
              <w:t>春末夏初</w:t>
            </w:r>
            <w:r>
              <w:rPr>
                <w:rFonts w:hint="default" w:ascii="Times New Roman" w:hAnsi="Times New Roman" w:cs="Times New Roman"/>
                <w:color w:val="auto"/>
                <w:lang w:eastAsia="zh-CN"/>
              </w:rPr>
              <w:t>）</w:t>
            </w:r>
            <w:r>
              <w:rPr>
                <w:rFonts w:hint="default" w:ascii="Times New Roman" w:hAnsi="Times New Roman" w:cs="Times New Roman"/>
                <w:color w:val="auto"/>
              </w:rPr>
              <w:t>进行道路及吊装平台开挖等可能破坏鸟巢及鸟卵的施工作业；控制爆破等产生较大噪声的施工，减轻施工噪声对鸟类繁殖的干扰；</w:t>
            </w:r>
          </w:p>
          <w:p w14:paraId="6452BE5D">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6</w:t>
            </w:r>
            <w:r>
              <w:rPr>
                <w:rFonts w:hint="default" w:ascii="Times New Roman" w:hAnsi="Times New Roman" w:cs="Times New Roman"/>
                <w:color w:val="auto"/>
                <w:lang w:eastAsia="zh-CN"/>
              </w:rPr>
              <w:t>）</w:t>
            </w:r>
            <w:r>
              <w:rPr>
                <w:rFonts w:hint="default" w:ascii="Times New Roman" w:hAnsi="Times New Roman" w:cs="Times New Roman"/>
                <w:color w:val="auto"/>
              </w:rPr>
              <w:t>加强鸟类的保护</w:t>
            </w:r>
            <w:r>
              <w:rPr>
                <w:rFonts w:hint="eastAsia" w:ascii="Times New Roman" w:hAnsi="Times New Roman" w:cs="Times New Roman"/>
                <w:color w:val="auto"/>
                <w:lang w:eastAsia="zh-CN"/>
              </w:rPr>
              <w:t>，</w:t>
            </w:r>
            <w:r>
              <w:rPr>
                <w:rFonts w:hint="default" w:ascii="Times New Roman" w:hAnsi="Times New Roman" w:cs="Times New Roman"/>
                <w:color w:val="auto"/>
              </w:rPr>
              <w:t>加强对施工人员的环保宣传教育。</w:t>
            </w:r>
          </w:p>
        </w:tc>
        <w:tc>
          <w:tcPr>
            <w:tcW w:w="2262" w:type="dxa"/>
            <w:vAlign w:val="center"/>
          </w:tcPr>
          <w:p w14:paraId="6EDA74D0">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编制植被恢复设计方案</w:t>
            </w:r>
            <w:r>
              <w:rPr>
                <w:rFonts w:hint="eastAsia" w:ascii="Times New Roman" w:hAnsi="Times New Roman" w:cs="Times New Roman"/>
                <w:color w:val="auto"/>
                <w:lang w:val="en-US" w:eastAsia="zh-CN"/>
              </w:rPr>
              <w:t>并按方案恢复植被</w:t>
            </w:r>
            <w:r>
              <w:rPr>
                <w:rFonts w:hint="default" w:ascii="Times New Roman" w:hAnsi="Times New Roman" w:cs="Times New Roman"/>
                <w:color w:val="auto"/>
              </w:rPr>
              <w:t>。</w:t>
            </w:r>
          </w:p>
          <w:p w14:paraId="3E5E06A5">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表土</w:t>
            </w:r>
            <w:r>
              <w:rPr>
                <w:rFonts w:hint="eastAsia" w:ascii="Times New Roman" w:hAnsi="Times New Roman" w:cs="Times New Roman"/>
                <w:color w:val="auto"/>
                <w:lang w:val="en-US" w:eastAsia="zh-CN"/>
              </w:rPr>
              <w:t>回覆</w:t>
            </w:r>
            <w:r>
              <w:rPr>
                <w:rFonts w:hint="default" w:ascii="Times New Roman" w:hAnsi="Times New Roman" w:cs="Times New Roman"/>
                <w:color w:val="auto"/>
              </w:rPr>
              <w:t>，及时有序恢复植被，</w:t>
            </w:r>
            <w:r>
              <w:rPr>
                <w:rFonts w:hint="eastAsia" w:ascii="Times New Roman" w:hAnsi="Times New Roman" w:cs="Times New Roman"/>
                <w:color w:val="auto"/>
                <w:lang w:val="en-US" w:eastAsia="zh-CN"/>
              </w:rPr>
              <w:t>拆除</w:t>
            </w:r>
            <w:r>
              <w:rPr>
                <w:rFonts w:hint="default" w:ascii="Times New Roman" w:hAnsi="Times New Roman" w:cs="Times New Roman"/>
                <w:color w:val="auto"/>
              </w:rPr>
              <w:t>风机吊装平台</w:t>
            </w:r>
            <w:r>
              <w:rPr>
                <w:rFonts w:hint="eastAsia" w:ascii="Times New Roman" w:hAnsi="Times New Roman" w:cs="Times New Roman"/>
                <w:color w:val="auto"/>
                <w:lang w:val="en-US" w:eastAsia="zh-CN"/>
              </w:rPr>
              <w:t>临时设备并进行植被恢复</w:t>
            </w:r>
            <w:r>
              <w:rPr>
                <w:rFonts w:hint="default" w:ascii="Times New Roman" w:hAnsi="Times New Roman" w:cs="Times New Roman"/>
                <w:color w:val="auto"/>
              </w:rPr>
              <w:t>。</w:t>
            </w:r>
          </w:p>
          <w:p w14:paraId="7A3EF0B2">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3</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开展施工期鸟类监测工作，</w:t>
            </w:r>
            <w:r>
              <w:rPr>
                <w:rFonts w:hint="default" w:ascii="Times New Roman" w:hAnsi="Times New Roman" w:cs="Times New Roman"/>
                <w:color w:val="auto"/>
              </w:rPr>
              <w:t>编制施工期鸟类</w:t>
            </w:r>
            <w:r>
              <w:rPr>
                <w:rFonts w:hint="eastAsia" w:ascii="Times New Roman" w:hAnsi="Times New Roman" w:cs="Times New Roman"/>
                <w:color w:val="auto"/>
                <w:lang w:val="en-US" w:eastAsia="zh-CN"/>
              </w:rPr>
              <w:t>监</w:t>
            </w:r>
            <w:r>
              <w:rPr>
                <w:rFonts w:hint="default" w:ascii="Times New Roman" w:hAnsi="Times New Roman" w:cs="Times New Roman"/>
                <w:color w:val="auto"/>
              </w:rPr>
              <w:t>测报告。</w:t>
            </w:r>
          </w:p>
          <w:p w14:paraId="34493BC7">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4</w:t>
            </w:r>
            <w:r>
              <w:rPr>
                <w:rFonts w:hint="default" w:ascii="Times New Roman" w:hAnsi="Times New Roman" w:cs="Times New Roman"/>
                <w:color w:val="auto"/>
                <w:lang w:eastAsia="zh-CN"/>
              </w:rPr>
              <w:t>）</w:t>
            </w:r>
            <w:r>
              <w:rPr>
                <w:rFonts w:hint="default" w:ascii="Times New Roman" w:hAnsi="Times New Roman" w:cs="Times New Roman"/>
                <w:color w:val="auto"/>
              </w:rPr>
              <w:t>现场有生态保护宣传警示牌。</w:t>
            </w:r>
          </w:p>
          <w:p w14:paraId="1BB0AE3F">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5</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不</w:t>
            </w:r>
            <w:r>
              <w:rPr>
                <w:rFonts w:hint="default" w:ascii="Times New Roman" w:hAnsi="Times New Roman" w:cs="Times New Roman"/>
                <w:color w:val="auto"/>
              </w:rPr>
              <w:t>超计划占地</w:t>
            </w:r>
            <w:r>
              <w:rPr>
                <w:rFonts w:hint="eastAsia" w:ascii="Times New Roman" w:hAnsi="Times New Roman" w:cs="Times New Roman"/>
                <w:color w:val="auto"/>
                <w:lang w:eastAsia="zh-CN"/>
              </w:rPr>
              <w:t>，</w:t>
            </w:r>
            <w:r>
              <w:rPr>
                <w:rFonts w:hint="eastAsia" w:ascii="Times New Roman" w:hAnsi="Times New Roman" w:cs="Times New Roman"/>
                <w:color w:val="auto"/>
                <w:lang w:val="en-US" w:eastAsia="zh-CN"/>
              </w:rPr>
              <w:t>对范围外的敏感区无破坏和影响</w:t>
            </w:r>
            <w:r>
              <w:rPr>
                <w:rFonts w:hint="default" w:ascii="Times New Roman" w:hAnsi="Times New Roman" w:cs="Times New Roman"/>
                <w:color w:val="auto"/>
              </w:rPr>
              <w:t>。</w:t>
            </w:r>
          </w:p>
        </w:tc>
        <w:tc>
          <w:tcPr>
            <w:tcW w:w="3347" w:type="dxa"/>
            <w:vAlign w:val="center"/>
          </w:tcPr>
          <w:p w14:paraId="0243B025">
            <w:pPr>
              <w:pStyle w:val="18"/>
              <w:bidi w:val="0"/>
              <w:jc w:val="left"/>
              <w:rPr>
                <w:rFonts w:hint="default"/>
                <w:color w:val="auto"/>
              </w:rPr>
            </w:pPr>
            <w:r>
              <w:rPr>
                <w:rFonts w:hint="default"/>
                <w:color w:val="auto"/>
                <w:lang w:eastAsia="zh-CN"/>
              </w:rPr>
              <w:t>（</w:t>
            </w:r>
            <w:r>
              <w:rPr>
                <w:rFonts w:hint="default"/>
                <w:color w:val="auto"/>
              </w:rPr>
              <w:t>1</w:t>
            </w:r>
            <w:r>
              <w:rPr>
                <w:rFonts w:hint="default"/>
                <w:color w:val="auto"/>
                <w:lang w:eastAsia="zh-CN"/>
              </w:rPr>
              <w:t>）</w:t>
            </w:r>
            <w:r>
              <w:rPr>
                <w:rFonts w:hint="default"/>
                <w:color w:val="auto"/>
              </w:rPr>
              <w:t>配合地方部门开展交通管制、加强员工环保教育。</w:t>
            </w:r>
          </w:p>
          <w:p w14:paraId="726EAD66">
            <w:pPr>
              <w:pStyle w:val="18"/>
              <w:bidi w:val="0"/>
              <w:jc w:val="left"/>
              <w:rPr>
                <w:rFonts w:hint="default"/>
                <w:color w:val="auto"/>
              </w:rPr>
            </w:pPr>
            <w:r>
              <w:rPr>
                <w:rFonts w:hint="default"/>
                <w:color w:val="auto"/>
                <w:lang w:eastAsia="zh-CN"/>
              </w:rPr>
              <w:t>（</w:t>
            </w:r>
            <w:r>
              <w:rPr>
                <w:rFonts w:hint="default"/>
                <w:color w:val="auto"/>
              </w:rPr>
              <w:t>2</w:t>
            </w:r>
            <w:r>
              <w:rPr>
                <w:rFonts w:hint="default"/>
                <w:color w:val="auto"/>
                <w:lang w:eastAsia="zh-CN"/>
              </w:rPr>
              <w:t>）</w:t>
            </w:r>
            <w:r>
              <w:rPr>
                <w:rFonts w:hint="default"/>
                <w:color w:val="auto"/>
              </w:rPr>
              <w:t>根据环境监测计划开展鸟类</w:t>
            </w:r>
            <w:r>
              <w:rPr>
                <w:rFonts w:hint="eastAsia"/>
                <w:color w:val="auto"/>
                <w:lang w:val="en-US" w:eastAsia="zh-CN"/>
              </w:rPr>
              <w:t>监测</w:t>
            </w:r>
            <w:r>
              <w:rPr>
                <w:rFonts w:hint="default"/>
                <w:color w:val="auto"/>
              </w:rPr>
              <w:t>，密切关注风电场内的鸟类死亡情况，一旦发现异常应</w:t>
            </w:r>
            <w:r>
              <w:rPr>
                <w:rFonts w:hint="default"/>
                <w:color w:val="auto"/>
                <w:lang w:eastAsia="zh-CN"/>
              </w:rPr>
              <w:t>及时</w:t>
            </w:r>
            <w:r>
              <w:rPr>
                <w:rFonts w:hint="default"/>
                <w:color w:val="auto"/>
              </w:rPr>
              <w:t>与林业主管部门联系，将受伤鸟类交由其妥善处理，共同研究，采取措施来解决问题。</w:t>
            </w:r>
          </w:p>
          <w:p w14:paraId="21BBDC41">
            <w:pPr>
              <w:pStyle w:val="18"/>
              <w:bidi w:val="0"/>
              <w:jc w:val="left"/>
              <w:rPr>
                <w:rFonts w:hint="default"/>
                <w:color w:val="auto"/>
              </w:rPr>
            </w:pPr>
            <w:r>
              <w:rPr>
                <w:rFonts w:hint="default"/>
                <w:color w:val="auto"/>
              </w:rPr>
              <w:t>（3）在风机叶片上绘制驱鸟图案，减少鸟类撞击叶片事故概率。</w:t>
            </w:r>
          </w:p>
          <w:p w14:paraId="0F7E9FDB">
            <w:pPr>
              <w:pStyle w:val="18"/>
              <w:bidi w:val="0"/>
              <w:jc w:val="left"/>
              <w:rPr>
                <w:rFonts w:hint="default"/>
                <w:color w:val="auto"/>
              </w:rPr>
            </w:pPr>
            <w:r>
              <w:rPr>
                <w:rFonts w:hint="default"/>
                <w:color w:val="auto"/>
              </w:rPr>
              <w:t>（4）加强鸟类的保护管理，加强对电场工作人员和当地居民的爱鸟护鸟教育宣传工作，避免人为伤害或干扰鸟类的事件发生。</w:t>
            </w:r>
          </w:p>
          <w:p w14:paraId="6BAE5975">
            <w:pPr>
              <w:pStyle w:val="18"/>
              <w:bidi w:val="0"/>
              <w:jc w:val="left"/>
              <w:rPr>
                <w:rFonts w:hint="default"/>
                <w:color w:val="auto"/>
              </w:rPr>
            </w:pPr>
            <w:r>
              <w:rPr>
                <w:rFonts w:hint="default"/>
                <w:color w:val="auto"/>
              </w:rPr>
              <w:t>（5）风电场场区内应密闭保存工人食物以避免吸引啮齿目动物的到来，从而不人为增加猛禽在区域出现的频率。</w:t>
            </w:r>
          </w:p>
        </w:tc>
        <w:tc>
          <w:tcPr>
            <w:tcW w:w="1784" w:type="dxa"/>
            <w:gridSpan w:val="2"/>
            <w:vAlign w:val="center"/>
          </w:tcPr>
          <w:p w14:paraId="466D924F">
            <w:pPr>
              <w:pStyle w:val="18"/>
              <w:bidi w:val="0"/>
              <w:jc w:val="left"/>
              <w:rPr>
                <w:rFonts w:hint="default"/>
                <w:color w:val="auto"/>
              </w:rPr>
            </w:pPr>
            <w:r>
              <w:rPr>
                <w:rFonts w:hint="default"/>
                <w:color w:val="auto"/>
                <w:lang w:eastAsia="zh-CN"/>
              </w:rPr>
              <w:t>（</w:t>
            </w:r>
            <w:r>
              <w:rPr>
                <w:rFonts w:hint="default"/>
                <w:color w:val="auto"/>
              </w:rPr>
              <w:t>1</w:t>
            </w:r>
            <w:r>
              <w:rPr>
                <w:rFonts w:hint="default"/>
                <w:color w:val="auto"/>
                <w:lang w:eastAsia="zh-CN"/>
              </w:rPr>
              <w:t>）</w:t>
            </w:r>
            <w:r>
              <w:rPr>
                <w:rFonts w:hint="default"/>
                <w:color w:val="auto"/>
              </w:rPr>
              <w:t>迹地植被恢复达到验收标准。</w:t>
            </w:r>
          </w:p>
          <w:p w14:paraId="46B6A0F2">
            <w:pPr>
              <w:pStyle w:val="18"/>
              <w:bidi w:val="0"/>
              <w:jc w:val="left"/>
              <w:rPr>
                <w:rFonts w:hint="default"/>
                <w:color w:val="auto"/>
              </w:rPr>
            </w:pPr>
            <w:r>
              <w:rPr>
                <w:rFonts w:hint="default"/>
                <w:color w:val="auto"/>
                <w:lang w:eastAsia="zh-CN"/>
              </w:rPr>
              <w:t>（</w:t>
            </w:r>
            <w:r>
              <w:rPr>
                <w:rFonts w:hint="default"/>
                <w:color w:val="auto"/>
              </w:rPr>
              <w:t>2</w:t>
            </w:r>
            <w:r>
              <w:rPr>
                <w:rFonts w:hint="default"/>
                <w:color w:val="auto"/>
                <w:lang w:eastAsia="zh-CN"/>
              </w:rPr>
              <w:t>）</w:t>
            </w:r>
            <w:r>
              <w:rPr>
                <w:rFonts w:hint="default"/>
                <w:color w:val="auto"/>
              </w:rPr>
              <w:t>按监测计划完成运行期鸟类</w:t>
            </w:r>
            <w:r>
              <w:rPr>
                <w:rFonts w:hint="eastAsia"/>
                <w:color w:val="auto"/>
                <w:lang w:val="en-US" w:eastAsia="zh-CN"/>
              </w:rPr>
              <w:t>监测</w:t>
            </w:r>
            <w:r>
              <w:rPr>
                <w:rFonts w:hint="default"/>
                <w:color w:val="auto"/>
              </w:rPr>
              <w:t>报告。</w:t>
            </w:r>
          </w:p>
          <w:p w14:paraId="3E78B755">
            <w:pPr>
              <w:pStyle w:val="18"/>
              <w:bidi w:val="0"/>
              <w:jc w:val="left"/>
              <w:rPr>
                <w:rFonts w:hint="default"/>
                <w:color w:val="auto"/>
              </w:rPr>
            </w:pPr>
          </w:p>
        </w:tc>
      </w:tr>
      <w:tr w14:paraId="5392B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812" w:type="dxa"/>
            <w:gridSpan w:val="2"/>
            <w:vAlign w:val="center"/>
          </w:tcPr>
          <w:p w14:paraId="2AA5EFCB">
            <w:pPr>
              <w:pStyle w:val="18"/>
              <w:bidi w:val="0"/>
              <w:jc w:val="center"/>
              <w:rPr>
                <w:rFonts w:hint="default" w:ascii="Times New Roman" w:hAnsi="Times New Roman" w:cs="Times New Roman"/>
                <w:color w:val="auto"/>
              </w:rPr>
            </w:pPr>
            <w:r>
              <w:rPr>
                <w:rFonts w:hint="default" w:ascii="Times New Roman" w:hAnsi="Times New Roman" w:cs="Times New Roman"/>
                <w:color w:val="auto"/>
              </w:rPr>
              <w:t>水生生态</w:t>
            </w:r>
          </w:p>
        </w:tc>
        <w:tc>
          <w:tcPr>
            <w:tcW w:w="5732" w:type="dxa"/>
            <w:vAlign w:val="center"/>
          </w:tcPr>
          <w:p w14:paraId="5D7C8168">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2262" w:type="dxa"/>
            <w:vAlign w:val="center"/>
          </w:tcPr>
          <w:p w14:paraId="42A675E9">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3347" w:type="dxa"/>
            <w:vAlign w:val="center"/>
          </w:tcPr>
          <w:p w14:paraId="740677AC">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1784" w:type="dxa"/>
            <w:gridSpan w:val="2"/>
            <w:vAlign w:val="center"/>
          </w:tcPr>
          <w:p w14:paraId="1116CB6E">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r>
      <w:tr w14:paraId="142D7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2" w:type="dxa"/>
            <w:gridSpan w:val="2"/>
            <w:vAlign w:val="center"/>
          </w:tcPr>
          <w:p w14:paraId="26E3E51C">
            <w:pPr>
              <w:pStyle w:val="18"/>
              <w:bidi w:val="0"/>
              <w:jc w:val="center"/>
              <w:rPr>
                <w:rFonts w:hint="default" w:ascii="Times New Roman" w:hAnsi="Times New Roman" w:cs="Times New Roman"/>
                <w:color w:val="auto"/>
              </w:rPr>
            </w:pPr>
            <w:r>
              <w:rPr>
                <w:rFonts w:hint="default" w:ascii="Times New Roman" w:hAnsi="Times New Roman" w:cs="Times New Roman"/>
                <w:color w:val="auto"/>
              </w:rPr>
              <w:t>地表水环境</w:t>
            </w:r>
          </w:p>
        </w:tc>
        <w:tc>
          <w:tcPr>
            <w:tcW w:w="5732" w:type="dxa"/>
            <w:vAlign w:val="center"/>
          </w:tcPr>
          <w:p w14:paraId="29BDF00C">
            <w:pPr>
              <w:pStyle w:val="18"/>
              <w:bidi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1</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尽量避</w:t>
            </w:r>
            <w:r>
              <w:rPr>
                <w:rFonts w:hint="default" w:ascii="Times New Roman" w:hAnsi="Times New Roman" w:cs="Times New Roman"/>
                <w:color w:val="auto"/>
                <w:highlight w:val="none"/>
                <w:lang w:eastAsia="zh-CN"/>
              </w:rPr>
              <w:t>免在</w:t>
            </w:r>
            <w:r>
              <w:rPr>
                <w:rFonts w:hint="default" w:ascii="Times New Roman" w:hAnsi="Times New Roman" w:cs="Times New Roman"/>
                <w:color w:val="auto"/>
                <w:highlight w:val="none"/>
              </w:rPr>
              <w:t>雨季进行大规模的地面开挖作业。</w:t>
            </w:r>
          </w:p>
          <w:p w14:paraId="222FE0FE">
            <w:pPr>
              <w:pStyle w:val="18"/>
              <w:bidi w:val="0"/>
              <w:jc w:val="left"/>
              <w:rPr>
                <w:rFonts w:hint="default" w:ascii="Times New Roman" w:hAnsi="Times New Roman" w:cs="Times New Roman"/>
                <w:color w:val="auto"/>
                <w:highlight w:val="yellow"/>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2</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施工期在场内修建</w:t>
            </w: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rPr>
              <w:t>座临时沉淀池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容积均为</w:t>
            </w: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rPr>
              <w:t>m³</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和</w:t>
            </w:r>
            <w:r>
              <w:rPr>
                <w:rFonts w:hint="eastAsia" w:ascii="Times New Roman" w:hAnsi="Times New Roman" w:cs="Times New Roman"/>
                <w:color w:val="auto"/>
                <w:highlight w:val="none"/>
                <w:lang w:val="en-US" w:eastAsia="zh-CN"/>
              </w:rPr>
              <w:t>4</w:t>
            </w:r>
            <w:r>
              <w:rPr>
                <w:rFonts w:hint="default" w:ascii="Times New Roman" w:hAnsi="Times New Roman" w:cs="Times New Roman"/>
                <w:color w:val="auto"/>
                <w:highlight w:val="none"/>
              </w:rPr>
              <w:t>套临时简易雨水收集设施，施工废水经收集沉淀处理后全部回用于施工或洒水降尘，不外排。</w:t>
            </w:r>
          </w:p>
          <w:p w14:paraId="507B0398">
            <w:pPr>
              <w:pStyle w:val="18"/>
              <w:bidi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3</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在</w:t>
            </w:r>
            <w:r>
              <w:rPr>
                <w:rFonts w:hint="eastAsia" w:ascii="Times New Roman" w:hAnsi="Times New Roman" w:cs="Times New Roman"/>
                <w:color w:val="auto"/>
                <w:highlight w:val="none"/>
                <w:lang w:val="en-US" w:eastAsia="zh-CN"/>
              </w:rPr>
              <w:t>风机</w:t>
            </w:r>
            <w:r>
              <w:rPr>
                <w:rFonts w:hint="default" w:ascii="Times New Roman" w:hAnsi="Times New Roman" w:cs="Times New Roman"/>
                <w:color w:val="auto"/>
                <w:highlight w:val="none"/>
              </w:rPr>
              <w:t>施工期现场设置</w:t>
            </w:r>
            <w:r>
              <w:rPr>
                <w:rFonts w:hint="eastAsia" w:ascii="Times New Roman" w:hAnsi="Times New Roman" w:cs="Times New Roman"/>
                <w:color w:val="auto"/>
                <w:highlight w:val="none"/>
                <w:lang w:val="en-US" w:eastAsia="zh-CN"/>
              </w:rPr>
              <w:t>1</w:t>
            </w:r>
            <w:r>
              <w:rPr>
                <w:rFonts w:hint="default" w:ascii="Times New Roman" w:hAnsi="Times New Roman" w:cs="Times New Roman"/>
                <w:color w:val="auto"/>
                <w:highlight w:val="none"/>
              </w:rPr>
              <w:t>座移动防渗旱厕和化粪池</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收集施工人员的粪便污水，定期请当地农民清运</w:t>
            </w:r>
            <w:r>
              <w:rPr>
                <w:rFonts w:hint="eastAsia" w:ascii="Times New Roman" w:hAnsi="Times New Roman" w:cs="Times New Roman"/>
                <w:color w:val="auto"/>
                <w:highlight w:val="none"/>
                <w:lang w:val="en-US" w:eastAsia="zh-CN"/>
              </w:rPr>
              <w:t>用于农作物</w:t>
            </w:r>
            <w:r>
              <w:rPr>
                <w:rFonts w:hint="default" w:ascii="Times New Roman" w:hAnsi="Times New Roman" w:cs="Times New Roman"/>
                <w:color w:val="auto"/>
                <w:highlight w:val="none"/>
              </w:rPr>
              <w:t>。施工结束后，旱厕</w:t>
            </w:r>
            <w:r>
              <w:rPr>
                <w:rFonts w:hint="eastAsia" w:ascii="Times New Roman" w:hAnsi="Times New Roman" w:cs="Times New Roman"/>
                <w:color w:val="auto"/>
                <w:highlight w:val="none"/>
                <w:lang w:val="en-US" w:eastAsia="zh-CN"/>
              </w:rPr>
              <w:t>化粪池</w:t>
            </w:r>
            <w:r>
              <w:rPr>
                <w:rFonts w:hint="default" w:ascii="Times New Roman" w:hAnsi="Times New Roman" w:cs="Times New Roman"/>
                <w:color w:val="auto"/>
                <w:highlight w:val="none"/>
              </w:rPr>
              <w:t>全部拆除，恢复植被或复耕。</w:t>
            </w:r>
          </w:p>
          <w:p w14:paraId="0FD38107">
            <w:pPr>
              <w:pStyle w:val="18"/>
              <w:bidi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4</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为尽可能避免施工物料运输或发生交通事故，对周边水体水质造成污染，应合理安排运输工作，并在场区内主要路口处设置警示牌或警示围栏，提醒驾驶员减速慢行，减小事故发生的</w:t>
            </w:r>
            <w:r>
              <w:rPr>
                <w:rFonts w:hint="default" w:ascii="Times New Roman" w:hAnsi="Times New Roman" w:cs="Times New Roman"/>
                <w:color w:val="auto"/>
                <w:highlight w:val="none"/>
                <w:lang w:eastAsia="zh-CN"/>
              </w:rPr>
              <w:t>概率</w:t>
            </w:r>
            <w:r>
              <w:rPr>
                <w:rFonts w:hint="default" w:ascii="Times New Roman" w:hAnsi="Times New Roman" w:cs="Times New Roman"/>
                <w:color w:val="auto"/>
                <w:highlight w:val="none"/>
              </w:rPr>
              <w:t>。</w:t>
            </w:r>
          </w:p>
          <w:p w14:paraId="40F543CB">
            <w:pPr>
              <w:pStyle w:val="18"/>
              <w:bidi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5</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结合水土保持措施，做好施工区裸露地表的排水沟渠、临时</w:t>
            </w:r>
            <w:r>
              <w:rPr>
                <w:rFonts w:hint="default" w:ascii="Times New Roman" w:hAnsi="Times New Roman" w:cs="Times New Roman"/>
                <w:color w:val="auto"/>
                <w:highlight w:val="none"/>
                <w:lang w:eastAsia="zh-CN"/>
              </w:rPr>
              <w:t>沉沙池</w:t>
            </w:r>
            <w:r>
              <w:rPr>
                <w:rFonts w:hint="default" w:ascii="Times New Roman" w:hAnsi="Times New Roman" w:cs="Times New Roman"/>
                <w:color w:val="auto"/>
                <w:highlight w:val="none"/>
              </w:rPr>
              <w:t>等措施，不得向</w:t>
            </w:r>
            <w:r>
              <w:rPr>
                <w:rFonts w:hint="default" w:ascii="Times New Roman" w:hAnsi="Times New Roman" w:cs="Times New Roman"/>
                <w:color w:val="auto"/>
                <w:highlight w:val="none"/>
                <w:lang w:val="en-US" w:eastAsia="zh-CN"/>
              </w:rPr>
              <w:t>自然水体排水</w:t>
            </w:r>
            <w:r>
              <w:rPr>
                <w:rFonts w:hint="default" w:ascii="Times New Roman" w:hAnsi="Times New Roman" w:cs="Times New Roman"/>
                <w:color w:val="auto"/>
                <w:highlight w:val="none"/>
              </w:rPr>
              <w:t>。</w:t>
            </w:r>
          </w:p>
          <w:p w14:paraId="589BE244">
            <w:pPr>
              <w:pStyle w:val="18"/>
              <w:bidi w:val="0"/>
              <w:jc w:val="left"/>
              <w:rPr>
                <w:rFonts w:hint="default" w:ascii="Times New Roman" w:hAnsi="Times New Roman" w:cs="Times New Roman"/>
                <w:color w:val="auto"/>
              </w:rPr>
            </w:pP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6</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严格管理建筑垃圾和施工人员生活垃圾，统一收集，避免污染附近水体水质。</w:t>
            </w:r>
          </w:p>
        </w:tc>
        <w:tc>
          <w:tcPr>
            <w:tcW w:w="2262" w:type="dxa"/>
            <w:vAlign w:val="center"/>
          </w:tcPr>
          <w:p w14:paraId="43E83F6E">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施工废水和生活废水经处理后回用，废水不外排。</w:t>
            </w:r>
          </w:p>
          <w:p w14:paraId="612516EE">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修建防渗旱厕和化粪池，粪便污水无外排。</w:t>
            </w:r>
          </w:p>
          <w:p w14:paraId="191D1C4A">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3</w:t>
            </w:r>
            <w:r>
              <w:rPr>
                <w:rFonts w:hint="default" w:ascii="Times New Roman" w:hAnsi="Times New Roman" w:cs="Times New Roman"/>
                <w:color w:val="auto"/>
                <w:lang w:eastAsia="zh-CN"/>
              </w:rPr>
              <w:t>）</w:t>
            </w:r>
            <w:r>
              <w:rPr>
                <w:rFonts w:hint="default" w:ascii="Times New Roman" w:hAnsi="Times New Roman" w:cs="Times New Roman"/>
                <w:color w:val="auto"/>
              </w:rPr>
              <w:t>施工期环境监察报告、施工期环境监理报告。</w:t>
            </w:r>
          </w:p>
        </w:tc>
        <w:tc>
          <w:tcPr>
            <w:tcW w:w="3347" w:type="dxa"/>
            <w:vAlign w:val="center"/>
          </w:tcPr>
          <w:p w14:paraId="096BD33D">
            <w:pPr>
              <w:pStyle w:val="18"/>
              <w:bidi w:val="0"/>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w:t>
            </w:r>
          </w:p>
        </w:tc>
        <w:tc>
          <w:tcPr>
            <w:tcW w:w="1784" w:type="dxa"/>
            <w:gridSpan w:val="2"/>
            <w:vAlign w:val="center"/>
          </w:tcPr>
          <w:p w14:paraId="1809DB9A">
            <w:pPr>
              <w:pStyle w:val="18"/>
              <w:bidi w:val="0"/>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w:t>
            </w:r>
          </w:p>
        </w:tc>
      </w:tr>
      <w:tr w14:paraId="0CCC30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812" w:type="dxa"/>
            <w:gridSpan w:val="2"/>
            <w:vAlign w:val="center"/>
          </w:tcPr>
          <w:p w14:paraId="73A80D24">
            <w:pPr>
              <w:pStyle w:val="18"/>
              <w:bidi w:val="0"/>
              <w:jc w:val="center"/>
              <w:rPr>
                <w:rFonts w:hint="default" w:ascii="Times New Roman" w:hAnsi="Times New Roman" w:cs="Times New Roman"/>
                <w:color w:val="auto"/>
              </w:rPr>
            </w:pPr>
            <w:r>
              <w:rPr>
                <w:rFonts w:hint="default" w:ascii="Times New Roman" w:hAnsi="Times New Roman" w:cs="Times New Roman"/>
                <w:color w:val="auto"/>
              </w:rPr>
              <w:t>地下水及土壤环境</w:t>
            </w:r>
          </w:p>
        </w:tc>
        <w:tc>
          <w:tcPr>
            <w:tcW w:w="5732" w:type="dxa"/>
            <w:vAlign w:val="center"/>
          </w:tcPr>
          <w:p w14:paraId="6D238AA3">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2262" w:type="dxa"/>
            <w:vAlign w:val="center"/>
          </w:tcPr>
          <w:p w14:paraId="43F9F542">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3347" w:type="dxa"/>
            <w:vAlign w:val="center"/>
          </w:tcPr>
          <w:p w14:paraId="45E530CB">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1784" w:type="dxa"/>
            <w:gridSpan w:val="2"/>
            <w:vAlign w:val="center"/>
          </w:tcPr>
          <w:p w14:paraId="5B2EB1CC">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r>
      <w:tr w14:paraId="27AE9B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2" w:hRule="atLeast"/>
        </w:trPr>
        <w:tc>
          <w:tcPr>
            <w:tcW w:w="812" w:type="dxa"/>
            <w:gridSpan w:val="2"/>
            <w:vAlign w:val="center"/>
          </w:tcPr>
          <w:p w14:paraId="2D62ABEB">
            <w:pPr>
              <w:pStyle w:val="18"/>
              <w:bidi w:val="0"/>
              <w:jc w:val="center"/>
              <w:rPr>
                <w:rFonts w:hint="default" w:ascii="Times New Roman" w:hAnsi="Times New Roman" w:cs="Times New Roman"/>
                <w:color w:val="auto"/>
              </w:rPr>
            </w:pPr>
            <w:r>
              <w:rPr>
                <w:rFonts w:hint="default" w:ascii="Times New Roman" w:hAnsi="Times New Roman" w:cs="Times New Roman"/>
                <w:color w:val="auto"/>
              </w:rPr>
              <w:t>声环境</w:t>
            </w:r>
          </w:p>
        </w:tc>
        <w:tc>
          <w:tcPr>
            <w:tcW w:w="5732" w:type="dxa"/>
            <w:vAlign w:val="center"/>
          </w:tcPr>
          <w:p w14:paraId="77B14B6B">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尽量选用低噪声设备和工艺，并加强设备的维护保养</w:t>
            </w:r>
            <w:r>
              <w:rPr>
                <w:rFonts w:hint="default" w:ascii="Times New Roman" w:hAnsi="Times New Roman" w:cs="Times New Roman"/>
                <w:color w:val="auto"/>
                <w:lang w:eastAsia="zh-CN"/>
              </w:rPr>
              <w:t>（</w:t>
            </w:r>
            <w:r>
              <w:rPr>
                <w:rFonts w:hint="default" w:ascii="Times New Roman" w:hAnsi="Times New Roman" w:cs="Times New Roman"/>
                <w:color w:val="auto"/>
              </w:rPr>
              <w:t>如使用润滑油等</w:t>
            </w:r>
            <w:r>
              <w:rPr>
                <w:rFonts w:hint="default" w:ascii="Times New Roman" w:hAnsi="Times New Roman" w:cs="Times New Roman"/>
                <w:color w:val="auto"/>
                <w:lang w:eastAsia="zh-CN"/>
              </w:rPr>
              <w:t>）</w:t>
            </w:r>
            <w:r>
              <w:rPr>
                <w:rFonts w:hint="default" w:ascii="Times New Roman" w:hAnsi="Times New Roman" w:cs="Times New Roman"/>
                <w:color w:val="auto"/>
              </w:rPr>
              <w:t>及施工人员培训，要求施工人员应按规范操作施工机械；对噪声过大的发声装置，安装消声器或隔声罩等。</w:t>
            </w:r>
          </w:p>
          <w:p w14:paraId="4F3D0E0C">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对施工运输车辆行驶时间、行驶路线进行严格控制和管理。物资运输车辆在经过靠近村庄的道路时应保持低速行驶并禁止鸣笛，工程施工期应禁止物资运输车辆在夜间22:00</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次日</w:t>
            </w:r>
            <w:r>
              <w:rPr>
                <w:rFonts w:hint="default" w:ascii="Times New Roman" w:hAnsi="Times New Roman" w:cs="Times New Roman"/>
                <w:color w:val="auto"/>
              </w:rPr>
              <w:t>凌晨6:00经过靠近村庄的道路；加强工程区施工道路的养护。</w:t>
            </w:r>
          </w:p>
          <w:p w14:paraId="18C568DC">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3</w:t>
            </w:r>
            <w:r>
              <w:rPr>
                <w:rFonts w:hint="default" w:ascii="Times New Roman" w:hAnsi="Times New Roman" w:cs="Times New Roman"/>
                <w:color w:val="auto"/>
                <w:lang w:eastAsia="zh-CN"/>
              </w:rPr>
              <w:t>）</w:t>
            </w:r>
            <w:r>
              <w:rPr>
                <w:rFonts w:hint="default" w:ascii="Times New Roman" w:hAnsi="Times New Roman" w:cs="Times New Roman"/>
                <w:color w:val="auto"/>
              </w:rPr>
              <w:t>加强施工管理，合理安排施工时间，工程禁止夜间施工。</w:t>
            </w:r>
          </w:p>
        </w:tc>
        <w:tc>
          <w:tcPr>
            <w:tcW w:w="2262" w:type="dxa"/>
            <w:vAlign w:val="center"/>
          </w:tcPr>
          <w:p w14:paraId="6527F523">
            <w:pPr>
              <w:pStyle w:val="18"/>
              <w:bidi w:val="0"/>
              <w:jc w:val="left"/>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施工期声环境质量满足《建筑施工噪声排放标准》</w:t>
            </w:r>
            <w:r>
              <w:rPr>
                <w:rFonts w:hint="default" w:ascii="Times New Roman" w:hAnsi="Times New Roman" w:cs="Times New Roman"/>
                <w:color w:val="auto"/>
                <w:lang w:eastAsia="zh-CN"/>
              </w:rPr>
              <w:t>（</w:t>
            </w:r>
            <w:r>
              <w:rPr>
                <w:rFonts w:hint="default" w:ascii="Times New Roman" w:hAnsi="Times New Roman" w:cs="Times New Roman"/>
                <w:color w:val="auto"/>
              </w:rPr>
              <w:t>GB12523-2025</w:t>
            </w:r>
            <w:r>
              <w:rPr>
                <w:rFonts w:hint="default" w:ascii="Times New Roman" w:hAnsi="Times New Roman" w:cs="Times New Roman"/>
                <w:color w:val="auto"/>
                <w:lang w:eastAsia="zh-CN"/>
              </w:rPr>
              <w:t>），</w:t>
            </w:r>
            <w:r>
              <w:rPr>
                <w:rFonts w:hint="default" w:ascii="Times New Roman" w:hAnsi="Times New Roman" w:cs="Times New Roman"/>
                <w:color w:val="auto"/>
              </w:rPr>
              <w:t>不对周边居民正常生活造成影响无因施工噪声引发的居民投诉事件发生</w:t>
            </w:r>
            <w:r>
              <w:rPr>
                <w:rFonts w:hint="default" w:ascii="Times New Roman" w:hAnsi="Times New Roman" w:cs="Times New Roman"/>
                <w:color w:val="auto"/>
                <w:lang w:eastAsia="zh-CN"/>
              </w:rPr>
              <w:t>。</w:t>
            </w:r>
          </w:p>
          <w:p w14:paraId="60C1C93A">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3</w:t>
            </w:r>
            <w:r>
              <w:rPr>
                <w:rFonts w:hint="default" w:ascii="Times New Roman" w:hAnsi="Times New Roman" w:cs="Times New Roman"/>
                <w:color w:val="auto"/>
                <w:lang w:eastAsia="zh-CN"/>
              </w:rPr>
              <w:t>）</w:t>
            </w:r>
            <w:r>
              <w:rPr>
                <w:rFonts w:hint="default" w:ascii="Times New Roman" w:hAnsi="Times New Roman" w:cs="Times New Roman"/>
                <w:color w:val="auto"/>
              </w:rPr>
              <w:t>施工期环境监察报告、施工期环境监理报告。</w:t>
            </w:r>
          </w:p>
          <w:p w14:paraId="74F5B34C">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4</w:t>
            </w:r>
            <w:r>
              <w:rPr>
                <w:rFonts w:hint="default" w:ascii="Times New Roman" w:hAnsi="Times New Roman" w:cs="Times New Roman"/>
                <w:color w:val="auto"/>
                <w:lang w:eastAsia="zh-CN"/>
              </w:rPr>
              <w:t>）</w:t>
            </w:r>
            <w:r>
              <w:rPr>
                <w:rFonts w:hint="default" w:ascii="Times New Roman" w:hAnsi="Times New Roman" w:cs="Times New Roman"/>
                <w:color w:val="auto"/>
              </w:rPr>
              <w:t>施工期环境监测报告。</w:t>
            </w:r>
          </w:p>
        </w:tc>
        <w:tc>
          <w:tcPr>
            <w:tcW w:w="3347" w:type="dxa"/>
            <w:vAlign w:val="center"/>
          </w:tcPr>
          <w:p w14:paraId="32736B92">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）加大</w:t>
            </w:r>
            <w:r>
              <w:rPr>
                <w:rFonts w:hint="default" w:ascii="Times New Roman" w:hAnsi="Times New Roman" w:cs="Times New Roman"/>
                <w:color w:val="auto"/>
              </w:rPr>
              <w:t>场内公路的维护力度，使路面保持平整，尽量减少因路面坑洼不平而产生噪声。</w:t>
            </w:r>
          </w:p>
          <w:p w14:paraId="103183F2">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加强风机运行维护，避免设备非正常运行产生的噪声。</w:t>
            </w:r>
          </w:p>
          <w:p w14:paraId="57B05AC0">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3</w:t>
            </w:r>
            <w:r>
              <w:rPr>
                <w:rFonts w:hint="default" w:ascii="Times New Roman" w:hAnsi="Times New Roman" w:cs="Times New Roman"/>
                <w:color w:val="auto"/>
                <w:lang w:eastAsia="zh-CN"/>
              </w:rPr>
              <w:t>）</w:t>
            </w:r>
            <w:r>
              <w:rPr>
                <w:rFonts w:hint="default" w:ascii="Times New Roman" w:hAnsi="Times New Roman" w:cs="Times New Roman"/>
                <w:color w:val="auto"/>
              </w:rPr>
              <w:t>加强运行期间风机噪声监测，妥善处理</w:t>
            </w:r>
            <w:r>
              <w:rPr>
                <w:rFonts w:hint="eastAsia" w:ascii="Times New Roman" w:hAnsi="Times New Roman" w:cs="Times New Roman"/>
                <w:color w:val="auto"/>
                <w:lang w:eastAsia="zh-CN"/>
              </w:rPr>
              <w:t>居民合理</w:t>
            </w:r>
            <w:r>
              <w:rPr>
                <w:rFonts w:hint="default" w:ascii="Times New Roman" w:hAnsi="Times New Roman" w:cs="Times New Roman"/>
                <w:color w:val="auto"/>
              </w:rPr>
              <w:t>诉求。</w:t>
            </w:r>
          </w:p>
          <w:p w14:paraId="5C1A51E1">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highlight w:val="none"/>
              </w:rPr>
              <w:t>4</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本项目设置</w:t>
            </w:r>
            <w:r>
              <w:rPr>
                <w:rFonts w:hint="eastAsia" w:ascii="Times New Roman" w:hAnsi="Times New Roman" w:cs="Times New Roman"/>
                <w:color w:val="auto"/>
                <w:highlight w:val="none"/>
                <w:lang w:val="en-US" w:eastAsia="zh-CN"/>
              </w:rPr>
              <w:t>500</w:t>
            </w:r>
            <w:r>
              <w:rPr>
                <w:rFonts w:hint="default" w:ascii="Times New Roman" w:hAnsi="Times New Roman" w:cs="Times New Roman"/>
                <w:color w:val="auto"/>
                <w:highlight w:val="none"/>
              </w:rPr>
              <w:t>m的噪声防护距离，风机建设前向主管部门备案，</w:t>
            </w:r>
            <w:r>
              <w:rPr>
                <w:rFonts w:hint="eastAsia" w:ascii="Times New Roman" w:hAnsi="Times New Roman" w:cs="Times New Roman"/>
                <w:color w:val="auto"/>
                <w:highlight w:val="none"/>
                <w:lang w:eastAsia="zh-CN"/>
              </w:rPr>
              <w:t>风机平台</w:t>
            </w:r>
            <w:r>
              <w:rPr>
                <w:rFonts w:hint="eastAsia" w:ascii="Times New Roman" w:hAnsi="Times New Roman" w:cs="Times New Roman"/>
                <w:color w:val="auto"/>
                <w:highlight w:val="none"/>
                <w:lang w:val="en-US" w:eastAsia="zh-CN"/>
              </w:rPr>
              <w:t>500</w:t>
            </w:r>
            <w:r>
              <w:rPr>
                <w:rFonts w:hint="default" w:ascii="Times New Roman" w:hAnsi="Times New Roman" w:cs="Times New Roman"/>
                <w:color w:val="auto"/>
                <w:highlight w:val="none"/>
              </w:rPr>
              <w:t>m范围内不得新建居民区，并告知</w:t>
            </w:r>
            <w:r>
              <w:rPr>
                <w:rFonts w:hint="default" w:ascii="Times New Roman" w:hAnsi="Times New Roman" w:cs="Times New Roman"/>
                <w:color w:val="auto"/>
                <w:highlight w:val="none"/>
                <w:lang w:val="en-US" w:eastAsia="zh-CN"/>
              </w:rPr>
              <w:t>宣威市</w:t>
            </w:r>
            <w:r>
              <w:rPr>
                <w:rFonts w:hint="default" w:ascii="Times New Roman" w:hAnsi="Times New Roman" w:cs="Times New Roman"/>
                <w:color w:val="auto"/>
                <w:highlight w:val="none"/>
              </w:rPr>
              <w:t>及相关村委会。</w:t>
            </w:r>
          </w:p>
        </w:tc>
        <w:tc>
          <w:tcPr>
            <w:tcW w:w="1784" w:type="dxa"/>
            <w:gridSpan w:val="2"/>
            <w:vAlign w:val="center"/>
          </w:tcPr>
          <w:p w14:paraId="0B05B9DF">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运行期周边居民点声环境质量满足《声环境质量标准》</w:t>
            </w:r>
            <w:r>
              <w:rPr>
                <w:rFonts w:hint="default" w:ascii="Times New Roman" w:hAnsi="Times New Roman" w:cs="Times New Roman"/>
                <w:color w:val="auto"/>
                <w:lang w:eastAsia="zh-CN"/>
              </w:rPr>
              <w:t>（</w:t>
            </w:r>
            <w:r>
              <w:rPr>
                <w:rFonts w:hint="default" w:ascii="Times New Roman" w:hAnsi="Times New Roman" w:cs="Times New Roman"/>
                <w:color w:val="auto"/>
              </w:rPr>
              <w:t>GB3096-2008</w:t>
            </w:r>
            <w:r>
              <w:rPr>
                <w:rFonts w:hint="default" w:ascii="Times New Roman" w:hAnsi="Times New Roman" w:cs="Times New Roman"/>
                <w:color w:val="auto"/>
                <w:lang w:eastAsia="zh-CN"/>
              </w:rPr>
              <w:t>）</w:t>
            </w:r>
            <w:r>
              <w:rPr>
                <w:rFonts w:hint="default" w:ascii="Times New Roman" w:hAnsi="Times New Roman" w:cs="Times New Roman"/>
                <w:color w:val="auto"/>
              </w:rPr>
              <w:t>中的1类标准。</w:t>
            </w:r>
          </w:p>
          <w:p w14:paraId="4AF448CB">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工程运行不对周边居民正常生活造成影响，无因施工噪声引发的居民投诉事件发生。</w:t>
            </w:r>
          </w:p>
        </w:tc>
      </w:tr>
      <w:tr w14:paraId="5BDAE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9" w:hRule="atLeast"/>
        </w:trPr>
        <w:tc>
          <w:tcPr>
            <w:tcW w:w="812" w:type="dxa"/>
            <w:gridSpan w:val="2"/>
            <w:vAlign w:val="center"/>
          </w:tcPr>
          <w:p w14:paraId="2C922FEA">
            <w:pPr>
              <w:pStyle w:val="18"/>
              <w:bidi w:val="0"/>
              <w:jc w:val="center"/>
              <w:rPr>
                <w:rFonts w:hint="default" w:ascii="Times New Roman" w:hAnsi="Times New Roman" w:cs="Times New Roman"/>
                <w:color w:val="auto"/>
              </w:rPr>
            </w:pPr>
            <w:r>
              <w:rPr>
                <w:rFonts w:hint="default" w:ascii="Times New Roman" w:hAnsi="Times New Roman" w:cs="Times New Roman"/>
                <w:color w:val="auto"/>
              </w:rPr>
              <w:t>振动</w:t>
            </w:r>
          </w:p>
        </w:tc>
        <w:tc>
          <w:tcPr>
            <w:tcW w:w="5732" w:type="dxa"/>
            <w:vAlign w:val="center"/>
          </w:tcPr>
          <w:p w14:paraId="6CC9639A">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2262" w:type="dxa"/>
            <w:vAlign w:val="center"/>
          </w:tcPr>
          <w:p w14:paraId="3E256BBE">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3347" w:type="dxa"/>
            <w:vAlign w:val="center"/>
          </w:tcPr>
          <w:p w14:paraId="08656D29">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1784" w:type="dxa"/>
            <w:gridSpan w:val="2"/>
            <w:vAlign w:val="center"/>
          </w:tcPr>
          <w:p w14:paraId="7D208F01">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r>
      <w:tr w14:paraId="6DECF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2" w:type="dxa"/>
            <w:gridSpan w:val="2"/>
            <w:vAlign w:val="center"/>
          </w:tcPr>
          <w:p w14:paraId="42F6901D">
            <w:pPr>
              <w:pStyle w:val="18"/>
              <w:bidi w:val="0"/>
              <w:jc w:val="center"/>
              <w:rPr>
                <w:rFonts w:hint="default" w:ascii="Times New Roman" w:hAnsi="Times New Roman" w:cs="Times New Roman"/>
                <w:color w:val="auto"/>
              </w:rPr>
            </w:pPr>
            <w:r>
              <w:rPr>
                <w:rFonts w:hint="default" w:ascii="Times New Roman" w:hAnsi="Times New Roman" w:cs="Times New Roman"/>
                <w:color w:val="auto"/>
              </w:rPr>
              <w:t>大气环境</w:t>
            </w:r>
          </w:p>
        </w:tc>
        <w:tc>
          <w:tcPr>
            <w:tcW w:w="5732" w:type="dxa"/>
            <w:vAlign w:val="center"/>
          </w:tcPr>
          <w:p w14:paraId="6DB77C97">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料场堆放物料采用篷布遮盖、围挡等措施防尘抑尘。</w:t>
            </w:r>
          </w:p>
          <w:p w14:paraId="2465E4F1">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运输车辆进入</w:t>
            </w:r>
            <w:r>
              <w:rPr>
                <w:rFonts w:hint="eastAsia" w:ascii="Times New Roman" w:hAnsi="Times New Roman" w:cs="Times New Roman"/>
                <w:color w:val="auto"/>
                <w:lang w:val="en-US" w:eastAsia="zh-CN"/>
              </w:rPr>
              <w:t>村庄及</w:t>
            </w:r>
            <w:r>
              <w:rPr>
                <w:rFonts w:hint="default" w:ascii="Times New Roman" w:hAnsi="Times New Roman" w:cs="Times New Roman"/>
                <w:color w:val="auto"/>
              </w:rPr>
              <w:t>施工场地应低速行驶或限速行驶，</w:t>
            </w:r>
            <w:r>
              <w:rPr>
                <w:rFonts w:hint="eastAsia" w:ascii="Times New Roman" w:hAnsi="Times New Roman" w:cs="Times New Roman"/>
                <w:color w:val="auto"/>
                <w:lang w:val="en-US" w:eastAsia="zh-CN"/>
              </w:rPr>
              <w:t>在车辆经过的村庄和</w:t>
            </w:r>
            <w:r>
              <w:rPr>
                <w:rFonts w:hint="default" w:ascii="Times New Roman" w:hAnsi="Times New Roman" w:cs="Times New Roman"/>
                <w:color w:val="auto"/>
              </w:rPr>
              <w:t>场地内运输通道</w:t>
            </w:r>
            <w:r>
              <w:rPr>
                <w:rFonts w:hint="eastAsia" w:ascii="Times New Roman" w:hAnsi="Times New Roman" w:cs="Times New Roman"/>
                <w:color w:val="auto"/>
                <w:lang w:val="en-US" w:eastAsia="zh-CN"/>
              </w:rPr>
              <w:t>应</w:t>
            </w:r>
            <w:r>
              <w:rPr>
                <w:rFonts w:hint="default" w:ascii="Times New Roman" w:hAnsi="Times New Roman" w:cs="Times New Roman"/>
                <w:color w:val="auto"/>
              </w:rPr>
              <w:t>及时清扫、定期洒水，对运载建筑材料、建筑垃圾和粉状材料的车辆加盖</w:t>
            </w:r>
            <w:r>
              <w:rPr>
                <w:rFonts w:hint="default" w:ascii="Times New Roman" w:hAnsi="Times New Roman" w:cs="Times New Roman"/>
                <w:color w:val="auto"/>
                <w:lang w:eastAsia="zh-CN"/>
              </w:rPr>
              <w:t>篷布</w:t>
            </w:r>
            <w:r>
              <w:rPr>
                <w:rFonts w:hint="default" w:ascii="Times New Roman" w:hAnsi="Times New Roman" w:cs="Times New Roman"/>
                <w:color w:val="auto"/>
              </w:rPr>
              <w:t>减少洒落。</w:t>
            </w:r>
          </w:p>
          <w:p w14:paraId="1AE21FF1">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3</w:t>
            </w:r>
            <w:r>
              <w:rPr>
                <w:rFonts w:hint="default" w:ascii="Times New Roman" w:hAnsi="Times New Roman" w:cs="Times New Roman"/>
                <w:color w:val="auto"/>
                <w:lang w:eastAsia="zh-CN"/>
              </w:rPr>
              <w:t>）</w:t>
            </w:r>
            <w:r>
              <w:rPr>
                <w:rFonts w:hint="default" w:ascii="Times New Roman" w:hAnsi="Times New Roman" w:cs="Times New Roman"/>
                <w:color w:val="auto"/>
              </w:rPr>
              <w:t>施工期间根据具体情况适时对施工现场、交通道路洒水，每日至少2次</w:t>
            </w:r>
            <w:r>
              <w:rPr>
                <w:rFonts w:hint="default" w:ascii="Times New Roman" w:hAnsi="Times New Roman" w:cs="Times New Roman"/>
                <w:color w:val="auto"/>
                <w:lang w:eastAsia="zh-CN"/>
              </w:rPr>
              <w:t>（</w:t>
            </w:r>
            <w:r>
              <w:rPr>
                <w:rFonts w:hint="default" w:ascii="Times New Roman" w:hAnsi="Times New Roman" w:cs="Times New Roman"/>
                <w:color w:val="auto"/>
              </w:rPr>
              <w:t>降雨日除外</w:t>
            </w:r>
            <w:r>
              <w:rPr>
                <w:rFonts w:hint="default" w:ascii="Times New Roman" w:hAnsi="Times New Roman" w:cs="Times New Roman"/>
                <w:color w:val="auto"/>
                <w:lang w:eastAsia="zh-CN"/>
              </w:rPr>
              <w:t>），</w:t>
            </w:r>
            <w:r>
              <w:rPr>
                <w:rFonts w:hint="default" w:ascii="Times New Roman" w:hAnsi="Times New Roman" w:cs="Times New Roman"/>
                <w:color w:val="auto"/>
              </w:rPr>
              <w:t>春季干旱多风日可适当增加洒水次数，车辆物资运输经过的路段应增加洒水次数。</w:t>
            </w:r>
          </w:p>
          <w:p w14:paraId="33864DF6">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4</w:t>
            </w:r>
            <w:r>
              <w:rPr>
                <w:rFonts w:hint="default" w:ascii="Times New Roman" w:hAnsi="Times New Roman" w:cs="Times New Roman"/>
                <w:color w:val="auto"/>
                <w:lang w:eastAsia="zh-CN"/>
              </w:rPr>
              <w:t>）</w:t>
            </w:r>
            <w:r>
              <w:rPr>
                <w:rFonts w:hint="default" w:ascii="Times New Roman" w:hAnsi="Times New Roman" w:cs="Times New Roman"/>
                <w:color w:val="auto"/>
              </w:rPr>
              <w:t>尽量减少临时占地，严禁破坏永久占地和临时占地外的植被。</w:t>
            </w:r>
          </w:p>
          <w:p w14:paraId="1FEF86EE">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5</w:t>
            </w:r>
            <w:r>
              <w:rPr>
                <w:rFonts w:hint="default" w:ascii="Times New Roman" w:hAnsi="Times New Roman" w:cs="Times New Roman"/>
                <w:color w:val="auto"/>
                <w:lang w:eastAsia="zh-CN"/>
              </w:rPr>
              <w:t>）</w:t>
            </w:r>
            <w:r>
              <w:rPr>
                <w:rFonts w:hint="default" w:ascii="Times New Roman" w:hAnsi="Times New Roman" w:cs="Times New Roman"/>
                <w:color w:val="auto"/>
              </w:rPr>
              <w:t>施工期对风机基座开挖的土方回填后剩余的土应及时运走，尽快恢复植被，</w:t>
            </w:r>
            <w:r>
              <w:rPr>
                <w:rFonts w:hint="default" w:ascii="Times New Roman" w:hAnsi="Times New Roman" w:cs="Times New Roman"/>
                <w:color w:val="auto"/>
                <w:lang w:eastAsia="zh-CN"/>
              </w:rPr>
              <w:t>减小</w:t>
            </w:r>
            <w:r>
              <w:rPr>
                <w:rFonts w:hint="default" w:ascii="Times New Roman" w:hAnsi="Times New Roman" w:cs="Times New Roman"/>
                <w:color w:val="auto"/>
              </w:rPr>
              <w:t>风蚀强度。</w:t>
            </w:r>
          </w:p>
          <w:p w14:paraId="05232F7E">
            <w:pPr>
              <w:pStyle w:val="18"/>
              <w:bidi w:val="0"/>
              <w:jc w:val="left"/>
              <w:rPr>
                <w:rFonts w:hint="default" w:ascii="Times New Roman" w:hAnsi="Times New Roman" w:cs="Times New Roman"/>
                <w:color w:val="auto"/>
                <w:highlight w:val="none"/>
              </w:rPr>
            </w:pP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6</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对临时堆土点的</w:t>
            </w:r>
            <w:r>
              <w:rPr>
                <w:rFonts w:hint="eastAsia" w:ascii="Times New Roman" w:hAnsi="Times New Roman" w:cs="Times New Roman"/>
                <w:color w:val="auto"/>
                <w:highlight w:val="none"/>
                <w:lang w:val="en-US" w:eastAsia="zh-CN"/>
              </w:rPr>
              <w:t>表土</w:t>
            </w:r>
            <w:r>
              <w:rPr>
                <w:rFonts w:hint="default" w:ascii="Times New Roman" w:hAnsi="Times New Roman" w:cs="Times New Roman"/>
                <w:color w:val="auto"/>
                <w:highlight w:val="none"/>
              </w:rPr>
              <w:t>应尽快回填利用，暂时不能利用的采用编织袋进行临时挡护，顶面用土工布进行覆盖。</w:t>
            </w:r>
          </w:p>
          <w:p w14:paraId="45A30BB8">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8</w:t>
            </w:r>
            <w:r>
              <w:rPr>
                <w:rFonts w:hint="default" w:ascii="Times New Roman" w:hAnsi="Times New Roman" w:cs="Times New Roman"/>
                <w:color w:val="auto"/>
                <w:lang w:eastAsia="zh-CN"/>
              </w:rPr>
              <w:t>）</w:t>
            </w:r>
            <w:r>
              <w:rPr>
                <w:rFonts w:hint="default" w:ascii="Times New Roman" w:hAnsi="Times New Roman" w:cs="Times New Roman"/>
                <w:color w:val="auto"/>
              </w:rPr>
              <w:t>对场内道路山顶部分，由于多为挖方或半挖半填路段，其挖填形成的边坡较小，采用土工布覆盖临时防护；挖填方量大、边坡较高的路段，需在道路的下边坡以及少量临时弃土布置编织土袋挡护措施。</w:t>
            </w:r>
          </w:p>
        </w:tc>
        <w:tc>
          <w:tcPr>
            <w:tcW w:w="2262" w:type="dxa"/>
            <w:vAlign w:val="center"/>
          </w:tcPr>
          <w:p w14:paraId="18252507">
            <w:pPr>
              <w:pStyle w:val="18"/>
              <w:bidi w:val="0"/>
              <w:jc w:val="left"/>
              <w:rPr>
                <w:rFonts w:hint="eastAsia" w:ascii="Times New Roman" w:hAnsi="Times New Roman" w:eastAsia="宋体" w:cs="Times New Roman"/>
                <w:color w:val="auto"/>
                <w:lang w:eastAsia="zh-CN"/>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施工期环境监察报告、施工期环境监理报告</w:t>
            </w:r>
            <w:r>
              <w:rPr>
                <w:rFonts w:hint="eastAsia" w:ascii="Times New Roman" w:hAnsi="Times New Roman" w:cs="Times New Roman"/>
                <w:color w:val="auto"/>
                <w:lang w:eastAsia="zh-CN"/>
              </w:rPr>
              <w:t>；</w:t>
            </w:r>
          </w:p>
          <w:p w14:paraId="7F83D6EF">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施工区大气污染排放满足《大气污染物综合排放标准》</w:t>
            </w:r>
            <w:r>
              <w:rPr>
                <w:rFonts w:hint="default" w:ascii="Times New Roman" w:hAnsi="Times New Roman" w:cs="Times New Roman"/>
                <w:color w:val="auto"/>
                <w:lang w:eastAsia="zh-CN"/>
              </w:rPr>
              <w:t>（</w:t>
            </w:r>
            <w:r>
              <w:rPr>
                <w:rFonts w:hint="default" w:ascii="Times New Roman" w:hAnsi="Times New Roman" w:cs="Times New Roman"/>
                <w:color w:val="auto"/>
              </w:rPr>
              <w:t>GB16297-1996</w:t>
            </w:r>
            <w:r>
              <w:rPr>
                <w:rFonts w:hint="default" w:ascii="Times New Roman" w:hAnsi="Times New Roman" w:cs="Times New Roman"/>
                <w:color w:val="auto"/>
                <w:lang w:eastAsia="zh-CN"/>
              </w:rPr>
              <w:t>）</w:t>
            </w:r>
            <w:r>
              <w:rPr>
                <w:rFonts w:hint="default" w:ascii="Times New Roman" w:hAnsi="Times New Roman" w:cs="Times New Roman"/>
                <w:color w:val="auto"/>
              </w:rPr>
              <w:t>表2无组织排放监控浓度限值要求。</w:t>
            </w:r>
          </w:p>
          <w:p w14:paraId="12D5EC71">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3</w:t>
            </w:r>
            <w:r>
              <w:rPr>
                <w:rFonts w:hint="default" w:ascii="Times New Roman" w:hAnsi="Times New Roman" w:cs="Times New Roman"/>
                <w:color w:val="auto"/>
                <w:lang w:eastAsia="zh-CN"/>
              </w:rPr>
              <w:t>）</w:t>
            </w:r>
            <w:r>
              <w:rPr>
                <w:rFonts w:hint="default" w:ascii="Times New Roman" w:hAnsi="Times New Roman" w:cs="Times New Roman"/>
                <w:color w:val="auto"/>
              </w:rPr>
              <w:t>无因施工废气引起的居民投诉事件。</w:t>
            </w:r>
          </w:p>
        </w:tc>
        <w:tc>
          <w:tcPr>
            <w:tcW w:w="3347" w:type="dxa"/>
            <w:vAlign w:val="center"/>
          </w:tcPr>
          <w:p w14:paraId="3D771651">
            <w:pPr>
              <w:pStyle w:val="18"/>
              <w:bidi w:val="0"/>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w:t>
            </w:r>
          </w:p>
        </w:tc>
        <w:tc>
          <w:tcPr>
            <w:tcW w:w="1784" w:type="dxa"/>
            <w:gridSpan w:val="2"/>
            <w:vAlign w:val="center"/>
          </w:tcPr>
          <w:p w14:paraId="0F961A24">
            <w:pPr>
              <w:pStyle w:val="18"/>
              <w:bidi w:val="0"/>
              <w:ind w:firstLine="0" w:firstLineChars="0"/>
              <w:jc w:val="center"/>
              <w:rPr>
                <w:rFonts w:hint="default" w:ascii="Times New Roman" w:hAnsi="Times New Roman" w:cs="Times New Roman"/>
                <w:color w:val="auto"/>
              </w:rPr>
            </w:pPr>
            <w:r>
              <w:rPr>
                <w:rFonts w:hint="default" w:ascii="Times New Roman" w:hAnsi="Times New Roman" w:cs="Times New Roman"/>
                <w:color w:val="auto"/>
              </w:rPr>
              <w:t>/</w:t>
            </w:r>
          </w:p>
        </w:tc>
      </w:tr>
      <w:tr w14:paraId="3EEFA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3" w:hRule="atLeast"/>
        </w:trPr>
        <w:tc>
          <w:tcPr>
            <w:tcW w:w="812" w:type="dxa"/>
            <w:gridSpan w:val="2"/>
            <w:vAlign w:val="center"/>
          </w:tcPr>
          <w:p w14:paraId="3551241F">
            <w:pPr>
              <w:pStyle w:val="18"/>
              <w:bidi w:val="0"/>
              <w:jc w:val="center"/>
              <w:rPr>
                <w:rFonts w:hint="default" w:ascii="Times New Roman" w:hAnsi="Times New Roman" w:cs="Times New Roman"/>
                <w:color w:val="auto"/>
              </w:rPr>
            </w:pPr>
            <w:r>
              <w:rPr>
                <w:rFonts w:hint="default" w:ascii="Times New Roman" w:hAnsi="Times New Roman" w:cs="Times New Roman"/>
                <w:color w:val="auto"/>
              </w:rPr>
              <w:t>固体废物</w:t>
            </w:r>
          </w:p>
        </w:tc>
        <w:tc>
          <w:tcPr>
            <w:tcW w:w="5732" w:type="dxa"/>
            <w:vAlign w:val="center"/>
          </w:tcPr>
          <w:p w14:paraId="3489B0E4">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1</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严格落实水土保持方案相关要求，项目区土石方平衡，无弃渣</w:t>
            </w:r>
            <w:r>
              <w:rPr>
                <w:rFonts w:hint="default" w:ascii="Times New Roman" w:hAnsi="Times New Roman" w:cs="Times New Roman"/>
                <w:color w:val="auto"/>
              </w:rPr>
              <w:t>。</w:t>
            </w:r>
          </w:p>
          <w:p w14:paraId="5A74DCC9">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表土</w:t>
            </w:r>
            <w:r>
              <w:rPr>
                <w:rFonts w:hint="default" w:ascii="Times New Roman" w:hAnsi="Times New Roman" w:cs="Times New Roman"/>
                <w:color w:val="auto"/>
              </w:rPr>
              <w:t>必须严格在指定</w:t>
            </w:r>
            <w:r>
              <w:rPr>
                <w:rFonts w:hint="eastAsia" w:ascii="Times New Roman" w:hAnsi="Times New Roman" w:cs="Times New Roman"/>
                <w:color w:val="auto"/>
                <w:lang w:val="en-US" w:eastAsia="zh-CN"/>
              </w:rPr>
              <w:t>临时表土堆场</w:t>
            </w:r>
            <w:r>
              <w:rPr>
                <w:rFonts w:hint="default" w:ascii="Times New Roman" w:hAnsi="Times New Roman" w:cs="Times New Roman"/>
                <w:color w:val="auto"/>
              </w:rPr>
              <w:t>集中堆放，不得随意倾倒。</w:t>
            </w:r>
          </w:p>
          <w:p w14:paraId="01C160B4">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3</w:t>
            </w:r>
            <w:r>
              <w:rPr>
                <w:rFonts w:hint="default" w:ascii="Times New Roman" w:hAnsi="Times New Roman" w:cs="Times New Roman"/>
                <w:color w:val="auto"/>
                <w:lang w:eastAsia="zh-CN"/>
              </w:rPr>
              <w:t>）</w:t>
            </w:r>
            <w:r>
              <w:rPr>
                <w:rFonts w:hint="default" w:ascii="Times New Roman" w:hAnsi="Times New Roman" w:cs="Times New Roman"/>
                <w:color w:val="auto"/>
              </w:rPr>
              <w:t>施工期生活垃圾分类回收利用，共配置12个垃圾收集桶统一收集施工人员产生的生活垃圾，施工期生活垃圾集中收集后运至附近村庄垃圾收集点由当地环卫部门处置</w:t>
            </w:r>
          </w:p>
          <w:p w14:paraId="0FCB33C8">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4</w:t>
            </w:r>
            <w:r>
              <w:rPr>
                <w:rFonts w:hint="default" w:ascii="Times New Roman" w:hAnsi="Times New Roman" w:cs="Times New Roman"/>
                <w:color w:val="auto"/>
                <w:lang w:eastAsia="zh-CN"/>
              </w:rPr>
              <w:t>）</w:t>
            </w:r>
            <w:r>
              <w:rPr>
                <w:rFonts w:hint="default" w:ascii="Times New Roman" w:hAnsi="Times New Roman" w:cs="Times New Roman"/>
                <w:color w:val="auto"/>
              </w:rPr>
              <w:t>加强对施工承包商的管理，对施工期间产生的包装袋等建筑垃圾，要求施工单位及时回收，清运。并将此纳入施工合同的相应条款中。</w:t>
            </w:r>
          </w:p>
        </w:tc>
        <w:tc>
          <w:tcPr>
            <w:tcW w:w="2262" w:type="dxa"/>
            <w:vAlign w:val="center"/>
          </w:tcPr>
          <w:p w14:paraId="4D9ED043">
            <w:pPr>
              <w:pStyle w:val="18"/>
              <w:bidi w:val="0"/>
              <w:jc w:val="left"/>
              <w:rPr>
                <w:rFonts w:hint="eastAsia" w:ascii="Times New Roman" w:hAnsi="Times New Roman" w:eastAsia="宋体" w:cs="Times New Roman"/>
                <w:color w:val="auto"/>
                <w:lang w:val="en-US" w:eastAsia="zh-CN"/>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规范</w:t>
            </w:r>
            <w:r>
              <w:rPr>
                <w:rFonts w:hint="eastAsia" w:ascii="Times New Roman" w:hAnsi="Times New Roman" w:cs="Times New Roman"/>
                <w:color w:val="auto"/>
                <w:lang w:val="en-US" w:eastAsia="zh-CN"/>
              </w:rPr>
              <w:t>堆土堆渣</w:t>
            </w:r>
            <w:r>
              <w:rPr>
                <w:rFonts w:hint="eastAsia" w:ascii="Times New Roman" w:hAnsi="Times New Roman" w:cs="Times New Roman"/>
                <w:color w:val="auto"/>
                <w:lang w:eastAsia="zh-CN"/>
              </w:rPr>
              <w:t>；</w:t>
            </w:r>
          </w:p>
          <w:p w14:paraId="36610BD1">
            <w:pPr>
              <w:pStyle w:val="18"/>
              <w:bidi w:val="0"/>
              <w:jc w:val="left"/>
              <w:rPr>
                <w:rFonts w:hint="eastAsia" w:ascii="Times New Roman" w:hAnsi="Times New Roman" w:eastAsia="宋体" w:cs="Times New Roman"/>
                <w:color w:val="auto"/>
                <w:lang w:eastAsia="zh-CN"/>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建筑垃圾清运记录，现场无乱堆置建筑垃圾现象</w:t>
            </w:r>
            <w:r>
              <w:rPr>
                <w:rFonts w:hint="eastAsia" w:ascii="Times New Roman" w:hAnsi="Times New Roman" w:cs="Times New Roman"/>
                <w:color w:val="auto"/>
                <w:lang w:eastAsia="zh-CN"/>
              </w:rPr>
              <w:t>；</w:t>
            </w:r>
          </w:p>
          <w:p w14:paraId="45F21EBA">
            <w:pPr>
              <w:pStyle w:val="18"/>
              <w:bidi w:val="0"/>
              <w:jc w:val="left"/>
              <w:rPr>
                <w:rFonts w:hint="eastAsia" w:ascii="Times New Roman" w:hAnsi="Times New Roman" w:eastAsia="宋体" w:cs="Times New Roman"/>
                <w:color w:val="auto"/>
                <w:lang w:eastAsia="zh-CN"/>
              </w:rPr>
            </w:pPr>
            <w:r>
              <w:rPr>
                <w:rFonts w:hint="default" w:ascii="Times New Roman" w:hAnsi="Times New Roman" w:cs="Times New Roman"/>
                <w:color w:val="auto"/>
                <w:lang w:eastAsia="zh-CN"/>
              </w:rPr>
              <w:t>（</w:t>
            </w:r>
            <w:r>
              <w:rPr>
                <w:rFonts w:hint="default" w:ascii="Times New Roman" w:hAnsi="Times New Roman" w:cs="Times New Roman"/>
                <w:color w:val="auto"/>
              </w:rPr>
              <w:t>3</w:t>
            </w:r>
            <w:r>
              <w:rPr>
                <w:rFonts w:hint="default" w:ascii="Times New Roman" w:hAnsi="Times New Roman" w:cs="Times New Roman"/>
                <w:color w:val="auto"/>
                <w:lang w:eastAsia="zh-CN"/>
              </w:rPr>
              <w:t>）</w:t>
            </w:r>
            <w:r>
              <w:rPr>
                <w:rFonts w:hint="default" w:ascii="Times New Roman" w:hAnsi="Times New Roman" w:cs="Times New Roman"/>
                <w:color w:val="auto"/>
              </w:rPr>
              <w:t>生活垃圾清运记录，现场无乱堆置生活垃圾现象</w:t>
            </w:r>
            <w:r>
              <w:rPr>
                <w:rFonts w:hint="eastAsia" w:ascii="Times New Roman" w:hAnsi="Times New Roman" w:cs="Times New Roman"/>
                <w:color w:val="auto"/>
                <w:lang w:eastAsia="zh-CN"/>
              </w:rPr>
              <w:t>；</w:t>
            </w:r>
          </w:p>
          <w:p w14:paraId="59D2331D">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4</w:t>
            </w:r>
            <w:r>
              <w:rPr>
                <w:rFonts w:hint="default" w:ascii="Times New Roman" w:hAnsi="Times New Roman" w:cs="Times New Roman"/>
                <w:color w:val="auto"/>
                <w:lang w:eastAsia="zh-CN"/>
              </w:rPr>
              <w:t>）</w:t>
            </w:r>
            <w:r>
              <w:rPr>
                <w:rFonts w:hint="default" w:ascii="Times New Roman" w:hAnsi="Times New Roman" w:cs="Times New Roman"/>
                <w:color w:val="auto"/>
              </w:rPr>
              <w:t>环境监察记录。</w:t>
            </w:r>
          </w:p>
        </w:tc>
        <w:tc>
          <w:tcPr>
            <w:tcW w:w="3347" w:type="dxa"/>
            <w:vAlign w:val="center"/>
          </w:tcPr>
          <w:p w14:paraId="46D6755D">
            <w:pPr>
              <w:pStyle w:val="18"/>
              <w:bidi w:val="0"/>
              <w:jc w:val="left"/>
              <w:rPr>
                <w:rFonts w:hint="default" w:ascii="Times New Roman" w:hAnsi="Times New Roman" w:cs="Times New Roman"/>
                <w:color w:val="auto"/>
                <w:lang w:eastAsia="zh-CN"/>
              </w:rPr>
            </w:pPr>
            <w:r>
              <w:rPr>
                <w:rFonts w:hint="default" w:ascii="Times New Roman" w:hAnsi="Times New Roman" w:cs="Times New Roman"/>
                <w:color w:val="auto"/>
              </w:rPr>
              <w:t>设置</w:t>
            </w:r>
            <w:r>
              <w:rPr>
                <w:rFonts w:hint="default" w:ascii="Times New Roman" w:hAnsi="Times New Roman" w:cs="Times New Roman"/>
                <w:color w:val="auto"/>
                <w:lang w:val="en-US" w:eastAsia="zh-CN"/>
              </w:rPr>
              <w:t>4</w:t>
            </w:r>
            <w:r>
              <w:rPr>
                <w:rFonts w:hint="default" w:ascii="Times New Roman" w:hAnsi="Times New Roman" w:cs="Times New Roman"/>
                <w:color w:val="auto"/>
              </w:rPr>
              <w:t>个</w:t>
            </w:r>
            <w:r>
              <w:rPr>
                <w:rFonts w:hint="default" w:ascii="Times New Roman" w:hAnsi="Times New Roman" w:cs="Times New Roman"/>
                <w:color w:val="auto"/>
                <w:lang w:val="en-US" w:eastAsia="zh-CN"/>
              </w:rPr>
              <w:t>事故油池</w:t>
            </w:r>
            <w:r>
              <w:rPr>
                <w:rFonts w:hint="default" w:ascii="Times New Roman" w:hAnsi="Times New Roman" w:cs="Times New Roman"/>
                <w:color w:val="auto"/>
              </w:rPr>
              <w:t>，每个3m³</w:t>
            </w:r>
            <w:r>
              <w:rPr>
                <w:rFonts w:hint="eastAsia" w:ascii="Times New Roman" w:hAnsi="Times New Roman" w:cs="Times New Roman"/>
                <w:color w:val="auto"/>
                <w:lang w:eastAsia="zh-CN"/>
              </w:rPr>
              <w:t>，</w:t>
            </w:r>
            <w:r>
              <w:rPr>
                <w:rFonts w:hint="default" w:ascii="Times New Roman" w:hAnsi="Times New Roman" w:cs="Times New Roman"/>
                <w:color w:val="auto"/>
              </w:rPr>
              <w:t>检修废收集于风机集油池后统一运至</w:t>
            </w:r>
            <w:r>
              <w:rPr>
                <w:rFonts w:hint="eastAsia" w:ascii="Times New Roman" w:hAnsi="Times New Roman" w:cs="Times New Roman"/>
                <w:color w:val="auto"/>
                <w:lang w:eastAsia="zh-CN"/>
              </w:rPr>
              <w:t>危废贮存库</w:t>
            </w:r>
            <w:r>
              <w:rPr>
                <w:rFonts w:hint="default" w:ascii="Times New Roman" w:hAnsi="Times New Roman" w:cs="Times New Roman"/>
                <w:color w:val="auto"/>
              </w:rPr>
              <w:t>，后期委托有资质的单位处置</w:t>
            </w:r>
            <w:r>
              <w:rPr>
                <w:rFonts w:hint="default" w:ascii="Times New Roman" w:hAnsi="Times New Roman" w:cs="Times New Roman"/>
                <w:color w:val="auto"/>
                <w:lang w:eastAsia="zh-CN"/>
              </w:rPr>
              <w:t>。</w:t>
            </w:r>
          </w:p>
        </w:tc>
        <w:tc>
          <w:tcPr>
            <w:tcW w:w="1784" w:type="dxa"/>
            <w:gridSpan w:val="2"/>
            <w:vAlign w:val="center"/>
          </w:tcPr>
          <w:p w14:paraId="1085CD7A">
            <w:pPr>
              <w:pStyle w:val="18"/>
              <w:bidi w:val="0"/>
              <w:jc w:val="left"/>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垃圾清运台账。</w:t>
            </w: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规范储存危废。</w:t>
            </w:r>
            <w:r>
              <w:rPr>
                <w:rFonts w:hint="default" w:ascii="Times New Roman" w:hAnsi="Times New Roman" w:cs="Times New Roman"/>
                <w:color w:val="auto"/>
                <w:lang w:eastAsia="zh-CN"/>
              </w:rPr>
              <w:t>（</w:t>
            </w:r>
            <w:r>
              <w:rPr>
                <w:rFonts w:hint="default" w:ascii="Times New Roman" w:hAnsi="Times New Roman" w:cs="Times New Roman"/>
                <w:color w:val="auto"/>
              </w:rPr>
              <w:t>3</w:t>
            </w:r>
            <w:r>
              <w:rPr>
                <w:rFonts w:hint="default" w:ascii="Times New Roman" w:hAnsi="Times New Roman" w:cs="Times New Roman"/>
                <w:color w:val="auto"/>
                <w:lang w:eastAsia="zh-CN"/>
              </w:rPr>
              <w:t>）</w:t>
            </w:r>
            <w:r>
              <w:rPr>
                <w:rFonts w:hint="default" w:ascii="Times New Roman" w:hAnsi="Times New Roman" w:cs="Times New Roman"/>
                <w:color w:val="auto"/>
              </w:rPr>
              <w:t>主变维修记录及废油处置台账，现场无遗弃和倾倒废油现象。</w:t>
            </w:r>
          </w:p>
        </w:tc>
      </w:tr>
      <w:tr w14:paraId="15D0EE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2" w:type="dxa"/>
            <w:gridSpan w:val="2"/>
            <w:vAlign w:val="center"/>
          </w:tcPr>
          <w:p w14:paraId="7F06279F">
            <w:pPr>
              <w:pStyle w:val="18"/>
              <w:bidi w:val="0"/>
              <w:jc w:val="center"/>
              <w:rPr>
                <w:rFonts w:hint="default" w:ascii="Times New Roman" w:hAnsi="Times New Roman" w:cs="Times New Roman"/>
                <w:color w:val="auto"/>
              </w:rPr>
            </w:pPr>
            <w:r>
              <w:rPr>
                <w:rFonts w:hint="default" w:ascii="Times New Roman" w:hAnsi="Times New Roman" w:cs="Times New Roman"/>
                <w:color w:val="auto"/>
              </w:rPr>
              <w:t>电磁环境</w:t>
            </w:r>
          </w:p>
        </w:tc>
        <w:tc>
          <w:tcPr>
            <w:tcW w:w="5732" w:type="dxa"/>
            <w:vAlign w:val="center"/>
          </w:tcPr>
          <w:p w14:paraId="2086C26B">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2262" w:type="dxa"/>
            <w:vAlign w:val="center"/>
          </w:tcPr>
          <w:p w14:paraId="5D679DE9">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3347" w:type="dxa"/>
            <w:vAlign w:val="center"/>
          </w:tcPr>
          <w:p w14:paraId="7422682B">
            <w:pPr>
              <w:pStyle w:val="18"/>
              <w:bidi w:val="0"/>
              <w:jc w:val="left"/>
              <w:rPr>
                <w:rFonts w:hint="default"/>
                <w:color w:val="auto"/>
              </w:rPr>
            </w:pPr>
            <w:r>
              <w:rPr>
                <w:color w:val="auto"/>
              </w:rPr>
              <w:t>在</w:t>
            </w:r>
            <w:r>
              <w:rPr>
                <w:rFonts w:hint="eastAsia"/>
                <w:color w:val="auto"/>
              </w:rPr>
              <w:t>变</w:t>
            </w:r>
            <w:r>
              <w:rPr>
                <w:color w:val="auto"/>
              </w:rPr>
              <w:t>电设施重点保护区设立相应的警示标志，并做好警示宣传工作</w:t>
            </w:r>
          </w:p>
        </w:tc>
        <w:tc>
          <w:tcPr>
            <w:tcW w:w="1784" w:type="dxa"/>
            <w:gridSpan w:val="2"/>
            <w:vAlign w:val="center"/>
          </w:tcPr>
          <w:p w14:paraId="3BB9474A">
            <w:pPr>
              <w:pStyle w:val="18"/>
              <w:bidi w:val="0"/>
              <w:jc w:val="left"/>
              <w:rPr>
                <w:rFonts w:hint="default"/>
                <w:color w:val="auto"/>
              </w:rPr>
            </w:pPr>
            <w:r>
              <w:rPr>
                <w:color w:val="auto"/>
              </w:rPr>
              <w:t>《电磁环境控制限值》(GB8702-2014)中频率为50Hz的电场、磁场公众曝露控制限值</w:t>
            </w:r>
          </w:p>
        </w:tc>
      </w:tr>
      <w:tr w14:paraId="5EB8C8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2" w:type="dxa"/>
            <w:gridSpan w:val="2"/>
            <w:vAlign w:val="center"/>
          </w:tcPr>
          <w:p w14:paraId="5E408517">
            <w:pPr>
              <w:pStyle w:val="18"/>
              <w:bidi w:val="0"/>
              <w:jc w:val="center"/>
              <w:rPr>
                <w:rFonts w:hint="default" w:ascii="Times New Roman" w:hAnsi="Times New Roman" w:cs="Times New Roman"/>
                <w:color w:val="auto"/>
              </w:rPr>
            </w:pPr>
            <w:r>
              <w:rPr>
                <w:rFonts w:hint="default" w:ascii="Times New Roman" w:hAnsi="Times New Roman" w:cs="Times New Roman"/>
                <w:color w:val="auto"/>
              </w:rPr>
              <w:t>环境风险</w:t>
            </w:r>
          </w:p>
        </w:tc>
        <w:tc>
          <w:tcPr>
            <w:tcW w:w="5732" w:type="dxa"/>
            <w:vAlign w:val="center"/>
          </w:tcPr>
          <w:p w14:paraId="00B70FDA">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2262" w:type="dxa"/>
            <w:vAlign w:val="center"/>
          </w:tcPr>
          <w:p w14:paraId="5CFF181E">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3347" w:type="dxa"/>
            <w:vAlign w:val="center"/>
          </w:tcPr>
          <w:p w14:paraId="08545042">
            <w:pPr>
              <w:pStyle w:val="6"/>
              <w:bidi w:val="0"/>
              <w:spacing w:line="240" w:lineRule="auto"/>
              <w:ind w:left="0" w:leftChars="0" w:firstLine="0" w:firstLineChars="0"/>
              <w:jc w:val="left"/>
              <w:rPr>
                <w:color w:val="auto"/>
              </w:rPr>
            </w:pPr>
            <w:r>
              <w:rPr>
                <w:color w:val="auto"/>
              </w:rPr>
              <w:t>1</w:t>
            </w:r>
            <w:r>
              <w:rPr>
                <w:rFonts w:hint="eastAsia"/>
                <w:color w:val="auto"/>
                <w:lang w:val="en-US" w:eastAsia="zh-CN"/>
              </w:rPr>
              <w:t>.</w:t>
            </w:r>
            <w:r>
              <w:rPr>
                <w:color w:val="auto"/>
              </w:rPr>
              <w:t>主变压器，发生泄漏时产生的事故油，</w:t>
            </w:r>
            <w:r>
              <w:rPr>
                <w:rFonts w:hint="eastAsia"/>
                <w:color w:val="auto"/>
              </w:rPr>
              <w:t>通过</w:t>
            </w:r>
            <w:r>
              <w:rPr>
                <w:color w:val="auto"/>
              </w:rPr>
              <w:t>事故油池收集。</w:t>
            </w:r>
          </w:p>
          <w:p w14:paraId="10F61697">
            <w:pPr>
              <w:pStyle w:val="6"/>
              <w:bidi w:val="0"/>
              <w:spacing w:line="240" w:lineRule="auto"/>
              <w:ind w:left="0" w:leftChars="0" w:firstLine="0" w:firstLineChars="0"/>
              <w:jc w:val="left"/>
              <w:rPr>
                <w:rFonts w:hint="default" w:ascii="Times New Roman" w:hAnsi="Times New Roman" w:cs="Times New Roman"/>
                <w:color w:val="auto"/>
              </w:rPr>
            </w:pPr>
            <w:r>
              <w:rPr>
                <w:rFonts w:hint="eastAsia"/>
                <w:color w:val="auto"/>
              </w:rPr>
              <w:t>2</w:t>
            </w:r>
            <w:r>
              <w:rPr>
                <w:rFonts w:hint="eastAsia"/>
                <w:color w:val="auto"/>
                <w:lang w:val="en-US" w:eastAsia="zh-CN"/>
              </w:rPr>
              <w:t>.</w:t>
            </w:r>
            <w:r>
              <w:rPr>
                <w:rFonts w:hint="eastAsia"/>
                <w:color w:val="auto"/>
              </w:rPr>
              <w:t>每个箱变配套建设事故油池。</w:t>
            </w:r>
          </w:p>
        </w:tc>
        <w:tc>
          <w:tcPr>
            <w:tcW w:w="1784" w:type="dxa"/>
            <w:gridSpan w:val="2"/>
            <w:vAlign w:val="center"/>
          </w:tcPr>
          <w:p w14:paraId="300B7F1D">
            <w:pPr>
              <w:pStyle w:val="6"/>
              <w:bidi w:val="0"/>
              <w:spacing w:line="240" w:lineRule="auto"/>
              <w:ind w:left="0" w:leftChars="0" w:firstLine="0" w:firstLineChars="0"/>
              <w:jc w:val="left"/>
              <w:rPr>
                <w:rFonts w:hint="default"/>
                <w:color w:val="auto"/>
              </w:rPr>
            </w:pPr>
            <w:r>
              <w:rPr>
                <w:rFonts w:hint="default"/>
                <w:color w:val="auto"/>
              </w:rPr>
              <w:t>1</w:t>
            </w:r>
            <w:r>
              <w:rPr>
                <w:rFonts w:hint="eastAsia"/>
                <w:color w:val="auto"/>
                <w:lang w:val="en-US" w:eastAsia="zh-CN"/>
              </w:rPr>
              <w:t>.</w:t>
            </w:r>
            <w:r>
              <w:rPr>
                <w:rFonts w:hint="default"/>
                <w:color w:val="auto"/>
              </w:rPr>
              <w:t>危险废物合理处置。</w:t>
            </w:r>
          </w:p>
          <w:p w14:paraId="114B9CD5">
            <w:pPr>
              <w:pStyle w:val="6"/>
              <w:bidi w:val="0"/>
              <w:spacing w:line="240" w:lineRule="auto"/>
              <w:ind w:left="0" w:leftChars="0" w:firstLine="0" w:firstLineChars="0"/>
              <w:jc w:val="left"/>
              <w:rPr>
                <w:rFonts w:hint="default"/>
                <w:color w:val="auto"/>
              </w:rPr>
            </w:pPr>
            <w:r>
              <w:rPr>
                <w:rFonts w:hint="default"/>
                <w:color w:val="auto"/>
              </w:rPr>
              <w:t>2</w:t>
            </w:r>
            <w:r>
              <w:rPr>
                <w:rFonts w:hint="eastAsia"/>
                <w:color w:val="auto"/>
                <w:lang w:val="en-US" w:eastAsia="zh-CN"/>
              </w:rPr>
              <w:t>.</w:t>
            </w:r>
            <w:r>
              <w:rPr>
                <w:rFonts w:hint="default"/>
                <w:color w:val="auto"/>
              </w:rPr>
              <w:t>箱变配套建设相应的事故油池。</w:t>
            </w:r>
          </w:p>
          <w:p w14:paraId="174C53B7">
            <w:pPr>
              <w:pStyle w:val="6"/>
              <w:bidi w:val="0"/>
              <w:spacing w:line="240" w:lineRule="auto"/>
              <w:ind w:left="0" w:leftChars="0" w:firstLine="0" w:firstLineChars="0"/>
              <w:jc w:val="left"/>
              <w:rPr>
                <w:rFonts w:hint="default" w:ascii="Times New Roman" w:hAnsi="Times New Roman" w:cs="Times New Roman"/>
                <w:color w:val="auto"/>
              </w:rPr>
            </w:pPr>
            <w:r>
              <w:rPr>
                <w:rFonts w:hint="default"/>
                <w:color w:val="auto"/>
              </w:rPr>
              <w:t>3</w:t>
            </w:r>
            <w:r>
              <w:rPr>
                <w:rFonts w:hint="eastAsia"/>
                <w:color w:val="auto"/>
                <w:lang w:val="en-US" w:eastAsia="zh-CN"/>
              </w:rPr>
              <w:t>.</w:t>
            </w:r>
            <w:r>
              <w:rPr>
                <w:rFonts w:hint="default"/>
                <w:color w:val="auto"/>
              </w:rPr>
              <w:t>危险废物暂存间改善完成。</w:t>
            </w:r>
          </w:p>
        </w:tc>
      </w:tr>
      <w:tr w14:paraId="51CFA4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12" w:type="dxa"/>
            <w:gridSpan w:val="2"/>
            <w:vAlign w:val="center"/>
          </w:tcPr>
          <w:p w14:paraId="46BA32A3">
            <w:pPr>
              <w:pStyle w:val="18"/>
              <w:bidi w:val="0"/>
              <w:jc w:val="center"/>
              <w:rPr>
                <w:rFonts w:hint="default" w:ascii="Times New Roman" w:hAnsi="Times New Roman" w:cs="Times New Roman"/>
                <w:color w:val="auto"/>
              </w:rPr>
            </w:pPr>
            <w:r>
              <w:rPr>
                <w:rFonts w:hint="default" w:ascii="Times New Roman" w:hAnsi="Times New Roman" w:cs="Times New Roman"/>
                <w:color w:val="auto"/>
              </w:rPr>
              <w:t>环境监测</w:t>
            </w:r>
          </w:p>
        </w:tc>
        <w:tc>
          <w:tcPr>
            <w:tcW w:w="5732" w:type="dxa"/>
            <w:vAlign w:val="center"/>
          </w:tcPr>
          <w:p w14:paraId="59295779">
            <w:pPr>
              <w:pStyle w:val="18"/>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rPr>
              <w:t>环境空气</w:t>
            </w:r>
          </w:p>
        </w:tc>
        <w:tc>
          <w:tcPr>
            <w:tcW w:w="2262" w:type="dxa"/>
            <w:vAlign w:val="center"/>
          </w:tcPr>
          <w:p w14:paraId="3A31B9E9">
            <w:pPr>
              <w:pStyle w:val="18"/>
              <w:bidi w:val="0"/>
              <w:jc w:val="center"/>
              <w:rPr>
                <w:rFonts w:hint="default" w:ascii="Times New Roman" w:hAnsi="Times New Roman" w:cs="Times New Roman"/>
                <w:color w:val="auto"/>
              </w:rPr>
            </w:pPr>
            <w:r>
              <w:rPr>
                <w:rFonts w:hint="default" w:ascii="Times New Roman" w:hAnsi="Times New Roman" w:cs="Times New Roman"/>
                <w:color w:val="auto"/>
              </w:rPr>
              <w:t>《环境空气质量标准》（GB3095-2026）二级标准</w:t>
            </w:r>
          </w:p>
        </w:tc>
        <w:tc>
          <w:tcPr>
            <w:tcW w:w="3347" w:type="dxa"/>
            <w:shd w:val="clear" w:color="auto" w:fill="auto"/>
            <w:vAlign w:val="center"/>
          </w:tcPr>
          <w:p w14:paraId="74C1A112">
            <w:pPr>
              <w:pStyle w:val="18"/>
              <w:bidi w:val="0"/>
              <w:jc w:val="center"/>
              <w:rPr>
                <w:rFonts w:hint="default" w:ascii="Times New Roman" w:hAnsi="Times New Roman" w:eastAsia="宋体" w:cs="Times New Roman"/>
                <w:color w:val="auto"/>
                <w:lang w:val="en-US" w:eastAsia="zh-CN"/>
              </w:rPr>
            </w:pPr>
            <w:r>
              <w:rPr>
                <w:rFonts w:hint="default" w:ascii="Times New Roman" w:hAnsi="Times New Roman" w:cs="Times New Roman"/>
                <w:color w:val="auto"/>
                <w:lang w:eastAsia="zh-CN"/>
              </w:rPr>
              <w:t>（</w:t>
            </w:r>
            <w:r>
              <w:rPr>
                <w:rFonts w:hint="default" w:ascii="Times New Roman" w:hAnsi="Times New Roman" w:cs="Times New Roman"/>
                <w:color w:val="auto"/>
              </w:rPr>
              <w:t>1</w:t>
            </w:r>
            <w:r>
              <w:rPr>
                <w:rFonts w:hint="default" w:ascii="Times New Roman" w:hAnsi="Times New Roman" w:cs="Times New Roman"/>
                <w:color w:val="auto"/>
                <w:lang w:eastAsia="zh-CN"/>
              </w:rPr>
              <w:t>）</w:t>
            </w:r>
            <w:r>
              <w:rPr>
                <w:rFonts w:hint="default" w:ascii="Times New Roman" w:hAnsi="Times New Roman" w:cs="Times New Roman"/>
                <w:color w:val="auto"/>
              </w:rPr>
              <w:t>声环境：</w:t>
            </w:r>
            <w:r>
              <w:rPr>
                <w:rFonts w:hint="default" w:ascii="Times New Roman" w:hAnsi="Times New Roman" w:cs="Times New Roman"/>
                <w:color w:val="auto"/>
                <w:lang w:val="en-US" w:eastAsia="zh-CN"/>
              </w:rPr>
              <w:t>22</w:t>
            </w:r>
            <w:r>
              <w:rPr>
                <w:rFonts w:hint="default" w:ascii="Times New Roman" w:hAnsi="Times New Roman" w:cs="Times New Roman"/>
                <w:color w:val="auto"/>
              </w:rPr>
              <w:t>0kV升压站厂界四周各设1个监测点位</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距离</w:t>
            </w:r>
            <w:r>
              <w:rPr>
                <w:rFonts w:hint="eastAsia" w:ascii="Times New Roman" w:hAnsi="Times New Roman" w:cs="Times New Roman"/>
                <w:color w:val="auto"/>
                <w:lang w:val="en-US" w:eastAsia="zh-CN"/>
              </w:rPr>
              <w:t>风机平台</w:t>
            </w:r>
            <w:r>
              <w:rPr>
                <w:rFonts w:hint="default" w:ascii="Times New Roman" w:hAnsi="Times New Roman" w:cs="Times New Roman"/>
                <w:color w:val="auto"/>
                <w:lang w:val="en-US" w:eastAsia="zh-CN"/>
              </w:rPr>
              <w:t>最近居民点（</w:t>
            </w:r>
            <w:r>
              <w:rPr>
                <w:rFonts w:hint="eastAsia" w:ascii="Times New Roman" w:hAnsi="Times New Roman" w:cs="Times New Roman"/>
                <w:color w:val="auto"/>
                <w:lang w:val="en-US" w:eastAsia="zh-CN"/>
              </w:rPr>
              <w:t>叠水箐</w:t>
            </w:r>
            <w:r>
              <w:rPr>
                <w:rFonts w:hint="default" w:ascii="Times New Roman" w:hAnsi="Times New Roman" w:cs="Times New Roman"/>
                <w:color w:val="auto"/>
                <w:lang w:val="en-US" w:eastAsia="zh-CN"/>
              </w:rPr>
              <w:t>）设置1个监测点位；</w:t>
            </w:r>
            <w:r>
              <w:rPr>
                <w:rFonts w:hint="default" w:ascii="Times New Roman" w:hAnsi="Times New Roman" w:cs="Times New Roman"/>
                <w:color w:val="auto"/>
                <w:lang w:eastAsia="zh-CN"/>
              </w:rPr>
              <w:t>（</w:t>
            </w:r>
            <w:r>
              <w:rPr>
                <w:rFonts w:hint="eastAsia" w:ascii="Times New Roman" w:hAnsi="Times New Roman" w:cs="Times New Roman"/>
                <w:color w:val="auto"/>
                <w:lang w:val="en-US" w:eastAsia="zh-CN"/>
              </w:rPr>
              <w:t>长期监测</w:t>
            </w:r>
            <w:r>
              <w:rPr>
                <w:rFonts w:hint="default" w:ascii="Times New Roman" w:hAnsi="Times New Roman" w:cs="Times New Roman"/>
                <w:color w:val="auto"/>
                <w:lang w:eastAsia="zh-CN"/>
              </w:rPr>
              <w:t>）</w:t>
            </w:r>
            <w:r>
              <w:rPr>
                <w:rFonts w:hint="eastAsia" w:ascii="Times New Roman" w:hAnsi="Times New Roman" w:cs="Times New Roman"/>
                <w:color w:val="auto"/>
                <w:lang w:eastAsia="zh-CN"/>
              </w:rPr>
              <w:t>；</w:t>
            </w:r>
          </w:p>
          <w:p w14:paraId="45FF62F2">
            <w:pPr>
              <w:pStyle w:val="18"/>
              <w:bidi w:val="0"/>
              <w:jc w:val="center"/>
              <w:rPr>
                <w:rFonts w:hint="default" w:ascii="Times New Roman" w:hAnsi="Times New Roman" w:cs="Times New Roman"/>
                <w:color w:val="auto"/>
                <w:lang w:eastAsia="zh-CN"/>
              </w:rPr>
            </w:pPr>
            <w:r>
              <w:rPr>
                <w:rFonts w:hint="default" w:ascii="Times New Roman" w:hAnsi="Times New Roman" w:cs="Times New Roman"/>
                <w:color w:val="auto"/>
                <w:lang w:eastAsia="zh-CN"/>
              </w:rPr>
              <w:t>（</w:t>
            </w:r>
            <w:r>
              <w:rPr>
                <w:rFonts w:hint="default" w:ascii="Times New Roman" w:hAnsi="Times New Roman" w:cs="Times New Roman"/>
                <w:color w:val="auto"/>
              </w:rPr>
              <w:t>2</w:t>
            </w:r>
            <w:r>
              <w:rPr>
                <w:rFonts w:hint="default" w:ascii="Times New Roman" w:hAnsi="Times New Roman" w:cs="Times New Roman"/>
                <w:color w:val="auto"/>
                <w:lang w:eastAsia="zh-CN"/>
              </w:rPr>
              <w:t>）</w:t>
            </w:r>
            <w:r>
              <w:rPr>
                <w:rFonts w:hint="default" w:ascii="Times New Roman" w:hAnsi="Times New Roman" w:cs="Times New Roman"/>
                <w:color w:val="auto"/>
              </w:rPr>
              <w:t>电磁环境：运行期在</w:t>
            </w:r>
            <w:r>
              <w:rPr>
                <w:rFonts w:hint="default" w:ascii="Times New Roman" w:hAnsi="Times New Roman" w:cs="Times New Roman"/>
                <w:color w:val="auto"/>
                <w:lang w:val="en-US" w:eastAsia="zh-CN"/>
              </w:rPr>
              <w:t>22</w:t>
            </w:r>
            <w:r>
              <w:rPr>
                <w:rFonts w:hint="default" w:ascii="Times New Roman" w:hAnsi="Times New Roman" w:cs="Times New Roman"/>
                <w:color w:val="auto"/>
              </w:rPr>
              <w:t>0kV升压站厂界四周各设1个监测点位，在靠近主变压器的墙面设置1个监测断面</w:t>
            </w:r>
            <w:r>
              <w:rPr>
                <w:rFonts w:hint="default" w:ascii="Times New Roman" w:hAnsi="Times New Roman" w:cs="Times New Roman"/>
                <w:color w:val="auto"/>
                <w:lang w:eastAsia="zh-CN"/>
              </w:rPr>
              <w:t>（</w:t>
            </w:r>
            <w:r>
              <w:rPr>
                <w:rFonts w:hint="default" w:ascii="Times New Roman" w:hAnsi="Times New Roman" w:cs="Times New Roman"/>
                <w:color w:val="auto"/>
              </w:rPr>
              <w:t>1期</w:t>
            </w:r>
            <w:r>
              <w:rPr>
                <w:rFonts w:hint="default" w:ascii="Times New Roman" w:hAnsi="Times New Roman" w:cs="Times New Roman"/>
                <w:color w:val="auto"/>
                <w:lang w:eastAsia="zh-CN"/>
              </w:rPr>
              <w:t>）</w:t>
            </w:r>
          </w:p>
          <w:p w14:paraId="74B5BED7">
            <w:pPr>
              <w:pStyle w:val="18"/>
              <w:bidi w:val="0"/>
              <w:ind w:firstLine="0" w:firstLineChars="0"/>
              <w:jc w:val="center"/>
              <w:rPr>
                <w:rFonts w:hint="default" w:ascii="Times New Roman" w:hAnsi="Times New Roman" w:eastAsia="宋体" w:cs="Times New Roman"/>
                <w:snapToGrid w:val="0"/>
                <w:color w:val="auto"/>
                <w:kern w:val="0"/>
                <w:sz w:val="24"/>
                <w:szCs w:val="20"/>
                <w:lang w:val="en-US" w:eastAsia="en-US" w:bidi="ar-SA"/>
              </w:rPr>
            </w:pP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3</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运行期鸟类监测报告</w:t>
            </w: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第一年4</w:t>
            </w:r>
            <w:r>
              <w:rPr>
                <w:rFonts w:hint="default" w:ascii="Times New Roman" w:hAnsi="Times New Roman" w:cs="Times New Roman"/>
                <w:color w:val="auto"/>
                <w:highlight w:val="none"/>
              </w:rPr>
              <w:t>期</w:t>
            </w:r>
            <w:r>
              <w:rPr>
                <w:rFonts w:hint="eastAsia" w:ascii="Times New Roman" w:hAnsi="Times New Roman" w:cs="Times New Roman"/>
                <w:color w:val="auto"/>
                <w:highlight w:val="none"/>
                <w:lang w:eastAsia="zh-CN"/>
              </w:rPr>
              <w:t>，</w:t>
            </w:r>
            <w:r>
              <w:rPr>
                <w:rFonts w:hint="eastAsia"/>
                <w:color w:val="auto"/>
                <w:highlight w:val="none"/>
              </w:rPr>
              <w:t>后两年的频次结合场区管理巡视，可适当减少。</w:t>
            </w:r>
            <w:r>
              <w:rPr>
                <w:rFonts w:hint="default" w:ascii="Times New Roman" w:hAnsi="Times New Roman" w:cs="Times New Roman"/>
                <w:color w:val="auto"/>
                <w:highlight w:val="none"/>
                <w:lang w:eastAsia="zh-CN"/>
              </w:rPr>
              <w:t>）</w:t>
            </w:r>
          </w:p>
        </w:tc>
        <w:tc>
          <w:tcPr>
            <w:tcW w:w="1784" w:type="dxa"/>
            <w:gridSpan w:val="2"/>
            <w:vAlign w:val="center"/>
          </w:tcPr>
          <w:p w14:paraId="0FB508C5">
            <w:pPr>
              <w:pStyle w:val="18"/>
              <w:bidi w:val="0"/>
              <w:ind w:firstLine="0" w:firstLineChars="0"/>
              <w:rPr>
                <w:rFonts w:hint="default" w:ascii="Times New Roman" w:hAnsi="Times New Roman" w:cs="Times New Roman"/>
                <w:color w:val="auto"/>
                <w:lang w:val="en-US" w:eastAsia="zh-CN"/>
              </w:rPr>
            </w:pPr>
            <w:r>
              <w:rPr>
                <w:rFonts w:hint="default"/>
                <w:color w:val="auto"/>
              </w:rPr>
              <w:t>升压站厂界执行《工业企业厂界环境噪声排放标准》（GB12348-2008）</w:t>
            </w:r>
            <w:r>
              <w:rPr>
                <w:rFonts w:hint="default"/>
                <w:color w:val="auto"/>
                <w:lang w:val="en-US" w:eastAsia="zh-CN"/>
              </w:rPr>
              <w:t>1类区</w:t>
            </w:r>
            <w:r>
              <w:rPr>
                <w:rFonts w:hint="default"/>
                <w:color w:val="auto"/>
              </w:rPr>
              <w:t>。敏感点执行《声环境质量标准》（GB3096-2008）</w:t>
            </w:r>
            <w:r>
              <w:rPr>
                <w:rFonts w:hint="default"/>
                <w:color w:val="auto"/>
                <w:lang w:val="en-US" w:eastAsia="zh-CN"/>
              </w:rPr>
              <w:t>1类区</w:t>
            </w:r>
            <w:r>
              <w:rPr>
                <w:rFonts w:hint="default"/>
                <w:color w:val="auto"/>
              </w:rPr>
              <w:t>标准；《电磁环境控制限值》(GB8702-2014)中频率为50Hz的电场、磁场公众曝露控制限值</w:t>
            </w:r>
          </w:p>
        </w:tc>
      </w:tr>
      <w:tr w14:paraId="099787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gridBefore w:val="1"/>
          <w:gridAfter w:val="1"/>
          <w:wBefore w:w="5" w:type="dxa"/>
          <w:wAfter w:w="2" w:type="dxa"/>
          <w:trHeight w:val="778" w:hRule="atLeast"/>
        </w:trPr>
        <w:tc>
          <w:tcPr>
            <w:tcW w:w="807" w:type="dxa"/>
            <w:vAlign w:val="center"/>
          </w:tcPr>
          <w:p w14:paraId="549285F8">
            <w:pPr>
              <w:pStyle w:val="18"/>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其他</w:t>
            </w:r>
          </w:p>
        </w:tc>
        <w:tc>
          <w:tcPr>
            <w:tcW w:w="5732" w:type="dxa"/>
            <w:vAlign w:val="center"/>
          </w:tcPr>
          <w:p w14:paraId="1B31320F">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2262" w:type="dxa"/>
            <w:vAlign w:val="center"/>
          </w:tcPr>
          <w:p w14:paraId="0AB35D3F">
            <w:pPr>
              <w:pStyle w:val="18"/>
              <w:bidi w:val="0"/>
              <w:jc w:val="center"/>
              <w:rPr>
                <w:rFonts w:hint="default" w:ascii="Times New Roman" w:hAnsi="Times New Roman" w:cs="Times New Roman"/>
                <w:color w:val="auto"/>
              </w:rPr>
            </w:pPr>
            <w:r>
              <w:rPr>
                <w:rFonts w:hint="default" w:ascii="Times New Roman" w:hAnsi="Times New Roman" w:cs="Times New Roman"/>
                <w:color w:val="auto"/>
              </w:rPr>
              <w:t>/</w:t>
            </w:r>
          </w:p>
        </w:tc>
        <w:tc>
          <w:tcPr>
            <w:tcW w:w="3347" w:type="dxa"/>
            <w:shd w:val="clear" w:color="auto" w:fill="auto"/>
            <w:vAlign w:val="center"/>
          </w:tcPr>
          <w:p w14:paraId="055D9897">
            <w:pPr>
              <w:pStyle w:val="18"/>
              <w:bidi w:val="0"/>
              <w:ind w:firstLine="0" w:firstLineChars="0"/>
              <w:jc w:val="center"/>
              <w:rPr>
                <w:rFonts w:hint="default" w:ascii="Times New Roman" w:hAnsi="Times New Roman" w:eastAsia="宋体" w:cs="Times New Roman"/>
                <w:snapToGrid w:val="0"/>
                <w:color w:val="auto"/>
                <w:kern w:val="0"/>
                <w:sz w:val="24"/>
                <w:szCs w:val="20"/>
                <w:lang w:val="en-US" w:eastAsia="zh-CN" w:bidi="ar-SA"/>
              </w:rPr>
            </w:pPr>
            <w:r>
              <w:rPr>
                <w:rFonts w:hint="default" w:ascii="Times New Roman" w:hAnsi="Times New Roman" w:cs="Times New Roman"/>
                <w:color w:val="auto"/>
              </w:rPr>
              <w:t>/</w:t>
            </w:r>
          </w:p>
        </w:tc>
        <w:tc>
          <w:tcPr>
            <w:tcW w:w="1782" w:type="dxa"/>
            <w:vAlign w:val="center"/>
          </w:tcPr>
          <w:p w14:paraId="28B21D9F">
            <w:pPr>
              <w:pStyle w:val="18"/>
              <w:bidi w:val="0"/>
              <w:rPr>
                <w:rFonts w:hint="default" w:ascii="Times New Roman" w:hAnsi="Times New Roman" w:cs="Times New Roman"/>
                <w:color w:val="auto"/>
              </w:rPr>
            </w:pPr>
            <w:r>
              <w:rPr>
                <w:rFonts w:hint="default" w:ascii="Times New Roman" w:hAnsi="Times New Roman" w:cs="Times New Roman"/>
                <w:color w:val="auto"/>
              </w:rPr>
              <w:t>/</w:t>
            </w:r>
          </w:p>
        </w:tc>
      </w:tr>
    </w:tbl>
    <w:p w14:paraId="443E472D">
      <w:pPr>
        <w:pageBreakBefore w:val="0"/>
        <w:kinsoku/>
        <w:wordWrap/>
        <w:overflowPunct/>
        <w:bidi w:val="0"/>
        <w:rPr>
          <w:rFonts w:ascii="Times New Roman" w:hAnsi="Times New Roman" w:eastAsia="宋体"/>
          <w:color w:val="auto"/>
          <w:highlight w:val="none"/>
        </w:rPr>
        <w:sectPr>
          <w:pgSz w:w="16838" w:h="11906" w:orient="landscape"/>
          <w:pgMar w:top="1797" w:right="1440" w:bottom="1797" w:left="1440" w:header="851" w:footer="1077" w:gutter="0"/>
          <w:pgBorders>
            <w:top w:val="none" w:sz="0" w:space="0"/>
            <w:left w:val="none" w:sz="0" w:space="0"/>
            <w:bottom w:val="none" w:sz="0" w:space="0"/>
            <w:right w:val="none" w:sz="0" w:space="0"/>
          </w:pgBorders>
          <w:cols w:space="720" w:num="1"/>
          <w:docGrid w:linePitch="312" w:charSpace="0"/>
        </w:sectPr>
      </w:pPr>
    </w:p>
    <w:p w14:paraId="064A288B">
      <w:pPr>
        <w:pStyle w:val="18"/>
        <w:pageBreakBefore w:val="0"/>
        <w:numPr>
          <w:ilvl w:val="0"/>
          <w:numId w:val="0"/>
        </w:numPr>
        <w:kinsoku/>
        <w:wordWrap/>
        <w:overflowPunct/>
        <w:bidi w:val="0"/>
        <w:spacing w:before="192" w:beforeLines="80" w:beforeAutospacing="0"/>
        <w:ind w:leftChars="0"/>
        <w:jc w:val="center"/>
        <w:outlineLvl w:val="0"/>
        <w:rPr>
          <w:rFonts w:hint="eastAsia" w:ascii="Times New Roman" w:hAnsi="Times New Roman" w:eastAsia="宋体"/>
          <w:snapToGrid w:val="0"/>
          <w:color w:val="auto"/>
          <w:sz w:val="30"/>
          <w:szCs w:val="30"/>
          <w:highlight w:val="none"/>
        </w:rPr>
      </w:pPr>
      <w:bookmarkStart w:id="45" w:name="_Toc80363593"/>
      <w:bookmarkStart w:id="46" w:name="_Toc87972526"/>
      <w:bookmarkStart w:id="47" w:name="_Toc80288941"/>
      <w:bookmarkStart w:id="48" w:name="_Toc80363696"/>
      <w:bookmarkStart w:id="49" w:name="_Toc87457573"/>
      <w:bookmarkStart w:id="50" w:name="_Toc15324"/>
      <w:r>
        <w:rPr>
          <w:rFonts w:hint="eastAsia" w:ascii="Times New Roman" w:hAnsi="Times New Roman"/>
          <w:snapToGrid w:val="0"/>
          <w:color w:val="auto"/>
          <w:sz w:val="30"/>
          <w:szCs w:val="30"/>
          <w:highlight w:val="none"/>
          <w:lang w:val="en-US" w:eastAsia="zh-CN"/>
        </w:rPr>
        <w:t>七、</w:t>
      </w:r>
      <w:r>
        <w:rPr>
          <w:rFonts w:hint="eastAsia" w:ascii="Times New Roman" w:hAnsi="Times New Roman" w:eastAsia="宋体"/>
          <w:snapToGrid w:val="0"/>
          <w:color w:val="auto"/>
          <w:sz w:val="30"/>
          <w:szCs w:val="30"/>
          <w:highlight w:val="none"/>
        </w:rPr>
        <w:t>结论</w:t>
      </w:r>
      <w:bookmarkEnd w:id="45"/>
      <w:bookmarkEnd w:id="46"/>
      <w:bookmarkEnd w:id="47"/>
      <w:bookmarkEnd w:id="48"/>
      <w:bookmarkEnd w:id="49"/>
      <w:bookmarkEnd w:id="50"/>
    </w:p>
    <w:tbl>
      <w:tblPr>
        <w:tblStyle w:val="20"/>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9289"/>
      </w:tblGrid>
      <w:tr w14:paraId="441A65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49" w:hRule="atLeast"/>
          <w:jc w:val="center"/>
        </w:trPr>
        <w:tc>
          <w:tcPr>
            <w:tcW w:w="9289" w:type="dxa"/>
            <w:noWrap w:val="0"/>
            <w:vAlign w:val="top"/>
          </w:tcPr>
          <w:p w14:paraId="0A79638B">
            <w:pPr>
              <w:bidi w:val="0"/>
              <w:rPr>
                <w:rFonts w:hint="eastAsia"/>
                <w:color w:val="auto"/>
              </w:rPr>
            </w:pPr>
            <w:r>
              <w:rPr>
                <w:rFonts w:hint="eastAsia"/>
                <w:color w:val="auto"/>
              </w:rPr>
              <w:t>西泽风电场（二期）工程属于新能源开发项目，符合当地社会经济发展规划，符合国家产业政策。工程所在区域环境质量现状满足环评要求，项目不</w:t>
            </w:r>
            <w:r>
              <w:rPr>
                <w:rFonts w:hint="eastAsia"/>
                <w:color w:val="auto"/>
                <w:lang w:val="en-US" w:eastAsia="zh-CN"/>
              </w:rPr>
              <w:t>占用</w:t>
            </w:r>
            <w:r>
              <w:rPr>
                <w:rFonts w:hint="eastAsia"/>
                <w:color w:val="auto"/>
              </w:rPr>
              <w:t>自然保护区、饮用水水源保护区、永久基本农田、云南省生态保护红线、重要物种生境、风景名胜区、云南省候鸟迁徙通道等环境敏感因素，无重大环境制约因素。</w:t>
            </w:r>
          </w:p>
          <w:p w14:paraId="752FAC55">
            <w:pPr>
              <w:bidi w:val="0"/>
              <w:rPr>
                <w:rFonts w:hint="default"/>
                <w:color w:val="auto"/>
                <w:highlight w:val="none"/>
                <w:lang w:val="en-US" w:eastAsia="zh-CN"/>
              </w:rPr>
            </w:pPr>
            <w:r>
              <w:rPr>
                <w:rFonts w:hint="eastAsia"/>
                <w:color w:val="auto"/>
              </w:rPr>
              <w:t>拟建项目为风力发电项目，采用的技术成熟、可靠，工艺符合清洁生产要求。项目场址选择合理；在设计和施工过程中按本报告提出的污染防治措施落实后，产生的环境影响满足相应环评标准要求，对当地声环境、大气环境、水环境及生态环境的影响小，不会改变项目所在区域环境现有功能。从环保角度分析，该项目建设是可行的。</w:t>
            </w:r>
          </w:p>
        </w:tc>
      </w:tr>
    </w:tbl>
    <w:p w14:paraId="19CF4B03">
      <w:pPr>
        <w:pStyle w:val="41"/>
        <w:pageBreakBefore w:val="0"/>
        <w:kinsoku/>
        <w:wordWrap/>
        <w:overflowPunct/>
        <w:bidi w:val="0"/>
        <w:rPr>
          <w:color w:val="auto"/>
          <w:sz w:val="52"/>
          <w:szCs w:val="52"/>
        </w:rPr>
        <w:sectPr>
          <w:pgSz w:w="11906" w:h="16838"/>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14:paraId="6BD0EB71">
      <w:pPr>
        <w:pStyle w:val="41"/>
        <w:pageBreakBefore w:val="0"/>
        <w:kinsoku/>
        <w:wordWrap/>
        <w:overflowPunct/>
        <w:bidi w:val="0"/>
        <w:ind w:left="0" w:leftChars="0" w:firstLine="0" w:firstLineChars="0"/>
        <w:jc w:val="center"/>
        <w:rPr>
          <w:rFonts w:hint="eastAsia"/>
          <w:b/>
          <w:bCs/>
          <w:color w:val="auto"/>
          <w:sz w:val="44"/>
          <w:szCs w:val="44"/>
          <w:lang w:val="en-US" w:eastAsia="zh-CN"/>
        </w:rPr>
      </w:pPr>
    </w:p>
    <w:p w14:paraId="395B9FAA">
      <w:pPr>
        <w:pStyle w:val="41"/>
        <w:pageBreakBefore w:val="0"/>
        <w:kinsoku/>
        <w:wordWrap/>
        <w:overflowPunct/>
        <w:bidi w:val="0"/>
        <w:ind w:left="0" w:leftChars="0" w:firstLine="0" w:firstLineChars="0"/>
        <w:jc w:val="center"/>
        <w:rPr>
          <w:rFonts w:hint="eastAsia"/>
          <w:b/>
          <w:bCs/>
          <w:color w:val="auto"/>
          <w:sz w:val="44"/>
          <w:szCs w:val="44"/>
          <w:lang w:val="en-US" w:eastAsia="zh-CN"/>
        </w:rPr>
      </w:pPr>
    </w:p>
    <w:p w14:paraId="2DED538C">
      <w:pPr>
        <w:pStyle w:val="41"/>
        <w:pageBreakBefore w:val="0"/>
        <w:kinsoku/>
        <w:wordWrap/>
        <w:overflowPunct/>
        <w:bidi w:val="0"/>
        <w:ind w:left="0" w:leftChars="0" w:firstLine="0" w:firstLineChars="0"/>
        <w:jc w:val="center"/>
        <w:rPr>
          <w:rFonts w:hint="eastAsia"/>
          <w:b/>
          <w:bCs/>
          <w:color w:val="auto"/>
          <w:sz w:val="44"/>
          <w:szCs w:val="44"/>
          <w:lang w:val="en-US" w:eastAsia="zh-CN"/>
        </w:rPr>
      </w:pPr>
    </w:p>
    <w:p w14:paraId="47F936C0">
      <w:pPr>
        <w:pStyle w:val="41"/>
        <w:pageBreakBefore w:val="0"/>
        <w:kinsoku/>
        <w:wordWrap/>
        <w:overflowPunct/>
        <w:bidi w:val="0"/>
        <w:ind w:left="0" w:leftChars="0" w:firstLine="0" w:firstLineChars="0"/>
        <w:jc w:val="center"/>
        <w:rPr>
          <w:rFonts w:hint="eastAsia"/>
          <w:b/>
          <w:bCs/>
          <w:color w:val="auto"/>
          <w:sz w:val="44"/>
          <w:szCs w:val="44"/>
          <w:lang w:val="en-US" w:eastAsia="zh-CN"/>
        </w:rPr>
      </w:pPr>
    </w:p>
    <w:p w14:paraId="65098F19">
      <w:pPr>
        <w:pStyle w:val="41"/>
        <w:pageBreakBefore w:val="0"/>
        <w:kinsoku/>
        <w:wordWrap/>
        <w:overflowPunct/>
        <w:bidi w:val="0"/>
        <w:ind w:left="0" w:leftChars="0" w:firstLine="0" w:firstLineChars="0"/>
        <w:jc w:val="center"/>
        <w:rPr>
          <w:rFonts w:hint="eastAsia"/>
          <w:b/>
          <w:bCs/>
          <w:color w:val="auto"/>
          <w:sz w:val="52"/>
          <w:szCs w:val="52"/>
          <w:lang w:val="en-US" w:eastAsia="zh-CN"/>
        </w:rPr>
      </w:pPr>
      <w:r>
        <w:rPr>
          <w:rFonts w:hint="eastAsia"/>
          <w:b/>
          <w:bCs/>
          <w:color w:val="auto"/>
          <w:sz w:val="52"/>
          <w:szCs w:val="52"/>
          <w:lang w:val="en-US" w:eastAsia="zh-CN"/>
        </w:rPr>
        <w:t>西泽风电场（二期）</w:t>
      </w:r>
      <w:bookmarkStart w:id="51" w:name="_Toc24487"/>
    </w:p>
    <w:p w14:paraId="638F7E0E">
      <w:pPr>
        <w:pStyle w:val="41"/>
        <w:pageBreakBefore w:val="0"/>
        <w:kinsoku/>
        <w:wordWrap/>
        <w:overflowPunct/>
        <w:bidi w:val="0"/>
        <w:ind w:left="0" w:leftChars="0" w:firstLine="0" w:firstLineChars="0"/>
        <w:jc w:val="center"/>
        <w:rPr>
          <w:rFonts w:hint="eastAsia" w:eastAsia="宋体"/>
          <w:b/>
          <w:bCs/>
          <w:color w:val="auto"/>
          <w:sz w:val="52"/>
          <w:szCs w:val="52"/>
          <w:lang w:val="en-US" w:eastAsia="zh-CN"/>
        </w:rPr>
      </w:pPr>
      <w:r>
        <w:rPr>
          <w:rFonts w:hint="eastAsia"/>
          <w:b/>
          <w:bCs/>
          <w:color w:val="auto"/>
          <w:sz w:val="52"/>
          <w:szCs w:val="52"/>
          <w:lang w:val="en-US" w:eastAsia="zh-CN"/>
        </w:rPr>
        <w:t>生态环境影响专项</w:t>
      </w:r>
      <w:r>
        <w:rPr>
          <w:b/>
          <w:bCs/>
          <w:color w:val="auto"/>
          <w:sz w:val="52"/>
          <w:szCs w:val="52"/>
        </w:rPr>
        <w:t>评价</w:t>
      </w:r>
      <w:bookmarkEnd w:id="51"/>
      <w:r>
        <w:rPr>
          <w:rFonts w:hint="eastAsia"/>
          <w:b/>
          <w:bCs/>
          <w:color w:val="auto"/>
          <w:sz w:val="52"/>
          <w:szCs w:val="52"/>
          <w:lang w:val="en-US" w:eastAsia="zh-CN"/>
        </w:rPr>
        <w:t>报告</w:t>
      </w:r>
    </w:p>
    <w:p w14:paraId="072BE44C">
      <w:pPr>
        <w:pStyle w:val="41"/>
        <w:bidi w:val="0"/>
        <w:rPr>
          <w:color w:val="auto"/>
        </w:rPr>
      </w:pPr>
    </w:p>
    <w:p w14:paraId="0C82A274">
      <w:pPr>
        <w:pStyle w:val="41"/>
        <w:bidi w:val="0"/>
        <w:rPr>
          <w:color w:val="auto"/>
        </w:rPr>
      </w:pPr>
    </w:p>
    <w:p w14:paraId="6ADBD26A">
      <w:pPr>
        <w:pStyle w:val="41"/>
        <w:bidi w:val="0"/>
        <w:rPr>
          <w:color w:val="auto"/>
        </w:rPr>
      </w:pPr>
    </w:p>
    <w:p w14:paraId="76AD8BC2">
      <w:pPr>
        <w:pStyle w:val="41"/>
        <w:bidi w:val="0"/>
        <w:rPr>
          <w:color w:val="auto"/>
        </w:rPr>
      </w:pPr>
    </w:p>
    <w:p w14:paraId="083B82C2">
      <w:pPr>
        <w:pStyle w:val="41"/>
        <w:bidi w:val="0"/>
        <w:rPr>
          <w:color w:val="auto"/>
        </w:rPr>
      </w:pPr>
    </w:p>
    <w:p w14:paraId="2366A490">
      <w:pPr>
        <w:pStyle w:val="41"/>
        <w:bidi w:val="0"/>
        <w:rPr>
          <w:rFonts w:hint="default"/>
          <w:color w:val="auto"/>
          <w:lang w:val="en-US" w:eastAsia="zh-CN"/>
        </w:rPr>
      </w:pPr>
    </w:p>
    <w:p w14:paraId="229FF395">
      <w:pPr>
        <w:pStyle w:val="18"/>
        <w:pageBreakBefore w:val="0"/>
        <w:kinsoku/>
        <w:wordWrap/>
        <w:overflowPunct/>
        <w:bidi w:val="0"/>
        <w:adjustRightInd w:val="0"/>
        <w:snapToGrid w:val="0"/>
        <w:spacing w:before="0" w:beforeAutospacing="0" w:after="0" w:afterAutospacing="0" w:line="648" w:lineRule="auto"/>
        <w:outlineLvl w:val="9"/>
        <w:rPr>
          <w:rFonts w:hint="eastAsia" w:ascii="黑体" w:hAnsi="黑体" w:eastAsia="黑体"/>
          <w:snapToGrid w:val="0"/>
          <w:color w:val="auto"/>
          <w:sz w:val="44"/>
          <w:szCs w:val="44"/>
          <w:highlight w:val="none"/>
          <w:lang w:eastAsia="zh-CN"/>
        </w:rPr>
        <w:sectPr>
          <w:pgSz w:w="11906" w:h="16838"/>
          <w:pgMar w:top="1440" w:right="1797" w:bottom="1440" w:left="1797" w:header="851" w:footer="1077" w:gutter="0"/>
          <w:pgBorders>
            <w:top w:val="none" w:sz="0" w:space="0"/>
            <w:left w:val="none" w:sz="0" w:space="0"/>
            <w:bottom w:val="none" w:sz="0" w:space="0"/>
            <w:right w:val="none" w:sz="0" w:space="0"/>
          </w:pgBorders>
          <w:cols w:space="720" w:num="1"/>
          <w:docGrid w:linePitch="312" w:charSpace="0"/>
        </w:sectPr>
      </w:pPr>
    </w:p>
    <w:p w14:paraId="1B9D6254">
      <w:pPr>
        <w:pStyle w:val="41"/>
        <w:bidi w:val="0"/>
        <w:ind w:left="0" w:leftChars="0" w:firstLine="0" w:firstLineChars="0"/>
        <w:jc w:val="center"/>
        <w:rPr>
          <w:color w:val="auto"/>
          <w:sz w:val="44"/>
          <w:szCs w:val="44"/>
        </w:rPr>
      </w:pPr>
      <w:r>
        <w:rPr>
          <w:color w:val="auto"/>
          <w:sz w:val="44"/>
          <w:szCs w:val="44"/>
        </w:rPr>
        <w:t>目录</w:t>
      </w:r>
    </w:p>
    <w:p w14:paraId="4745E74E">
      <w:pPr>
        <w:pStyle w:val="15"/>
        <w:tabs>
          <w:tab w:val="right" w:leader="dot" w:pos="8730"/>
        </w:tabs>
        <w:rPr>
          <w:color w:val="auto"/>
          <w:sz w:val="28"/>
          <w:szCs w:val="28"/>
        </w:rPr>
      </w:pPr>
      <w:r>
        <w:rPr>
          <w:rFonts w:ascii="Times New Roman" w:hAnsi="Times New Roman" w:eastAsia="宋体" w:cs="Times New Roman"/>
          <w:bCs/>
          <w:color w:val="auto"/>
          <w:sz w:val="28"/>
          <w:szCs w:val="28"/>
        </w:rPr>
        <w:fldChar w:fldCharType="begin"/>
      </w:r>
      <w:r>
        <w:rPr>
          <w:color w:val="auto"/>
          <w:sz w:val="28"/>
          <w:szCs w:val="28"/>
        </w:rPr>
        <w:instrText xml:space="preserve">TOC \o "1-1" \h \u </w:instrText>
      </w:r>
      <w:r>
        <w:rPr>
          <w:rFonts w:ascii="Times New Roman" w:hAnsi="Times New Roman" w:eastAsia="宋体" w:cs="Times New Roman"/>
          <w:bCs/>
          <w:color w:val="auto"/>
          <w:sz w:val="28"/>
          <w:szCs w:val="28"/>
        </w:rPr>
        <w:fldChar w:fldCharType="separate"/>
      </w:r>
      <w:r>
        <w:rPr>
          <w:rFonts w:ascii="Times New Roman" w:hAnsi="Times New Roman" w:eastAsia="宋体" w:cs="Times New Roman"/>
          <w:bCs/>
          <w:color w:val="auto"/>
          <w:sz w:val="28"/>
          <w:szCs w:val="28"/>
        </w:rPr>
        <w:fldChar w:fldCharType="begin"/>
      </w:r>
      <w:r>
        <w:rPr>
          <w:rFonts w:ascii="Times New Roman" w:hAnsi="Times New Roman" w:eastAsia="宋体" w:cs="Times New Roman"/>
          <w:bCs/>
          <w:color w:val="auto"/>
          <w:sz w:val="28"/>
          <w:szCs w:val="28"/>
        </w:rPr>
        <w:instrText xml:space="preserve"> HYPERLINK \l _Toc8534 </w:instrText>
      </w:r>
      <w:r>
        <w:rPr>
          <w:rFonts w:ascii="Times New Roman" w:hAnsi="Times New Roman" w:eastAsia="宋体" w:cs="Times New Roman"/>
          <w:bCs/>
          <w:color w:val="auto"/>
          <w:sz w:val="28"/>
          <w:szCs w:val="28"/>
        </w:rPr>
        <w:fldChar w:fldCharType="separate"/>
      </w:r>
      <w:r>
        <w:rPr>
          <w:rFonts w:hint="default" w:ascii="Times New Roman" w:hAnsi="Times New Roman" w:eastAsia="宋体" w:cs="Times New Roman"/>
          <w:bCs w:val="0"/>
          <w:color w:val="auto"/>
          <w:spacing w:val="-2"/>
          <w:sz w:val="28"/>
          <w:szCs w:val="28"/>
          <w:lang w:val="en-US" w:eastAsia="zh-CN"/>
        </w:rPr>
        <w:t xml:space="preserve">1. </w:t>
      </w:r>
      <w:r>
        <w:rPr>
          <w:rFonts w:hint="eastAsia"/>
          <w:color w:val="auto"/>
          <w:sz w:val="28"/>
          <w:szCs w:val="28"/>
          <w:lang w:val="en-US" w:eastAsia="zh-CN"/>
        </w:rPr>
        <w:t>总则</w:t>
      </w:r>
      <w:r>
        <w:rPr>
          <w:color w:val="auto"/>
          <w:sz w:val="28"/>
          <w:szCs w:val="28"/>
        </w:rPr>
        <w:tab/>
      </w:r>
      <w:r>
        <w:rPr>
          <w:color w:val="auto"/>
          <w:sz w:val="28"/>
          <w:szCs w:val="28"/>
        </w:rPr>
        <w:fldChar w:fldCharType="begin"/>
      </w:r>
      <w:r>
        <w:rPr>
          <w:color w:val="auto"/>
          <w:sz w:val="28"/>
          <w:szCs w:val="28"/>
        </w:rPr>
        <w:instrText xml:space="preserve"> PAGEREF _Toc8534 \h </w:instrText>
      </w:r>
      <w:r>
        <w:rPr>
          <w:color w:val="auto"/>
          <w:sz w:val="28"/>
          <w:szCs w:val="28"/>
        </w:rPr>
        <w:fldChar w:fldCharType="separate"/>
      </w:r>
      <w:r>
        <w:rPr>
          <w:color w:val="auto"/>
          <w:sz w:val="28"/>
          <w:szCs w:val="28"/>
        </w:rPr>
        <w:t>2</w:t>
      </w:r>
      <w:r>
        <w:rPr>
          <w:color w:val="auto"/>
          <w:sz w:val="28"/>
          <w:szCs w:val="28"/>
        </w:rPr>
        <w:fldChar w:fldCharType="end"/>
      </w:r>
      <w:r>
        <w:rPr>
          <w:rFonts w:ascii="Times New Roman" w:hAnsi="Times New Roman" w:eastAsia="宋体" w:cs="Times New Roman"/>
          <w:bCs/>
          <w:color w:val="auto"/>
          <w:sz w:val="28"/>
          <w:szCs w:val="28"/>
        </w:rPr>
        <w:fldChar w:fldCharType="end"/>
      </w:r>
    </w:p>
    <w:p w14:paraId="29F39CC8">
      <w:pPr>
        <w:pStyle w:val="15"/>
        <w:tabs>
          <w:tab w:val="right" w:leader="dot" w:pos="8730"/>
        </w:tabs>
        <w:rPr>
          <w:color w:val="auto"/>
          <w:sz w:val="28"/>
          <w:szCs w:val="28"/>
        </w:rPr>
      </w:pPr>
      <w:r>
        <w:rPr>
          <w:rFonts w:ascii="Times New Roman" w:hAnsi="Times New Roman" w:eastAsia="宋体" w:cs="Times New Roman"/>
          <w:bCs/>
          <w:color w:val="auto"/>
          <w:sz w:val="28"/>
          <w:szCs w:val="28"/>
        </w:rPr>
        <w:fldChar w:fldCharType="begin"/>
      </w:r>
      <w:r>
        <w:rPr>
          <w:rFonts w:ascii="Times New Roman" w:hAnsi="Times New Roman" w:eastAsia="宋体" w:cs="Times New Roman"/>
          <w:bCs/>
          <w:color w:val="auto"/>
          <w:sz w:val="28"/>
          <w:szCs w:val="28"/>
        </w:rPr>
        <w:instrText xml:space="preserve"> HYPERLINK \l _Toc732 </w:instrText>
      </w:r>
      <w:r>
        <w:rPr>
          <w:rFonts w:ascii="Times New Roman" w:hAnsi="Times New Roman" w:eastAsia="宋体" w:cs="Times New Roman"/>
          <w:bCs/>
          <w:color w:val="auto"/>
          <w:sz w:val="28"/>
          <w:szCs w:val="28"/>
        </w:rPr>
        <w:fldChar w:fldCharType="separate"/>
      </w:r>
      <w:r>
        <w:rPr>
          <w:rFonts w:hint="default"/>
          <w:color w:val="auto"/>
          <w:sz w:val="28"/>
          <w:szCs w:val="28"/>
          <w:lang w:val="en-US" w:eastAsia="zh-CN"/>
        </w:rPr>
        <w:t xml:space="preserve">2. </w:t>
      </w:r>
      <w:r>
        <w:rPr>
          <w:rFonts w:hint="eastAsia"/>
          <w:color w:val="auto"/>
          <w:sz w:val="28"/>
          <w:szCs w:val="28"/>
          <w:lang w:val="en-US" w:eastAsia="zh-CN"/>
        </w:rPr>
        <w:t>现状调查与评价</w:t>
      </w:r>
      <w:r>
        <w:rPr>
          <w:color w:val="auto"/>
          <w:sz w:val="28"/>
          <w:szCs w:val="28"/>
        </w:rPr>
        <w:tab/>
      </w:r>
      <w:r>
        <w:rPr>
          <w:color w:val="auto"/>
          <w:sz w:val="28"/>
          <w:szCs w:val="28"/>
        </w:rPr>
        <w:fldChar w:fldCharType="begin"/>
      </w:r>
      <w:r>
        <w:rPr>
          <w:color w:val="auto"/>
          <w:sz w:val="28"/>
          <w:szCs w:val="28"/>
        </w:rPr>
        <w:instrText xml:space="preserve"> PAGEREF _Toc732 \h </w:instrText>
      </w:r>
      <w:r>
        <w:rPr>
          <w:color w:val="auto"/>
          <w:sz w:val="28"/>
          <w:szCs w:val="28"/>
        </w:rPr>
        <w:fldChar w:fldCharType="separate"/>
      </w:r>
      <w:r>
        <w:rPr>
          <w:color w:val="auto"/>
          <w:sz w:val="28"/>
          <w:szCs w:val="28"/>
        </w:rPr>
        <w:t>9</w:t>
      </w:r>
      <w:r>
        <w:rPr>
          <w:color w:val="auto"/>
          <w:sz w:val="28"/>
          <w:szCs w:val="28"/>
        </w:rPr>
        <w:fldChar w:fldCharType="end"/>
      </w:r>
      <w:r>
        <w:rPr>
          <w:rFonts w:ascii="Times New Roman" w:hAnsi="Times New Roman" w:eastAsia="宋体" w:cs="Times New Roman"/>
          <w:bCs/>
          <w:color w:val="auto"/>
          <w:sz w:val="28"/>
          <w:szCs w:val="28"/>
        </w:rPr>
        <w:fldChar w:fldCharType="end"/>
      </w:r>
    </w:p>
    <w:p w14:paraId="68EE692B">
      <w:pPr>
        <w:pStyle w:val="15"/>
        <w:tabs>
          <w:tab w:val="right" w:leader="dot" w:pos="8730"/>
        </w:tabs>
        <w:rPr>
          <w:color w:val="auto"/>
          <w:sz w:val="28"/>
          <w:szCs w:val="28"/>
        </w:rPr>
      </w:pPr>
      <w:r>
        <w:rPr>
          <w:rFonts w:ascii="Times New Roman" w:hAnsi="Times New Roman" w:eastAsia="宋体" w:cs="Times New Roman"/>
          <w:bCs/>
          <w:color w:val="auto"/>
          <w:sz w:val="28"/>
          <w:szCs w:val="28"/>
        </w:rPr>
        <w:fldChar w:fldCharType="begin"/>
      </w:r>
      <w:r>
        <w:rPr>
          <w:rFonts w:ascii="Times New Roman" w:hAnsi="Times New Roman" w:eastAsia="宋体" w:cs="Times New Roman"/>
          <w:bCs/>
          <w:color w:val="auto"/>
          <w:sz w:val="28"/>
          <w:szCs w:val="28"/>
        </w:rPr>
        <w:instrText xml:space="preserve"> HYPERLINK \l _Toc29053 </w:instrText>
      </w:r>
      <w:r>
        <w:rPr>
          <w:rFonts w:ascii="Times New Roman" w:hAnsi="Times New Roman" w:eastAsia="宋体" w:cs="Times New Roman"/>
          <w:bCs/>
          <w:color w:val="auto"/>
          <w:sz w:val="28"/>
          <w:szCs w:val="28"/>
        </w:rPr>
        <w:fldChar w:fldCharType="separate"/>
      </w:r>
      <w:r>
        <w:rPr>
          <w:rFonts w:hint="default" w:ascii="Times New Roman" w:hAnsi="Times New Roman" w:eastAsia="宋体" w:cs="Times New Roman"/>
          <w:bCs/>
          <w:color w:val="auto"/>
          <w:sz w:val="28"/>
          <w:szCs w:val="28"/>
          <w:lang w:val="en-US" w:eastAsia="zh-CN"/>
        </w:rPr>
        <w:t xml:space="preserve">3. </w:t>
      </w:r>
      <w:r>
        <w:rPr>
          <w:rFonts w:hint="eastAsia" w:ascii="Times New Roman" w:hAnsi="Times New Roman" w:eastAsia="宋体" w:cs="Times New Roman"/>
          <w:bCs/>
          <w:color w:val="auto"/>
          <w:sz w:val="28"/>
          <w:szCs w:val="28"/>
          <w:lang w:val="en-US" w:eastAsia="zh-CN"/>
        </w:rPr>
        <w:t>施工期生态影响分析</w:t>
      </w:r>
      <w:r>
        <w:rPr>
          <w:color w:val="auto"/>
          <w:sz w:val="28"/>
          <w:szCs w:val="28"/>
        </w:rPr>
        <w:tab/>
      </w:r>
      <w:r>
        <w:rPr>
          <w:color w:val="auto"/>
          <w:sz w:val="28"/>
          <w:szCs w:val="28"/>
        </w:rPr>
        <w:fldChar w:fldCharType="begin"/>
      </w:r>
      <w:r>
        <w:rPr>
          <w:color w:val="auto"/>
          <w:sz w:val="28"/>
          <w:szCs w:val="28"/>
        </w:rPr>
        <w:instrText xml:space="preserve"> PAGEREF _Toc29053 \h </w:instrText>
      </w:r>
      <w:r>
        <w:rPr>
          <w:color w:val="auto"/>
          <w:sz w:val="28"/>
          <w:szCs w:val="28"/>
        </w:rPr>
        <w:fldChar w:fldCharType="separate"/>
      </w:r>
      <w:r>
        <w:rPr>
          <w:color w:val="auto"/>
          <w:sz w:val="28"/>
          <w:szCs w:val="28"/>
        </w:rPr>
        <w:t>44</w:t>
      </w:r>
      <w:r>
        <w:rPr>
          <w:color w:val="auto"/>
          <w:sz w:val="28"/>
          <w:szCs w:val="28"/>
        </w:rPr>
        <w:fldChar w:fldCharType="end"/>
      </w:r>
      <w:r>
        <w:rPr>
          <w:rFonts w:ascii="Times New Roman" w:hAnsi="Times New Roman" w:eastAsia="宋体" w:cs="Times New Roman"/>
          <w:bCs/>
          <w:color w:val="auto"/>
          <w:sz w:val="28"/>
          <w:szCs w:val="28"/>
        </w:rPr>
        <w:fldChar w:fldCharType="end"/>
      </w:r>
    </w:p>
    <w:p w14:paraId="375D2EFC">
      <w:pPr>
        <w:pStyle w:val="15"/>
        <w:tabs>
          <w:tab w:val="right" w:leader="dot" w:pos="8730"/>
        </w:tabs>
        <w:rPr>
          <w:color w:val="auto"/>
          <w:sz w:val="28"/>
          <w:szCs w:val="28"/>
        </w:rPr>
      </w:pPr>
      <w:r>
        <w:rPr>
          <w:rFonts w:ascii="Times New Roman" w:hAnsi="Times New Roman" w:eastAsia="宋体" w:cs="Times New Roman"/>
          <w:bCs/>
          <w:color w:val="auto"/>
          <w:sz w:val="28"/>
          <w:szCs w:val="28"/>
        </w:rPr>
        <w:fldChar w:fldCharType="begin"/>
      </w:r>
      <w:r>
        <w:rPr>
          <w:rFonts w:ascii="Times New Roman" w:hAnsi="Times New Roman" w:eastAsia="宋体" w:cs="Times New Roman"/>
          <w:bCs/>
          <w:color w:val="auto"/>
          <w:sz w:val="28"/>
          <w:szCs w:val="28"/>
        </w:rPr>
        <w:instrText xml:space="preserve"> HYPERLINK \l _Toc28989 </w:instrText>
      </w:r>
      <w:r>
        <w:rPr>
          <w:rFonts w:ascii="Times New Roman" w:hAnsi="Times New Roman" w:eastAsia="宋体" w:cs="Times New Roman"/>
          <w:bCs/>
          <w:color w:val="auto"/>
          <w:sz w:val="28"/>
          <w:szCs w:val="28"/>
        </w:rPr>
        <w:fldChar w:fldCharType="separate"/>
      </w:r>
      <w:r>
        <w:rPr>
          <w:rFonts w:hint="default"/>
          <w:color w:val="auto"/>
          <w:sz w:val="28"/>
          <w:szCs w:val="28"/>
          <w:lang w:val="en-US" w:eastAsia="zh-CN"/>
        </w:rPr>
        <w:t xml:space="preserve">4. </w:t>
      </w:r>
      <w:r>
        <w:rPr>
          <w:rFonts w:hint="eastAsia"/>
          <w:color w:val="auto"/>
          <w:sz w:val="28"/>
          <w:szCs w:val="28"/>
          <w:lang w:val="en-US" w:eastAsia="zh-CN"/>
        </w:rPr>
        <w:t>运营期生态影响分析</w:t>
      </w:r>
      <w:r>
        <w:rPr>
          <w:color w:val="auto"/>
          <w:sz w:val="28"/>
          <w:szCs w:val="28"/>
        </w:rPr>
        <w:tab/>
      </w:r>
      <w:r>
        <w:rPr>
          <w:color w:val="auto"/>
          <w:sz w:val="28"/>
          <w:szCs w:val="28"/>
        </w:rPr>
        <w:fldChar w:fldCharType="begin"/>
      </w:r>
      <w:r>
        <w:rPr>
          <w:color w:val="auto"/>
          <w:sz w:val="28"/>
          <w:szCs w:val="28"/>
        </w:rPr>
        <w:instrText xml:space="preserve"> PAGEREF _Toc28989 \h </w:instrText>
      </w:r>
      <w:r>
        <w:rPr>
          <w:color w:val="auto"/>
          <w:sz w:val="28"/>
          <w:szCs w:val="28"/>
        </w:rPr>
        <w:fldChar w:fldCharType="separate"/>
      </w:r>
      <w:r>
        <w:rPr>
          <w:color w:val="auto"/>
          <w:sz w:val="28"/>
          <w:szCs w:val="28"/>
        </w:rPr>
        <w:t>53</w:t>
      </w:r>
      <w:r>
        <w:rPr>
          <w:color w:val="auto"/>
          <w:sz w:val="28"/>
          <w:szCs w:val="28"/>
        </w:rPr>
        <w:fldChar w:fldCharType="end"/>
      </w:r>
      <w:r>
        <w:rPr>
          <w:rFonts w:ascii="Times New Roman" w:hAnsi="Times New Roman" w:eastAsia="宋体" w:cs="Times New Roman"/>
          <w:bCs/>
          <w:color w:val="auto"/>
          <w:sz w:val="28"/>
          <w:szCs w:val="28"/>
        </w:rPr>
        <w:fldChar w:fldCharType="end"/>
      </w:r>
    </w:p>
    <w:p w14:paraId="75405EC5">
      <w:pPr>
        <w:pStyle w:val="15"/>
        <w:tabs>
          <w:tab w:val="right" w:leader="dot" w:pos="8730"/>
        </w:tabs>
        <w:rPr>
          <w:color w:val="auto"/>
          <w:sz w:val="28"/>
          <w:szCs w:val="28"/>
        </w:rPr>
      </w:pPr>
      <w:r>
        <w:rPr>
          <w:rFonts w:ascii="Times New Roman" w:hAnsi="Times New Roman" w:eastAsia="宋体" w:cs="Times New Roman"/>
          <w:bCs/>
          <w:color w:val="auto"/>
          <w:sz w:val="28"/>
          <w:szCs w:val="28"/>
        </w:rPr>
        <w:fldChar w:fldCharType="begin"/>
      </w:r>
      <w:r>
        <w:rPr>
          <w:rFonts w:ascii="Times New Roman" w:hAnsi="Times New Roman" w:eastAsia="宋体" w:cs="Times New Roman"/>
          <w:bCs/>
          <w:color w:val="auto"/>
          <w:sz w:val="28"/>
          <w:szCs w:val="28"/>
        </w:rPr>
        <w:instrText xml:space="preserve"> HYPERLINK \l _Toc2179 </w:instrText>
      </w:r>
      <w:r>
        <w:rPr>
          <w:rFonts w:ascii="Times New Roman" w:hAnsi="Times New Roman" w:eastAsia="宋体" w:cs="Times New Roman"/>
          <w:bCs/>
          <w:color w:val="auto"/>
          <w:sz w:val="28"/>
          <w:szCs w:val="28"/>
        </w:rPr>
        <w:fldChar w:fldCharType="separate"/>
      </w:r>
      <w:r>
        <w:rPr>
          <w:rFonts w:hint="default"/>
          <w:color w:val="auto"/>
          <w:sz w:val="28"/>
          <w:szCs w:val="28"/>
          <w:lang w:val="en-US" w:eastAsia="zh-CN"/>
        </w:rPr>
        <w:t xml:space="preserve">5. </w:t>
      </w:r>
      <w:r>
        <w:rPr>
          <w:rFonts w:hint="eastAsia"/>
          <w:color w:val="auto"/>
          <w:sz w:val="28"/>
          <w:szCs w:val="28"/>
          <w:lang w:val="en-US" w:eastAsia="zh-CN"/>
        </w:rPr>
        <w:t>施工期生态环境保护措施</w:t>
      </w:r>
      <w:r>
        <w:rPr>
          <w:color w:val="auto"/>
          <w:sz w:val="28"/>
          <w:szCs w:val="28"/>
        </w:rPr>
        <w:tab/>
      </w:r>
      <w:r>
        <w:rPr>
          <w:color w:val="auto"/>
          <w:sz w:val="28"/>
          <w:szCs w:val="28"/>
        </w:rPr>
        <w:fldChar w:fldCharType="begin"/>
      </w:r>
      <w:r>
        <w:rPr>
          <w:color w:val="auto"/>
          <w:sz w:val="28"/>
          <w:szCs w:val="28"/>
        </w:rPr>
        <w:instrText xml:space="preserve"> PAGEREF _Toc2179 \h </w:instrText>
      </w:r>
      <w:r>
        <w:rPr>
          <w:color w:val="auto"/>
          <w:sz w:val="28"/>
          <w:szCs w:val="28"/>
        </w:rPr>
        <w:fldChar w:fldCharType="separate"/>
      </w:r>
      <w:r>
        <w:rPr>
          <w:color w:val="auto"/>
          <w:sz w:val="28"/>
          <w:szCs w:val="28"/>
        </w:rPr>
        <w:t>59</w:t>
      </w:r>
      <w:r>
        <w:rPr>
          <w:color w:val="auto"/>
          <w:sz w:val="28"/>
          <w:szCs w:val="28"/>
        </w:rPr>
        <w:fldChar w:fldCharType="end"/>
      </w:r>
      <w:r>
        <w:rPr>
          <w:rFonts w:ascii="Times New Roman" w:hAnsi="Times New Roman" w:eastAsia="宋体" w:cs="Times New Roman"/>
          <w:bCs/>
          <w:color w:val="auto"/>
          <w:sz w:val="28"/>
          <w:szCs w:val="28"/>
        </w:rPr>
        <w:fldChar w:fldCharType="end"/>
      </w:r>
    </w:p>
    <w:p w14:paraId="24B6A15E">
      <w:pPr>
        <w:pStyle w:val="15"/>
        <w:tabs>
          <w:tab w:val="right" w:leader="dot" w:pos="8730"/>
        </w:tabs>
        <w:rPr>
          <w:color w:val="auto"/>
          <w:sz w:val="28"/>
          <w:szCs w:val="28"/>
        </w:rPr>
      </w:pPr>
      <w:r>
        <w:rPr>
          <w:rFonts w:ascii="Times New Roman" w:hAnsi="Times New Roman" w:eastAsia="宋体" w:cs="Times New Roman"/>
          <w:bCs/>
          <w:color w:val="auto"/>
          <w:sz w:val="28"/>
          <w:szCs w:val="28"/>
        </w:rPr>
        <w:fldChar w:fldCharType="begin"/>
      </w:r>
      <w:r>
        <w:rPr>
          <w:rFonts w:ascii="Times New Roman" w:hAnsi="Times New Roman" w:eastAsia="宋体" w:cs="Times New Roman"/>
          <w:bCs/>
          <w:color w:val="auto"/>
          <w:sz w:val="28"/>
          <w:szCs w:val="28"/>
        </w:rPr>
        <w:instrText xml:space="preserve"> HYPERLINK \l _Toc28684 </w:instrText>
      </w:r>
      <w:r>
        <w:rPr>
          <w:rFonts w:ascii="Times New Roman" w:hAnsi="Times New Roman" w:eastAsia="宋体" w:cs="Times New Roman"/>
          <w:bCs/>
          <w:color w:val="auto"/>
          <w:sz w:val="28"/>
          <w:szCs w:val="28"/>
        </w:rPr>
        <w:fldChar w:fldCharType="separate"/>
      </w:r>
      <w:r>
        <w:rPr>
          <w:rFonts w:hint="default"/>
          <w:color w:val="auto"/>
          <w:sz w:val="28"/>
          <w:szCs w:val="28"/>
        </w:rPr>
        <w:t xml:space="preserve">6. </w:t>
      </w:r>
      <w:r>
        <w:rPr>
          <w:rFonts w:hint="eastAsia"/>
          <w:color w:val="auto"/>
          <w:sz w:val="28"/>
          <w:szCs w:val="28"/>
        </w:rPr>
        <w:t>运营期生态环境保护措施</w:t>
      </w:r>
      <w:r>
        <w:rPr>
          <w:color w:val="auto"/>
          <w:sz w:val="28"/>
          <w:szCs w:val="28"/>
        </w:rPr>
        <w:tab/>
      </w:r>
      <w:r>
        <w:rPr>
          <w:color w:val="auto"/>
          <w:sz w:val="28"/>
          <w:szCs w:val="28"/>
        </w:rPr>
        <w:fldChar w:fldCharType="begin"/>
      </w:r>
      <w:r>
        <w:rPr>
          <w:color w:val="auto"/>
          <w:sz w:val="28"/>
          <w:szCs w:val="28"/>
        </w:rPr>
        <w:instrText xml:space="preserve"> PAGEREF _Toc28684 \h </w:instrText>
      </w:r>
      <w:r>
        <w:rPr>
          <w:color w:val="auto"/>
          <w:sz w:val="28"/>
          <w:szCs w:val="28"/>
        </w:rPr>
        <w:fldChar w:fldCharType="separate"/>
      </w:r>
      <w:r>
        <w:rPr>
          <w:color w:val="auto"/>
          <w:sz w:val="28"/>
          <w:szCs w:val="28"/>
        </w:rPr>
        <w:t>63</w:t>
      </w:r>
      <w:r>
        <w:rPr>
          <w:color w:val="auto"/>
          <w:sz w:val="28"/>
          <w:szCs w:val="28"/>
        </w:rPr>
        <w:fldChar w:fldCharType="end"/>
      </w:r>
      <w:r>
        <w:rPr>
          <w:rFonts w:ascii="Times New Roman" w:hAnsi="Times New Roman" w:eastAsia="宋体" w:cs="Times New Roman"/>
          <w:bCs/>
          <w:color w:val="auto"/>
          <w:sz w:val="28"/>
          <w:szCs w:val="28"/>
        </w:rPr>
        <w:fldChar w:fldCharType="end"/>
      </w:r>
    </w:p>
    <w:p w14:paraId="1E2C9742">
      <w:pPr>
        <w:pStyle w:val="15"/>
        <w:tabs>
          <w:tab w:val="right" w:leader="dot" w:pos="8730"/>
        </w:tabs>
        <w:rPr>
          <w:color w:val="auto"/>
          <w:sz w:val="28"/>
          <w:szCs w:val="28"/>
        </w:rPr>
      </w:pPr>
      <w:r>
        <w:rPr>
          <w:rFonts w:ascii="Times New Roman" w:hAnsi="Times New Roman" w:eastAsia="宋体" w:cs="Times New Roman"/>
          <w:bCs/>
          <w:color w:val="auto"/>
          <w:sz w:val="28"/>
          <w:szCs w:val="28"/>
        </w:rPr>
        <w:fldChar w:fldCharType="begin"/>
      </w:r>
      <w:r>
        <w:rPr>
          <w:rFonts w:ascii="Times New Roman" w:hAnsi="Times New Roman" w:eastAsia="宋体" w:cs="Times New Roman"/>
          <w:bCs/>
          <w:color w:val="auto"/>
          <w:sz w:val="28"/>
          <w:szCs w:val="28"/>
        </w:rPr>
        <w:instrText xml:space="preserve"> HYPERLINK \l _Toc7829 </w:instrText>
      </w:r>
      <w:r>
        <w:rPr>
          <w:rFonts w:ascii="Times New Roman" w:hAnsi="Times New Roman" w:eastAsia="宋体" w:cs="Times New Roman"/>
          <w:bCs/>
          <w:color w:val="auto"/>
          <w:sz w:val="28"/>
          <w:szCs w:val="28"/>
        </w:rPr>
        <w:fldChar w:fldCharType="separate"/>
      </w:r>
      <w:r>
        <w:rPr>
          <w:rFonts w:hint="default"/>
          <w:color w:val="auto"/>
          <w:sz w:val="28"/>
          <w:szCs w:val="28"/>
          <w:lang w:eastAsia="zh-CN"/>
        </w:rPr>
        <w:t xml:space="preserve">7. </w:t>
      </w:r>
      <w:r>
        <w:rPr>
          <w:rFonts w:hint="eastAsia"/>
          <w:color w:val="auto"/>
          <w:sz w:val="28"/>
          <w:szCs w:val="28"/>
          <w:lang w:eastAsia="zh-CN"/>
        </w:rPr>
        <w:t>生态环境管理和监测</w:t>
      </w:r>
      <w:r>
        <w:rPr>
          <w:color w:val="auto"/>
          <w:sz w:val="28"/>
          <w:szCs w:val="28"/>
        </w:rPr>
        <w:tab/>
      </w:r>
      <w:r>
        <w:rPr>
          <w:color w:val="auto"/>
          <w:sz w:val="28"/>
          <w:szCs w:val="28"/>
        </w:rPr>
        <w:fldChar w:fldCharType="begin"/>
      </w:r>
      <w:r>
        <w:rPr>
          <w:color w:val="auto"/>
          <w:sz w:val="28"/>
          <w:szCs w:val="28"/>
        </w:rPr>
        <w:instrText xml:space="preserve"> PAGEREF _Toc7829 \h </w:instrText>
      </w:r>
      <w:r>
        <w:rPr>
          <w:color w:val="auto"/>
          <w:sz w:val="28"/>
          <w:szCs w:val="28"/>
        </w:rPr>
        <w:fldChar w:fldCharType="separate"/>
      </w:r>
      <w:r>
        <w:rPr>
          <w:color w:val="auto"/>
          <w:sz w:val="28"/>
          <w:szCs w:val="28"/>
        </w:rPr>
        <w:t>64</w:t>
      </w:r>
      <w:r>
        <w:rPr>
          <w:color w:val="auto"/>
          <w:sz w:val="28"/>
          <w:szCs w:val="28"/>
        </w:rPr>
        <w:fldChar w:fldCharType="end"/>
      </w:r>
      <w:r>
        <w:rPr>
          <w:rFonts w:ascii="Times New Roman" w:hAnsi="Times New Roman" w:eastAsia="宋体" w:cs="Times New Roman"/>
          <w:bCs/>
          <w:color w:val="auto"/>
          <w:sz w:val="28"/>
          <w:szCs w:val="28"/>
        </w:rPr>
        <w:fldChar w:fldCharType="end"/>
      </w:r>
    </w:p>
    <w:p w14:paraId="62E06EB2">
      <w:pPr>
        <w:pStyle w:val="15"/>
        <w:tabs>
          <w:tab w:val="right" w:leader="dot" w:pos="8730"/>
        </w:tabs>
        <w:rPr>
          <w:color w:val="auto"/>
          <w:sz w:val="28"/>
          <w:szCs w:val="28"/>
        </w:rPr>
      </w:pPr>
      <w:r>
        <w:rPr>
          <w:rFonts w:ascii="Times New Roman" w:hAnsi="Times New Roman" w:eastAsia="宋体" w:cs="Times New Roman"/>
          <w:bCs/>
          <w:color w:val="auto"/>
          <w:sz w:val="28"/>
          <w:szCs w:val="28"/>
        </w:rPr>
        <w:fldChar w:fldCharType="begin"/>
      </w:r>
      <w:r>
        <w:rPr>
          <w:rFonts w:ascii="Times New Roman" w:hAnsi="Times New Roman" w:eastAsia="宋体" w:cs="Times New Roman"/>
          <w:bCs/>
          <w:color w:val="auto"/>
          <w:sz w:val="28"/>
          <w:szCs w:val="28"/>
        </w:rPr>
        <w:instrText xml:space="preserve"> HYPERLINK \l _Toc23552 </w:instrText>
      </w:r>
      <w:r>
        <w:rPr>
          <w:rFonts w:ascii="Times New Roman" w:hAnsi="Times New Roman" w:eastAsia="宋体" w:cs="Times New Roman"/>
          <w:bCs/>
          <w:color w:val="auto"/>
          <w:sz w:val="28"/>
          <w:szCs w:val="28"/>
        </w:rPr>
        <w:fldChar w:fldCharType="separate"/>
      </w:r>
      <w:r>
        <w:rPr>
          <w:rFonts w:hint="default"/>
          <w:color w:val="auto"/>
          <w:sz w:val="28"/>
          <w:szCs w:val="28"/>
        </w:rPr>
        <w:t xml:space="preserve">8. </w:t>
      </w:r>
      <w:r>
        <w:rPr>
          <w:color w:val="auto"/>
          <w:sz w:val="28"/>
          <w:szCs w:val="28"/>
        </w:rPr>
        <w:t>结论与建议</w:t>
      </w:r>
      <w:r>
        <w:rPr>
          <w:color w:val="auto"/>
          <w:sz w:val="28"/>
          <w:szCs w:val="28"/>
        </w:rPr>
        <w:tab/>
      </w:r>
      <w:r>
        <w:rPr>
          <w:color w:val="auto"/>
          <w:sz w:val="28"/>
          <w:szCs w:val="28"/>
        </w:rPr>
        <w:fldChar w:fldCharType="begin"/>
      </w:r>
      <w:r>
        <w:rPr>
          <w:color w:val="auto"/>
          <w:sz w:val="28"/>
          <w:szCs w:val="28"/>
        </w:rPr>
        <w:instrText xml:space="preserve"> PAGEREF _Toc23552 \h </w:instrText>
      </w:r>
      <w:r>
        <w:rPr>
          <w:color w:val="auto"/>
          <w:sz w:val="28"/>
          <w:szCs w:val="28"/>
        </w:rPr>
        <w:fldChar w:fldCharType="separate"/>
      </w:r>
      <w:r>
        <w:rPr>
          <w:color w:val="auto"/>
          <w:sz w:val="28"/>
          <w:szCs w:val="28"/>
        </w:rPr>
        <w:t>66</w:t>
      </w:r>
      <w:r>
        <w:rPr>
          <w:color w:val="auto"/>
          <w:sz w:val="28"/>
          <w:szCs w:val="28"/>
        </w:rPr>
        <w:fldChar w:fldCharType="end"/>
      </w:r>
      <w:r>
        <w:rPr>
          <w:rFonts w:ascii="Times New Roman" w:hAnsi="Times New Roman" w:eastAsia="宋体" w:cs="Times New Roman"/>
          <w:bCs/>
          <w:color w:val="auto"/>
          <w:sz w:val="28"/>
          <w:szCs w:val="28"/>
        </w:rPr>
        <w:fldChar w:fldCharType="end"/>
      </w:r>
    </w:p>
    <w:p w14:paraId="02A779BF">
      <w:pPr>
        <w:pStyle w:val="41"/>
        <w:bidi w:val="0"/>
        <w:rPr>
          <w:color w:val="auto"/>
        </w:rPr>
      </w:pPr>
      <w:r>
        <w:rPr>
          <w:rFonts w:ascii="Times New Roman" w:hAnsi="Times New Roman" w:eastAsia="宋体" w:cs="Times New Roman"/>
          <w:bCs/>
          <w:color w:val="auto"/>
          <w:sz w:val="28"/>
          <w:szCs w:val="28"/>
        </w:rPr>
        <w:fldChar w:fldCharType="end"/>
      </w:r>
    </w:p>
    <w:p w14:paraId="4FCAF092">
      <w:pPr>
        <w:pStyle w:val="41"/>
        <w:bidi w:val="0"/>
        <w:rPr>
          <w:color w:val="auto"/>
        </w:rPr>
      </w:pPr>
    </w:p>
    <w:p w14:paraId="64C59060">
      <w:pPr>
        <w:pStyle w:val="41"/>
        <w:bidi w:val="0"/>
        <w:rPr>
          <w:color w:val="auto"/>
        </w:rPr>
        <w:sectPr>
          <w:headerReference r:id="rId12" w:type="default"/>
          <w:pgSz w:w="11906" w:h="16838"/>
          <w:pgMar w:top="1701" w:right="1588" w:bottom="1418" w:left="1588" w:header="1474" w:footer="1418" w:gutter="0"/>
          <w:pgBorders>
            <w:top w:val="none" w:sz="0" w:space="0"/>
            <w:left w:val="none" w:sz="0" w:space="0"/>
            <w:bottom w:val="none" w:sz="0" w:space="0"/>
            <w:right w:val="none" w:sz="0" w:space="0"/>
          </w:pgBorders>
          <w:cols w:space="720" w:num="1"/>
          <w:docGrid w:type="lines" w:linePitch="312" w:charSpace="0"/>
        </w:sectPr>
      </w:pPr>
    </w:p>
    <w:p w14:paraId="30331FA6">
      <w:pPr>
        <w:pStyle w:val="41"/>
        <w:bidi w:val="0"/>
        <w:ind w:left="0" w:leftChars="0" w:firstLine="0" w:firstLineChars="0"/>
        <w:jc w:val="center"/>
        <w:rPr>
          <w:rFonts w:hint="eastAsia"/>
          <w:b/>
          <w:bCs/>
          <w:color w:val="auto"/>
          <w:sz w:val="32"/>
          <w:szCs w:val="32"/>
          <w:lang w:val="en-US" w:eastAsia="zh-CN"/>
        </w:rPr>
      </w:pPr>
      <w:bookmarkStart w:id="52" w:name="_Toc21939"/>
      <w:r>
        <w:rPr>
          <w:rFonts w:hint="eastAsia"/>
          <w:b/>
          <w:bCs/>
          <w:color w:val="auto"/>
          <w:sz w:val="32"/>
          <w:szCs w:val="32"/>
          <w:lang w:val="en-US" w:eastAsia="zh-CN"/>
        </w:rPr>
        <w:t>前言</w:t>
      </w:r>
      <w:bookmarkEnd w:id="52"/>
    </w:p>
    <w:p w14:paraId="6066D77C">
      <w:pPr>
        <w:pStyle w:val="41"/>
        <w:bidi w:val="0"/>
        <w:rPr>
          <w:rFonts w:hint="eastAsia"/>
          <w:color w:val="auto"/>
        </w:rPr>
      </w:pPr>
      <w:r>
        <w:rPr>
          <w:rFonts w:hint="eastAsia"/>
          <w:color w:val="auto"/>
        </w:rPr>
        <w:t>宣威市西泽风电场（二期）工程位于已投产西泽风电场B片区西北部，主要山脊为热水镇海德村附近高山山脊，场址中心距宣威市城区直线距离约45km，地理坐标介于东经103°43'35.7″～103°46'53.1″、北纬25°56'50.6″～25°58′53.8″之间。规划场址由一条近似西</w:t>
      </w:r>
      <w:r>
        <w:rPr>
          <w:rFonts w:hint="eastAsia"/>
          <w:color w:val="auto"/>
          <w:lang w:eastAsia="zh-CN"/>
        </w:rPr>
        <w:t>～</w:t>
      </w:r>
      <w:r>
        <w:rPr>
          <w:rFonts w:hint="eastAsia"/>
          <w:color w:val="auto"/>
        </w:rPr>
        <w:t>东走向的主山脊和山顶台地组成，山脊地形总体连续，海拔在2320～2380m之间。山顶地势较平缓，植被茂密，多为松树、灌木和低矮乔木，平均冠层高度为2～5m。场址附近交通</w:t>
      </w:r>
      <w:r>
        <w:rPr>
          <w:rFonts w:hint="eastAsia"/>
          <w:color w:val="auto"/>
          <w:lang w:val="en-US" w:eastAsia="zh-CN"/>
        </w:rPr>
        <w:t>网络</w:t>
      </w:r>
      <w:r>
        <w:rPr>
          <w:rFonts w:hint="eastAsia"/>
          <w:color w:val="auto"/>
        </w:rPr>
        <w:t>便利，对外交通主要借用已投产的西泽风电场场内检修道路</w:t>
      </w:r>
      <w:r>
        <w:rPr>
          <w:rFonts w:hint="eastAsia"/>
          <w:color w:val="auto"/>
          <w:lang w:val="en-US" w:eastAsia="zh-CN"/>
        </w:rPr>
        <w:t>和村庄道路</w:t>
      </w:r>
      <w:r>
        <w:rPr>
          <w:rFonts w:hint="eastAsia"/>
          <w:color w:val="auto"/>
        </w:rPr>
        <w:t>，运输及安装条件较好。风电场地理位置示意图如</w:t>
      </w:r>
      <w:r>
        <w:rPr>
          <w:rFonts w:hint="eastAsia"/>
          <w:color w:val="auto"/>
          <w:lang w:val="en-US" w:eastAsia="zh-CN"/>
        </w:rPr>
        <w:t>附图1</w:t>
      </w:r>
      <w:r>
        <w:rPr>
          <w:rFonts w:hint="eastAsia"/>
          <w:color w:val="auto"/>
        </w:rPr>
        <w:t>所示。项目建设区不涉及生态</w:t>
      </w:r>
      <w:r>
        <w:rPr>
          <w:rFonts w:hint="eastAsia"/>
          <w:color w:val="auto"/>
          <w:lang w:val="en-US" w:eastAsia="zh-CN"/>
        </w:rPr>
        <w:t>保护</w:t>
      </w:r>
      <w:r>
        <w:rPr>
          <w:rFonts w:hint="eastAsia"/>
          <w:color w:val="auto"/>
        </w:rPr>
        <w:t>红线、基本农田和水源保护区等敏感对象。</w:t>
      </w:r>
    </w:p>
    <w:p w14:paraId="7A3F6EDA">
      <w:pPr>
        <w:pStyle w:val="41"/>
        <w:bidi w:val="0"/>
        <w:rPr>
          <w:rFonts w:hint="eastAsia"/>
          <w:color w:val="auto"/>
        </w:rPr>
      </w:pPr>
      <w:r>
        <w:rPr>
          <w:rFonts w:hint="eastAsia"/>
          <w:color w:val="auto"/>
        </w:rPr>
        <w:t>本期开发4台机位，装机规模为30MW，拟接入原西泽风电场220kV升压站进行消纳，</w:t>
      </w:r>
      <w:r>
        <w:rPr>
          <w:rFonts w:hint="eastAsia"/>
          <w:color w:val="auto"/>
          <w:lang w:val="en-US" w:eastAsia="zh-CN"/>
        </w:rPr>
        <w:t>在</w:t>
      </w:r>
      <w:r>
        <w:rPr>
          <w:rFonts w:hint="eastAsia"/>
          <w:color w:val="auto"/>
        </w:rPr>
        <w:t>升压站配套建设安装1台</w:t>
      </w:r>
      <w:r>
        <w:rPr>
          <w:rFonts w:hint="eastAsia"/>
          <w:color w:val="auto"/>
          <w:lang w:val="en-US" w:eastAsia="zh-CN"/>
        </w:rPr>
        <w:t>3</w:t>
      </w:r>
      <w:r>
        <w:rPr>
          <w:rFonts w:hint="eastAsia"/>
          <w:color w:val="auto"/>
        </w:rPr>
        <w:t>0MVA的主变，220kV升压站汇集所有风机电能后以1回220kV出线接入500kV多乐变。</w:t>
      </w:r>
    </w:p>
    <w:p w14:paraId="1AF40CDE">
      <w:pPr>
        <w:pStyle w:val="41"/>
        <w:bidi w:val="0"/>
        <w:rPr>
          <w:rFonts w:hint="default" w:eastAsia="宋体"/>
          <w:color w:val="auto"/>
          <w:lang w:val="en-US" w:eastAsia="zh-CN"/>
        </w:rPr>
      </w:pPr>
      <w:r>
        <w:rPr>
          <w:rFonts w:hint="eastAsia"/>
          <w:color w:val="auto"/>
        </w:rPr>
        <w:t>本期工程拟在原有升压站围墙范围内进行扩建，结合现场实际情况，拟在原站内</w:t>
      </w:r>
      <w:r>
        <w:rPr>
          <w:rFonts w:hint="eastAsia"/>
          <w:color w:val="auto"/>
          <w:highlight w:val="none"/>
        </w:rPr>
        <w:t>西侧场地扩建本期主变、35kV设备及二次设备预制舱、GIS等新增设备，不新增建筑物</w:t>
      </w:r>
      <w:r>
        <w:rPr>
          <w:rFonts w:hint="eastAsia"/>
          <w:color w:val="auto"/>
          <w:highlight w:val="none"/>
          <w:lang w:eastAsia="zh-CN"/>
        </w:rPr>
        <w:t>、</w:t>
      </w:r>
      <w:r>
        <w:rPr>
          <w:rFonts w:hint="eastAsia"/>
          <w:color w:val="auto"/>
          <w:highlight w:val="none"/>
        </w:rPr>
        <w:t>建设用地。</w:t>
      </w:r>
      <w:r>
        <w:rPr>
          <w:rFonts w:hint="eastAsia"/>
          <w:color w:val="auto"/>
          <w:highlight w:val="none"/>
          <w:lang w:val="en-US" w:eastAsia="zh-CN"/>
        </w:rPr>
        <w:t>依据</w:t>
      </w:r>
      <w:r>
        <w:rPr>
          <w:rFonts w:hint="eastAsia"/>
          <w:color w:val="auto"/>
          <w:highlight w:val="none"/>
        </w:rPr>
        <w:t>《环境影响评价技术导则</w:t>
      </w:r>
      <w:r>
        <w:rPr>
          <w:rFonts w:hint="eastAsia"/>
          <w:color w:val="auto"/>
          <w:highlight w:val="none"/>
          <w:lang w:val="en-US" w:eastAsia="zh-CN"/>
        </w:rPr>
        <w:t xml:space="preserve"> 生态影响</w:t>
      </w:r>
      <w:r>
        <w:rPr>
          <w:rFonts w:hint="eastAsia"/>
          <w:color w:val="auto"/>
          <w:highlight w:val="none"/>
        </w:rPr>
        <w:t>》（HJ</w:t>
      </w:r>
      <w:r>
        <w:rPr>
          <w:rFonts w:hint="eastAsia"/>
          <w:color w:val="auto"/>
          <w:highlight w:val="none"/>
          <w:lang w:val="en-US" w:eastAsia="zh-CN"/>
        </w:rPr>
        <w:t>19</w:t>
      </w:r>
      <w:r>
        <w:rPr>
          <w:rFonts w:hint="eastAsia"/>
          <w:color w:val="auto"/>
          <w:highlight w:val="none"/>
        </w:rPr>
        <w:t>-202</w:t>
      </w:r>
      <w:r>
        <w:rPr>
          <w:rFonts w:hint="eastAsia"/>
          <w:color w:val="auto"/>
          <w:highlight w:val="none"/>
          <w:lang w:val="en-US" w:eastAsia="zh-CN"/>
        </w:rPr>
        <w:t>2</w:t>
      </w:r>
      <w:r>
        <w:rPr>
          <w:rFonts w:hint="eastAsia"/>
          <w:color w:val="auto"/>
          <w:highlight w:val="none"/>
        </w:rPr>
        <w:t>）</w:t>
      </w:r>
      <w:r>
        <w:rPr>
          <w:rFonts w:hint="eastAsia"/>
          <w:color w:val="auto"/>
          <w:highlight w:val="none"/>
          <w:lang w:eastAsia="zh-CN"/>
        </w:rPr>
        <w:t>，</w:t>
      </w:r>
      <w:r>
        <w:rPr>
          <w:rFonts w:hint="eastAsia"/>
          <w:color w:val="auto"/>
          <w:highlight w:val="none"/>
          <w:lang w:val="en-US" w:eastAsia="zh-CN"/>
        </w:rPr>
        <w:t>项目4台风机评价范围内涉及生态保护红线，需开展生态环境影响评价二级评价，升压站和架空线路属于站内预留用地新增1座主变及配套设施，不新增建设用地，依据</w:t>
      </w:r>
      <w:r>
        <w:rPr>
          <w:rFonts w:hint="eastAsia"/>
          <w:color w:val="auto"/>
          <w:highlight w:val="none"/>
        </w:rPr>
        <w:t>HJ</w:t>
      </w:r>
      <w:r>
        <w:rPr>
          <w:rFonts w:hint="eastAsia"/>
          <w:color w:val="auto"/>
          <w:highlight w:val="none"/>
          <w:lang w:val="en-US" w:eastAsia="zh-CN"/>
        </w:rPr>
        <w:t>19</w:t>
      </w:r>
      <w:r>
        <w:rPr>
          <w:rFonts w:hint="eastAsia"/>
          <w:color w:val="auto"/>
          <w:highlight w:val="none"/>
        </w:rPr>
        <w:t>-202</w:t>
      </w:r>
      <w:r>
        <w:rPr>
          <w:rFonts w:hint="eastAsia"/>
          <w:color w:val="auto"/>
          <w:highlight w:val="none"/>
          <w:lang w:val="en-US" w:eastAsia="zh-CN"/>
        </w:rPr>
        <w:t>2，生态环境分区管控要求且位于原厂界（或永久用地）范围内的污染影响类改扩建项目，位于已批准规划环评的产业园区内且符合规划环评要求、不涉及生态敏感区的污染影响类建设项目，可不确定评价等级，直接进行生态影响简单分析，故项目升压站和架空线路不设置评价范围，仅做简单影响分析。</w:t>
      </w:r>
    </w:p>
    <w:p w14:paraId="34D281A4">
      <w:pPr>
        <w:pStyle w:val="41"/>
        <w:bidi w:val="0"/>
        <w:rPr>
          <w:rFonts w:hint="eastAsia"/>
          <w:color w:val="auto"/>
        </w:rPr>
      </w:pPr>
      <w:r>
        <w:rPr>
          <w:rFonts w:hint="eastAsia"/>
          <w:color w:val="auto"/>
        </w:rPr>
        <w:t>本专项对项目</w:t>
      </w:r>
      <w:r>
        <w:rPr>
          <w:rFonts w:hint="eastAsia"/>
          <w:color w:val="auto"/>
          <w:lang w:val="en-US" w:eastAsia="zh-CN"/>
        </w:rPr>
        <w:t>4台风机及配套电缆和道路的生态影响进行二级评价</w:t>
      </w:r>
      <w:r>
        <w:rPr>
          <w:rFonts w:hint="eastAsia"/>
          <w:color w:val="auto"/>
        </w:rPr>
        <w:t>，</w:t>
      </w:r>
      <w:r>
        <w:rPr>
          <w:rFonts w:hint="eastAsia"/>
          <w:color w:val="auto"/>
          <w:lang w:val="en-US" w:eastAsia="zh-CN"/>
        </w:rPr>
        <w:t>并对架空线路升压站的生态影响进行简单分析，</w:t>
      </w:r>
      <w:r>
        <w:rPr>
          <w:rFonts w:hint="eastAsia"/>
          <w:color w:val="auto"/>
        </w:rPr>
        <w:t>其它方面的环境影响评价已在《西泽风电场（二期）环境影响报告表》中论述，本专项不再赘述。</w:t>
      </w:r>
    </w:p>
    <w:p w14:paraId="27EE5F3F">
      <w:pPr>
        <w:pStyle w:val="41"/>
        <w:bidi w:val="0"/>
        <w:rPr>
          <w:rFonts w:hint="eastAsia"/>
          <w:color w:val="auto"/>
          <w:lang w:val="en-US" w:eastAsia="zh-CN"/>
        </w:rPr>
      </w:pPr>
    </w:p>
    <w:p w14:paraId="306BD38C">
      <w:pPr>
        <w:pStyle w:val="2"/>
        <w:bidi w:val="0"/>
        <w:rPr>
          <w:rFonts w:hint="eastAsia" w:ascii="Times New Roman" w:hAnsi="Times New Roman" w:eastAsia="宋体" w:cs="Times New Roman"/>
          <w:b/>
          <w:bCs w:val="0"/>
          <w:color w:val="auto"/>
          <w:spacing w:val="-2"/>
          <w:szCs w:val="28"/>
          <w:highlight w:val="none"/>
          <w:lang w:val="en-US" w:eastAsia="zh-CN"/>
        </w:rPr>
        <w:sectPr>
          <w:footerReference r:id="rId1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14:paraId="3741D98D">
      <w:pPr>
        <w:pStyle w:val="3"/>
        <w:bidi w:val="0"/>
        <w:rPr>
          <w:rFonts w:hint="eastAsia"/>
          <w:lang w:val="en-US" w:eastAsia="zh-CN"/>
        </w:rPr>
      </w:pPr>
      <w:bookmarkStart w:id="53" w:name="_Toc8534"/>
      <w:bookmarkStart w:id="54" w:name="_Toc21927"/>
      <w:r>
        <w:rPr>
          <w:rFonts w:hint="eastAsia"/>
          <w:lang w:val="en-US" w:eastAsia="zh-CN"/>
        </w:rPr>
        <w:t>1.总则</w:t>
      </w:r>
      <w:bookmarkEnd w:id="53"/>
      <w:bookmarkEnd w:id="54"/>
    </w:p>
    <w:p w14:paraId="183D0CE8">
      <w:pPr>
        <w:pStyle w:val="3"/>
        <w:bidi w:val="0"/>
        <w:rPr>
          <w:rFonts w:hint="eastAsia"/>
          <w:color w:val="auto"/>
          <w:lang w:val="en-US" w:eastAsia="zh-CN"/>
        </w:rPr>
      </w:pPr>
      <w:bookmarkStart w:id="55" w:name="_Toc28578"/>
      <w:r>
        <w:rPr>
          <w:rFonts w:hint="eastAsia"/>
          <w:color w:val="auto"/>
          <w:lang w:val="en-US" w:eastAsia="zh-CN"/>
        </w:rPr>
        <w:t>1.1编制依据</w:t>
      </w:r>
      <w:bookmarkEnd w:id="55"/>
    </w:p>
    <w:p w14:paraId="5512243A">
      <w:pPr>
        <w:pStyle w:val="4"/>
        <w:bidi w:val="0"/>
        <w:rPr>
          <w:rFonts w:hint="default"/>
          <w:lang w:val="en-US" w:eastAsia="zh-CN"/>
        </w:rPr>
      </w:pPr>
      <w:r>
        <w:rPr>
          <w:rFonts w:hint="eastAsia"/>
          <w:lang w:val="en-US" w:eastAsia="zh-CN"/>
        </w:rPr>
        <w:t>1.1.1国家法律法规及规范性文件</w:t>
      </w:r>
    </w:p>
    <w:p w14:paraId="7AED7496">
      <w:pPr>
        <w:pStyle w:val="41"/>
        <w:numPr>
          <w:ilvl w:val="0"/>
          <w:numId w:val="2"/>
        </w:numPr>
        <w:bidi w:val="0"/>
        <w:rPr>
          <w:color w:val="auto"/>
        </w:rPr>
      </w:pPr>
      <w:r>
        <w:rPr>
          <w:color w:val="auto"/>
        </w:rPr>
        <w:t>《中华人民共和国环境保护法》（自2015年1月1日起施行）；</w:t>
      </w:r>
    </w:p>
    <w:p w14:paraId="6F60CA38">
      <w:pPr>
        <w:pStyle w:val="41"/>
        <w:numPr>
          <w:ilvl w:val="0"/>
          <w:numId w:val="2"/>
        </w:numPr>
        <w:bidi w:val="0"/>
        <w:rPr>
          <w:rFonts w:hint="default"/>
          <w:color w:val="auto"/>
          <w:lang w:val="en-US" w:eastAsia="zh-CN"/>
        </w:rPr>
      </w:pPr>
      <w:r>
        <w:rPr>
          <w:color w:val="auto"/>
        </w:rPr>
        <w:t>《中华人民共和国环境影响评价法》（2018年12月29日修正）；</w:t>
      </w:r>
    </w:p>
    <w:p w14:paraId="57CE29A9">
      <w:pPr>
        <w:pStyle w:val="41"/>
        <w:numPr>
          <w:ilvl w:val="0"/>
          <w:numId w:val="2"/>
        </w:numPr>
        <w:bidi w:val="0"/>
        <w:rPr>
          <w:rFonts w:hint="default"/>
          <w:color w:val="auto"/>
          <w:lang w:val="en-US" w:eastAsia="zh-CN"/>
        </w:rPr>
      </w:pPr>
      <w:r>
        <w:rPr>
          <w:color w:val="auto"/>
        </w:rPr>
        <w:t>《中华人民共和国长江保护法》（2021年3月1日起实施）；</w:t>
      </w:r>
    </w:p>
    <w:p w14:paraId="58FB1B32">
      <w:pPr>
        <w:pStyle w:val="41"/>
        <w:numPr>
          <w:ilvl w:val="0"/>
          <w:numId w:val="2"/>
        </w:numPr>
        <w:bidi w:val="0"/>
        <w:rPr>
          <w:rFonts w:hint="default"/>
          <w:color w:val="auto"/>
          <w:lang w:val="en-US" w:eastAsia="zh-CN"/>
        </w:rPr>
      </w:pPr>
      <w:r>
        <w:rPr>
          <w:color w:val="auto"/>
        </w:rPr>
        <w:t>《中华人民共和国森林法》（2019年12月28日修订）；</w:t>
      </w:r>
    </w:p>
    <w:p w14:paraId="70A29EA1">
      <w:pPr>
        <w:pStyle w:val="41"/>
        <w:numPr>
          <w:ilvl w:val="0"/>
          <w:numId w:val="2"/>
        </w:numPr>
        <w:bidi w:val="0"/>
        <w:rPr>
          <w:rFonts w:hint="default"/>
          <w:color w:val="auto"/>
          <w:lang w:val="en-US" w:eastAsia="zh-CN"/>
        </w:rPr>
      </w:pPr>
      <w:r>
        <w:rPr>
          <w:color w:val="auto"/>
        </w:rPr>
        <w:t>《中华人民共和国水土保持法》（2011年3月1日）；</w:t>
      </w:r>
    </w:p>
    <w:p w14:paraId="43EAEF95">
      <w:pPr>
        <w:pStyle w:val="41"/>
        <w:numPr>
          <w:ilvl w:val="0"/>
          <w:numId w:val="2"/>
        </w:numPr>
        <w:bidi w:val="0"/>
        <w:rPr>
          <w:rFonts w:hint="default"/>
          <w:color w:val="auto"/>
          <w:lang w:val="en-US" w:eastAsia="zh-CN"/>
        </w:rPr>
      </w:pPr>
      <w:r>
        <w:rPr>
          <w:color w:val="auto"/>
        </w:rPr>
        <w:t>《中华人民共和国野生动物保护法》（2018年10月26日修正）；</w:t>
      </w:r>
    </w:p>
    <w:p w14:paraId="7771B67B">
      <w:pPr>
        <w:pStyle w:val="41"/>
        <w:numPr>
          <w:ilvl w:val="0"/>
          <w:numId w:val="2"/>
        </w:numPr>
        <w:bidi w:val="0"/>
        <w:rPr>
          <w:rFonts w:hint="default"/>
          <w:color w:val="auto"/>
          <w:lang w:val="en-US" w:eastAsia="zh-CN"/>
        </w:rPr>
      </w:pPr>
      <w:r>
        <w:rPr>
          <w:color w:val="auto"/>
        </w:rPr>
        <w:t>《中华人民共和国野生植物保护条例》（2017年10月7日修正）；</w:t>
      </w:r>
    </w:p>
    <w:p w14:paraId="4BDAA8CA">
      <w:pPr>
        <w:pStyle w:val="41"/>
        <w:numPr>
          <w:ilvl w:val="0"/>
          <w:numId w:val="2"/>
        </w:numPr>
        <w:bidi w:val="0"/>
        <w:rPr>
          <w:rFonts w:hint="default"/>
          <w:color w:val="auto"/>
          <w:lang w:val="en-US" w:eastAsia="zh-CN"/>
        </w:rPr>
      </w:pPr>
      <w:r>
        <w:rPr>
          <w:rFonts w:hint="eastAsia"/>
          <w:color w:val="auto"/>
        </w:rPr>
        <w:t>《中华人民共和国陆生野生动物保护实施条例（2016修订）》</w:t>
      </w:r>
      <w:r>
        <w:rPr>
          <w:color w:val="auto"/>
        </w:rPr>
        <w:t>；</w:t>
      </w:r>
    </w:p>
    <w:p w14:paraId="1EDDBFAF">
      <w:pPr>
        <w:pStyle w:val="41"/>
        <w:numPr>
          <w:ilvl w:val="0"/>
          <w:numId w:val="2"/>
        </w:numPr>
        <w:bidi w:val="0"/>
        <w:rPr>
          <w:rFonts w:hint="default"/>
          <w:color w:val="auto"/>
          <w:lang w:val="en-US" w:eastAsia="zh-CN"/>
        </w:rPr>
      </w:pPr>
      <w:r>
        <w:rPr>
          <w:color w:val="auto"/>
        </w:rPr>
        <w:t>《建设项目环境保护管理条例》（中华人民共和国国务院令第682号，2017年10</w:t>
      </w:r>
      <w:r>
        <w:rPr>
          <w:rFonts w:hint="eastAsia"/>
          <w:color w:val="auto"/>
          <w:lang w:eastAsia="zh-CN"/>
        </w:rPr>
        <w:t>月1日起施行</w:t>
      </w:r>
      <w:r>
        <w:rPr>
          <w:color w:val="auto"/>
        </w:rPr>
        <w:t>）；</w:t>
      </w:r>
    </w:p>
    <w:p w14:paraId="59E1B9D7">
      <w:pPr>
        <w:pStyle w:val="41"/>
        <w:numPr>
          <w:ilvl w:val="0"/>
          <w:numId w:val="2"/>
        </w:numPr>
        <w:bidi w:val="0"/>
        <w:rPr>
          <w:rFonts w:hint="default"/>
          <w:color w:val="auto"/>
          <w:lang w:val="en-US" w:eastAsia="zh-CN"/>
        </w:rPr>
      </w:pPr>
      <w:r>
        <w:rPr>
          <w:color w:val="auto"/>
        </w:rPr>
        <w:t>《建设项目环境影响评价分类管理名录（2021 年版）》（生态环境部令第16号，2021</w:t>
      </w:r>
      <w:r>
        <w:rPr>
          <w:rFonts w:hint="eastAsia"/>
          <w:color w:val="auto"/>
          <w:lang w:eastAsia="zh-CN"/>
        </w:rPr>
        <w:t>年1月1日起施行</w:t>
      </w:r>
      <w:r>
        <w:rPr>
          <w:color w:val="auto"/>
        </w:rPr>
        <w:t>）；</w:t>
      </w:r>
    </w:p>
    <w:p w14:paraId="421E1C74">
      <w:pPr>
        <w:pStyle w:val="41"/>
        <w:numPr>
          <w:ilvl w:val="0"/>
          <w:numId w:val="2"/>
        </w:numPr>
        <w:bidi w:val="0"/>
        <w:rPr>
          <w:rFonts w:hint="default"/>
          <w:color w:val="auto"/>
          <w:lang w:val="en-US" w:eastAsia="zh-CN"/>
        </w:rPr>
      </w:pPr>
      <w:r>
        <w:rPr>
          <w:color w:val="auto"/>
        </w:rPr>
        <w:t>《产业结构调整指导目录（20</w:t>
      </w:r>
      <w:r>
        <w:rPr>
          <w:rFonts w:hint="eastAsia"/>
          <w:color w:val="auto"/>
          <w:lang w:val="en-US" w:eastAsia="zh-CN"/>
        </w:rPr>
        <w:t>24</w:t>
      </w:r>
      <w:r>
        <w:rPr>
          <w:color w:val="auto"/>
        </w:rPr>
        <w:t xml:space="preserve"> 年本）</w:t>
      </w:r>
      <w:r>
        <w:rPr>
          <w:rFonts w:hint="eastAsia"/>
          <w:color w:val="auto"/>
          <w:lang w:eastAsia="zh-CN"/>
        </w:rPr>
        <w:t>》</w:t>
      </w:r>
      <w:r>
        <w:rPr>
          <w:color w:val="auto"/>
        </w:rPr>
        <w:t>（2023年12月27日国家发展改革委令第7号公布）；</w:t>
      </w:r>
    </w:p>
    <w:p w14:paraId="3808523B">
      <w:pPr>
        <w:pStyle w:val="41"/>
        <w:numPr>
          <w:ilvl w:val="0"/>
          <w:numId w:val="2"/>
        </w:numPr>
        <w:bidi w:val="0"/>
        <w:rPr>
          <w:rFonts w:hint="default"/>
          <w:color w:val="auto"/>
          <w:lang w:val="en-US" w:eastAsia="zh-CN"/>
        </w:rPr>
      </w:pPr>
      <w:r>
        <w:rPr>
          <w:color w:val="auto"/>
        </w:rPr>
        <w:t>《土地复垦条例》（国务院令第592号，2011年3月5日起施行）；</w:t>
      </w:r>
    </w:p>
    <w:p w14:paraId="5AE21F2A">
      <w:pPr>
        <w:pStyle w:val="41"/>
        <w:numPr>
          <w:ilvl w:val="0"/>
          <w:numId w:val="2"/>
        </w:numPr>
        <w:bidi w:val="0"/>
        <w:rPr>
          <w:rFonts w:hint="default"/>
          <w:color w:val="auto"/>
          <w:lang w:val="en-US" w:eastAsia="zh-CN"/>
        </w:rPr>
      </w:pPr>
      <w:r>
        <w:rPr>
          <w:color w:val="auto"/>
        </w:rPr>
        <w:t>《关于进一步加强生态保护工作的意见》（国家环保总局，环发〔2007〕37号）；</w:t>
      </w:r>
    </w:p>
    <w:p w14:paraId="05A79D52">
      <w:pPr>
        <w:pStyle w:val="41"/>
        <w:numPr>
          <w:ilvl w:val="0"/>
          <w:numId w:val="2"/>
        </w:numPr>
        <w:bidi w:val="0"/>
        <w:rPr>
          <w:rFonts w:hint="default"/>
          <w:color w:val="auto"/>
          <w:lang w:val="en-US" w:eastAsia="zh-CN"/>
        </w:rPr>
      </w:pPr>
      <w:r>
        <w:rPr>
          <w:color w:val="auto"/>
        </w:rPr>
        <w:t>《国家林业和草原局关于规范风电场项目建设使用林地的通知》（林资发〔2019〕17号）；</w:t>
      </w:r>
    </w:p>
    <w:p w14:paraId="2A40D2EA">
      <w:pPr>
        <w:pStyle w:val="41"/>
        <w:numPr>
          <w:ilvl w:val="0"/>
          <w:numId w:val="2"/>
        </w:numPr>
        <w:bidi w:val="0"/>
        <w:rPr>
          <w:rFonts w:hint="default"/>
          <w:color w:val="auto"/>
          <w:lang w:val="en-US" w:eastAsia="zh-CN"/>
        </w:rPr>
      </w:pPr>
      <w:r>
        <w:rPr>
          <w:color w:val="auto"/>
        </w:rPr>
        <w:t>《中华人民共和国自然保护区条例》（2017年10月7日修订）。</w:t>
      </w:r>
    </w:p>
    <w:p w14:paraId="5CC91741">
      <w:pPr>
        <w:pStyle w:val="4"/>
        <w:bidi w:val="0"/>
        <w:rPr>
          <w:rFonts w:hint="eastAsia"/>
          <w:color w:val="auto"/>
          <w:lang w:val="en-US" w:eastAsia="zh-CN"/>
        </w:rPr>
      </w:pPr>
      <w:r>
        <w:rPr>
          <w:rFonts w:hint="eastAsia"/>
          <w:color w:val="auto"/>
          <w:lang w:val="en-US" w:eastAsia="zh-CN"/>
        </w:rPr>
        <w:t>1.1.2地方性法规及规范性文件</w:t>
      </w:r>
    </w:p>
    <w:p w14:paraId="455016E1">
      <w:pPr>
        <w:pStyle w:val="41"/>
        <w:numPr>
          <w:ilvl w:val="0"/>
          <w:numId w:val="3"/>
        </w:numPr>
        <w:bidi w:val="0"/>
        <w:rPr>
          <w:color w:val="auto"/>
        </w:rPr>
      </w:pPr>
      <w:r>
        <w:rPr>
          <w:color w:val="auto"/>
        </w:rPr>
        <w:t>《中共云南省委、云南省人民政府关于加强环境保护的决定》（云发〔2006〕21号，2006年12月）</w:t>
      </w:r>
    </w:p>
    <w:p w14:paraId="0C9BC07F">
      <w:pPr>
        <w:pStyle w:val="41"/>
        <w:numPr>
          <w:ilvl w:val="0"/>
          <w:numId w:val="3"/>
        </w:numPr>
        <w:bidi w:val="0"/>
        <w:rPr>
          <w:rFonts w:hint="default"/>
          <w:color w:val="auto"/>
          <w:lang w:val="en-US" w:eastAsia="zh-CN"/>
        </w:rPr>
      </w:pPr>
      <w:r>
        <w:rPr>
          <w:color w:val="auto"/>
        </w:rPr>
        <w:t>《云南省</w:t>
      </w:r>
      <w:r>
        <w:rPr>
          <w:rFonts w:hint="eastAsia"/>
          <w:color w:val="auto"/>
          <w:lang w:val="en-US" w:eastAsia="zh-CN"/>
        </w:rPr>
        <w:t>生态</w:t>
      </w:r>
      <w:r>
        <w:rPr>
          <w:color w:val="auto"/>
        </w:rPr>
        <w:t>环境保护条例》（20</w:t>
      </w:r>
      <w:r>
        <w:rPr>
          <w:rFonts w:hint="eastAsia"/>
          <w:color w:val="auto"/>
          <w:lang w:val="en-US" w:eastAsia="zh-CN"/>
        </w:rPr>
        <w:t>24</w:t>
      </w:r>
      <w:r>
        <w:rPr>
          <w:color w:val="auto"/>
        </w:rPr>
        <w:t>年</w:t>
      </w:r>
      <w:r>
        <w:rPr>
          <w:rFonts w:hint="eastAsia"/>
          <w:color w:val="auto"/>
          <w:lang w:val="en-US" w:eastAsia="zh-CN"/>
        </w:rPr>
        <w:t>9</w:t>
      </w:r>
      <w:r>
        <w:rPr>
          <w:color w:val="auto"/>
        </w:rPr>
        <w:t>月</w:t>
      </w:r>
      <w:r>
        <w:rPr>
          <w:rFonts w:hint="eastAsia"/>
          <w:color w:val="auto"/>
          <w:lang w:val="en-US" w:eastAsia="zh-CN"/>
        </w:rPr>
        <w:t>26日发布</w:t>
      </w:r>
      <w:r>
        <w:rPr>
          <w:color w:val="auto"/>
        </w:rPr>
        <w:t>）；</w:t>
      </w:r>
    </w:p>
    <w:p w14:paraId="7E3EB7ED">
      <w:pPr>
        <w:pStyle w:val="41"/>
        <w:numPr>
          <w:ilvl w:val="0"/>
          <w:numId w:val="3"/>
        </w:numPr>
        <w:bidi w:val="0"/>
        <w:rPr>
          <w:rFonts w:hint="default"/>
          <w:color w:val="auto"/>
          <w:lang w:val="en-US" w:eastAsia="zh-CN"/>
        </w:rPr>
      </w:pPr>
      <w:r>
        <w:rPr>
          <w:color w:val="auto"/>
        </w:rPr>
        <w:t>《云南省建设项目环境保护管理规定》（云南省人民政府令第105号，2001年10月16日发布，2002</w:t>
      </w:r>
      <w:r>
        <w:rPr>
          <w:rFonts w:hint="eastAsia"/>
          <w:color w:val="auto"/>
          <w:lang w:eastAsia="zh-CN"/>
        </w:rPr>
        <w:t>年1月1日起施行</w:t>
      </w:r>
      <w:r>
        <w:rPr>
          <w:color w:val="auto"/>
        </w:rPr>
        <w:t>）；</w:t>
      </w:r>
    </w:p>
    <w:p w14:paraId="00309F71">
      <w:pPr>
        <w:pStyle w:val="41"/>
        <w:numPr>
          <w:ilvl w:val="0"/>
          <w:numId w:val="3"/>
        </w:numPr>
        <w:bidi w:val="0"/>
        <w:rPr>
          <w:rFonts w:hint="default"/>
          <w:color w:val="auto"/>
          <w:lang w:val="en-US" w:eastAsia="zh-CN"/>
        </w:rPr>
      </w:pPr>
      <w:r>
        <w:rPr>
          <w:color w:val="auto"/>
        </w:rPr>
        <w:t>《云南省生物多样性保护条例》（2019</w:t>
      </w:r>
      <w:r>
        <w:rPr>
          <w:rFonts w:hint="eastAsia"/>
          <w:color w:val="auto"/>
          <w:lang w:eastAsia="zh-CN"/>
        </w:rPr>
        <w:t>年1月1日起施行</w:t>
      </w:r>
      <w:r>
        <w:rPr>
          <w:color w:val="auto"/>
        </w:rPr>
        <w:t>）；</w:t>
      </w:r>
    </w:p>
    <w:p w14:paraId="29DAA396">
      <w:pPr>
        <w:pStyle w:val="41"/>
        <w:numPr>
          <w:ilvl w:val="0"/>
          <w:numId w:val="3"/>
        </w:numPr>
        <w:bidi w:val="0"/>
        <w:rPr>
          <w:rFonts w:hint="default"/>
          <w:color w:val="auto"/>
          <w:lang w:val="en-US" w:eastAsia="zh-CN"/>
        </w:rPr>
      </w:pPr>
      <w:r>
        <w:rPr>
          <w:color w:val="auto"/>
        </w:rPr>
        <w:t>《云南省林地管理条例》2010 年10月1日；</w:t>
      </w:r>
    </w:p>
    <w:p w14:paraId="6F585099">
      <w:pPr>
        <w:pStyle w:val="41"/>
        <w:numPr>
          <w:ilvl w:val="0"/>
          <w:numId w:val="3"/>
        </w:numPr>
        <w:bidi w:val="0"/>
        <w:rPr>
          <w:rFonts w:hint="default"/>
          <w:color w:val="auto"/>
          <w:lang w:val="en-US" w:eastAsia="zh-CN"/>
        </w:rPr>
      </w:pPr>
      <w:r>
        <w:rPr>
          <w:color w:val="auto"/>
        </w:rPr>
        <w:t>《云南省森林条例》2002年11月；</w:t>
      </w:r>
    </w:p>
    <w:p w14:paraId="0215F0C9">
      <w:pPr>
        <w:pStyle w:val="41"/>
        <w:numPr>
          <w:ilvl w:val="0"/>
          <w:numId w:val="3"/>
        </w:numPr>
        <w:bidi w:val="0"/>
        <w:rPr>
          <w:rFonts w:hint="default"/>
          <w:color w:val="auto"/>
          <w:lang w:val="en-US" w:eastAsia="zh-CN"/>
        </w:rPr>
      </w:pPr>
      <w:r>
        <w:rPr>
          <w:color w:val="auto"/>
        </w:rPr>
        <w:t>《云南省公益林管理办法》（云林规〔2019〕2号）；</w:t>
      </w:r>
    </w:p>
    <w:p w14:paraId="0878B8D1">
      <w:pPr>
        <w:pStyle w:val="41"/>
        <w:numPr>
          <w:ilvl w:val="0"/>
          <w:numId w:val="3"/>
        </w:numPr>
        <w:bidi w:val="0"/>
        <w:rPr>
          <w:rFonts w:hint="default"/>
          <w:color w:val="auto"/>
          <w:lang w:val="en-US" w:eastAsia="zh-CN"/>
        </w:rPr>
      </w:pPr>
      <w:r>
        <w:rPr>
          <w:color w:val="auto"/>
        </w:rPr>
        <w:t>《云南省陆生野生动物保护条例》1997年5月；</w:t>
      </w:r>
    </w:p>
    <w:p w14:paraId="7E6A6BB6">
      <w:pPr>
        <w:pStyle w:val="41"/>
        <w:numPr>
          <w:ilvl w:val="0"/>
          <w:numId w:val="3"/>
        </w:numPr>
        <w:bidi w:val="0"/>
        <w:rPr>
          <w:rFonts w:hint="default"/>
          <w:color w:val="auto"/>
          <w:lang w:val="en-US" w:eastAsia="zh-CN"/>
        </w:rPr>
      </w:pPr>
      <w:r>
        <w:rPr>
          <w:color w:val="auto"/>
        </w:rPr>
        <w:t>《云南省珍贵树种保护条例》（2002年1月21日修订）；</w:t>
      </w:r>
    </w:p>
    <w:p w14:paraId="5A84165E">
      <w:pPr>
        <w:pStyle w:val="41"/>
        <w:numPr>
          <w:ilvl w:val="0"/>
          <w:numId w:val="3"/>
        </w:numPr>
        <w:bidi w:val="0"/>
        <w:rPr>
          <w:rFonts w:hint="default"/>
          <w:color w:val="auto"/>
          <w:lang w:val="en-US" w:eastAsia="zh-CN"/>
        </w:rPr>
      </w:pPr>
      <w:r>
        <w:rPr>
          <w:color w:val="auto"/>
        </w:rPr>
        <w:t>《云南省生物多样性保护战略与行动计划（20</w:t>
      </w:r>
      <w:r>
        <w:rPr>
          <w:rFonts w:hint="eastAsia"/>
          <w:color w:val="auto"/>
          <w:lang w:val="en-US" w:eastAsia="zh-CN"/>
        </w:rPr>
        <w:t>24</w:t>
      </w:r>
      <w:r>
        <w:rPr>
          <w:color w:val="auto"/>
        </w:rPr>
        <w:t>-2030）》；</w:t>
      </w:r>
    </w:p>
    <w:p w14:paraId="799F132B">
      <w:pPr>
        <w:pStyle w:val="41"/>
        <w:numPr>
          <w:ilvl w:val="0"/>
          <w:numId w:val="3"/>
        </w:numPr>
        <w:bidi w:val="0"/>
        <w:rPr>
          <w:rFonts w:hint="default"/>
          <w:color w:val="auto"/>
          <w:lang w:val="en-US" w:eastAsia="zh-CN"/>
        </w:rPr>
      </w:pPr>
      <w:r>
        <w:rPr>
          <w:color w:val="auto"/>
        </w:rPr>
        <w:t>环评估字〔2013〕5号《关于认真贯彻落实“关于加强国家重点生态功能区环境保护和管理的意见”的通知》，2013年5月；</w:t>
      </w:r>
    </w:p>
    <w:p w14:paraId="367D3086">
      <w:pPr>
        <w:pStyle w:val="41"/>
        <w:numPr>
          <w:ilvl w:val="0"/>
          <w:numId w:val="3"/>
        </w:numPr>
        <w:bidi w:val="0"/>
        <w:rPr>
          <w:rFonts w:hint="default"/>
          <w:color w:val="auto"/>
          <w:lang w:val="en-US" w:eastAsia="zh-CN"/>
        </w:rPr>
      </w:pPr>
      <w:r>
        <w:rPr>
          <w:color w:val="auto"/>
        </w:rPr>
        <w:t>《云南省发展和改革委员会关于加强风电太阳能发电前期工作的通知》 （云发改办能源〔2012〕972 号），2013年3月；</w:t>
      </w:r>
    </w:p>
    <w:p w14:paraId="0BE77338">
      <w:pPr>
        <w:pStyle w:val="41"/>
        <w:numPr>
          <w:ilvl w:val="0"/>
          <w:numId w:val="3"/>
        </w:numPr>
        <w:bidi w:val="0"/>
        <w:rPr>
          <w:rFonts w:hint="default"/>
          <w:color w:val="auto"/>
          <w:lang w:val="en-US" w:eastAsia="zh-CN"/>
        </w:rPr>
      </w:pPr>
      <w:r>
        <w:rPr>
          <w:color w:val="auto"/>
        </w:rPr>
        <w:t>《云南省发展和改革委员会关于恢复全省风电建设有关事项的通知》 （云发改能源〔2014〕250 号），2014年2月；</w:t>
      </w:r>
    </w:p>
    <w:p w14:paraId="3D044977">
      <w:pPr>
        <w:pStyle w:val="41"/>
        <w:numPr>
          <w:ilvl w:val="0"/>
          <w:numId w:val="3"/>
        </w:numPr>
        <w:bidi w:val="0"/>
        <w:rPr>
          <w:rFonts w:hint="default"/>
          <w:color w:val="auto"/>
          <w:lang w:val="en-US" w:eastAsia="zh-CN"/>
        </w:rPr>
      </w:pPr>
      <w:r>
        <w:rPr>
          <w:color w:val="auto"/>
        </w:rPr>
        <w:t>《云南省发展和改革委员会关于进一步加强全省风电建设管理的通知》 （云发改能源〔2014〕406号），2014年4月；</w:t>
      </w:r>
    </w:p>
    <w:p w14:paraId="77B72FF7">
      <w:pPr>
        <w:pStyle w:val="41"/>
        <w:numPr>
          <w:ilvl w:val="0"/>
          <w:numId w:val="3"/>
        </w:numPr>
        <w:bidi w:val="0"/>
        <w:rPr>
          <w:rFonts w:hint="default"/>
          <w:color w:val="auto"/>
          <w:lang w:val="en-US" w:eastAsia="zh-CN"/>
        </w:rPr>
      </w:pPr>
      <w:r>
        <w:rPr>
          <w:rFonts w:hint="eastAsia"/>
          <w:color w:val="auto"/>
          <w:lang w:eastAsia="zh-CN"/>
        </w:rPr>
        <w:t>《</w:t>
      </w:r>
      <w:r>
        <w:rPr>
          <w:color w:val="auto"/>
        </w:rPr>
        <w:t>关于进一步加强风电建设项目环境影响评价管理工作的通知</w:t>
      </w:r>
      <w:r>
        <w:rPr>
          <w:rFonts w:hint="eastAsia"/>
          <w:color w:val="auto"/>
          <w:lang w:eastAsia="zh-CN"/>
        </w:rPr>
        <w:t>》</w:t>
      </w:r>
      <w:r>
        <w:rPr>
          <w:color w:val="auto"/>
        </w:rPr>
        <w:t>云南省环境保护厅云环发〔2014〕50号；</w:t>
      </w:r>
    </w:p>
    <w:p w14:paraId="60FF994F">
      <w:pPr>
        <w:pStyle w:val="41"/>
        <w:numPr>
          <w:ilvl w:val="0"/>
          <w:numId w:val="3"/>
        </w:numPr>
        <w:bidi w:val="0"/>
        <w:rPr>
          <w:rFonts w:hint="default"/>
          <w:color w:val="auto"/>
          <w:lang w:val="en-US" w:eastAsia="zh-CN"/>
        </w:rPr>
      </w:pPr>
      <w:r>
        <w:rPr>
          <w:color w:val="auto"/>
        </w:rPr>
        <w:t>《云南省生态环境分区管控动态更新方案（2023年）》；</w:t>
      </w:r>
    </w:p>
    <w:p w14:paraId="7425A336">
      <w:pPr>
        <w:pStyle w:val="41"/>
        <w:numPr>
          <w:ilvl w:val="0"/>
          <w:numId w:val="3"/>
        </w:numPr>
        <w:bidi w:val="0"/>
        <w:rPr>
          <w:rFonts w:hint="default"/>
          <w:color w:val="auto"/>
          <w:lang w:val="en-US" w:eastAsia="zh-CN"/>
        </w:rPr>
      </w:pPr>
      <w:r>
        <w:rPr>
          <w:color w:val="auto"/>
        </w:rPr>
        <w:t>《云南省自然保护区管理条例》（2021年9月29日第二次修正）；</w:t>
      </w:r>
    </w:p>
    <w:p w14:paraId="4BA70D17">
      <w:pPr>
        <w:pStyle w:val="41"/>
        <w:numPr>
          <w:ilvl w:val="0"/>
          <w:numId w:val="3"/>
        </w:numPr>
        <w:bidi w:val="0"/>
        <w:rPr>
          <w:rFonts w:hint="default"/>
          <w:color w:val="auto"/>
          <w:lang w:val="en-US" w:eastAsia="zh-CN"/>
        </w:rPr>
      </w:pPr>
      <w:r>
        <w:rPr>
          <w:color w:val="auto"/>
        </w:rPr>
        <w:t>《云南省候鸟迁徙通道重点区域范围（第一批）》云南省林业和草原局公告（2023年第10号）；</w:t>
      </w:r>
    </w:p>
    <w:p w14:paraId="5EE617D1">
      <w:pPr>
        <w:pStyle w:val="41"/>
        <w:numPr>
          <w:ilvl w:val="0"/>
          <w:numId w:val="3"/>
        </w:numPr>
        <w:bidi w:val="0"/>
        <w:rPr>
          <w:rFonts w:hint="default"/>
          <w:color w:val="auto"/>
          <w:lang w:val="en-US" w:eastAsia="zh-CN"/>
        </w:rPr>
      </w:pPr>
      <w:r>
        <w:rPr>
          <w:rFonts w:hint="eastAsia"/>
          <w:color w:val="auto"/>
          <w:lang w:val="en-US" w:eastAsia="zh-CN"/>
        </w:rPr>
        <w:t>《曲靖市生态环境分区管控动态更新方案（2023年）》的通知</w:t>
      </w:r>
      <w:r>
        <w:rPr>
          <w:color w:val="auto"/>
        </w:rPr>
        <w:t>；</w:t>
      </w:r>
    </w:p>
    <w:p w14:paraId="18242A86">
      <w:pPr>
        <w:pStyle w:val="41"/>
        <w:numPr>
          <w:ilvl w:val="0"/>
          <w:numId w:val="3"/>
        </w:numPr>
        <w:bidi w:val="0"/>
        <w:rPr>
          <w:rFonts w:hint="default"/>
          <w:color w:val="auto"/>
          <w:lang w:val="en-US" w:eastAsia="zh-CN"/>
        </w:rPr>
      </w:pPr>
      <w:r>
        <w:rPr>
          <w:color w:val="auto"/>
        </w:rPr>
        <w:t>《曲靖市建设项目环境保护管理条例》（2017年7月16日修订）</w:t>
      </w:r>
      <w:r>
        <w:rPr>
          <w:rFonts w:hint="eastAsia"/>
          <w:color w:val="auto"/>
          <w:lang w:eastAsia="zh-CN"/>
        </w:rPr>
        <w:t>。</w:t>
      </w:r>
    </w:p>
    <w:p w14:paraId="40333CBA">
      <w:pPr>
        <w:pStyle w:val="4"/>
        <w:bidi w:val="0"/>
        <w:rPr>
          <w:rFonts w:hint="eastAsia"/>
          <w:color w:val="auto"/>
          <w:lang w:val="en-US" w:eastAsia="zh-CN"/>
        </w:rPr>
      </w:pPr>
      <w:r>
        <w:rPr>
          <w:rFonts w:hint="eastAsia"/>
          <w:color w:val="auto"/>
          <w:lang w:val="en-US" w:eastAsia="zh-CN"/>
        </w:rPr>
        <w:t>1.1.3国际公约及物种名录</w:t>
      </w:r>
    </w:p>
    <w:p w14:paraId="03A3F384">
      <w:pPr>
        <w:pStyle w:val="41"/>
        <w:numPr>
          <w:ilvl w:val="0"/>
          <w:numId w:val="4"/>
        </w:numPr>
        <w:bidi w:val="0"/>
        <w:rPr>
          <w:color w:val="auto"/>
        </w:rPr>
      </w:pPr>
      <w:r>
        <w:rPr>
          <w:color w:val="auto"/>
        </w:rPr>
        <w:t>《生物多样性公约》（1993年12月29日对中国生效）；</w:t>
      </w:r>
    </w:p>
    <w:p w14:paraId="206B2921">
      <w:pPr>
        <w:pStyle w:val="41"/>
        <w:numPr>
          <w:ilvl w:val="0"/>
          <w:numId w:val="4"/>
        </w:numPr>
        <w:bidi w:val="0"/>
        <w:rPr>
          <w:rFonts w:hint="default"/>
          <w:color w:val="auto"/>
          <w:lang w:val="en-US" w:eastAsia="zh-CN"/>
        </w:rPr>
      </w:pPr>
      <w:r>
        <w:rPr>
          <w:color w:val="auto"/>
        </w:rPr>
        <w:t>《国家重点保护野生动物名录》（2021年）；</w:t>
      </w:r>
    </w:p>
    <w:p w14:paraId="599FE85C">
      <w:pPr>
        <w:pStyle w:val="41"/>
        <w:numPr>
          <w:ilvl w:val="0"/>
          <w:numId w:val="4"/>
        </w:numPr>
        <w:bidi w:val="0"/>
        <w:rPr>
          <w:rFonts w:hint="default"/>
          <w:color w:val="auto"/>
          <w:lang w:val="en-US" w:eastAsia="zh-CN"/>
        </w:rPr>
      </w:pPr>
      <w:r>
        <w:rPr>
          <w:color w:val="auto"/>
        </w:rPr>
        <w:t>《国家重点保护野生植物名录》（2021年）。</w:t>
      </w:r>
    </w:p>
    <w:p w14:paraId="4D22B85F">
      <w:pPr>
        <w:pStyle w:val="41"/>
        <w:numPr>
          <w:ilvl w:val="0"/>
          <w:numId w:val="4"/>
        </w:numPr>
        <w:bidi w:val="0"/>
        <w:rPr>
          <w:rFonts w:hint="default"/>
          <w:color w:val="auto"/>
          <w:lang w:val="en-US" w:eastAsia="zh-CN"/>
        </w:rPr>
      </w:pPr>
      <w:r>
        <w:rPr>
          <w:color w:val="auto"/>
        </w:rPr>
        <w:t>《世界自然保护联盟濒危物种红色名录》（2021年）；</w:t>
      </w:r>
    </w:p>
    <w:p w14:paraId="274A0690">
      <w:pPr>
        <w:pStyle w:val="41"/>
        <w:numPr>
          <w:ilvl w:val="0"/>
          <w:numId w:val="4"/>
        </w:numPr>
        <w:bidi w:val="0"/>
        <w:rPr>
          <w:rFonts w:hint="default"/>
          <w:color w:val="auto"/>
          <w:lang w:val="en-US" w:eastAsia="zh-CN"/>
        </w:rPr>
      </w:pPr>
      <w:r>
        <w:rPr>
          <w:color w:val="auto"/>
        </w:rPr>
        <w:t>《云南省重点保护野生植物名录》（公告2023年第11号）；</w:t>
      </w:r>
    </w:p>
    <w:p w14:paraId="19219D19">
      <w:pPr>
        <w:pStyle w:val="41"/>
        <w:numPr>
          <w:ilvl w:val="0"/>
          <w:numId w:val="4"/>
        </w:numPr>
        <w:bidi w:val="0"/>
        <w:rPr>
          <w:rFonts w:hint="default"/>
          <w:color w:val="auto"/>
          <w:lang w:val="en-US" w:eastAsia="zh-CN"/>
        </w:rPr>
      </w:pPr>
      <w:r>
        <w:rPr>
          <w:color w:val="auto"/>
        </w:rPr>
        <w:t>《云南名木古树》（云南省林业厅，云南省林学会，1995年2月）；</w:t>
      </w:r>
    </w:p>
    <w:p w14:paraId="1CA74C66">
      <w:pPr>
        <w:pStyle w:val="41"/>
        <w:numPr>
          <w:ilvl w:val="0"/>
          <w:numId w:val="4"/>
        </w:numPr>
        <w:bidi w:val="0"/>
        <w:rPr>
          <w:rFonts w:hint="default"/>
          <w:color w:val="auto"/>
          <w:lang w:val="en-US" w:eastAsia="zh-CN"/>
        </w:rPr>
      </w:pPr>
      <w:r>
        <w:rPr>
          <w:color w:val="auto"/>
        </w:rPr>
        <w:t>《云南省重点保护陆生野生动物名录》（公告2023年第9号）；</w:t>
      </w:r>
    </w:p>
    <w:p w14:paraId="28582076">
      <w:pPr>
        <w:pStyle w:val="41"/>
        <w:numPr>
          <w:ilvl w:val="0"/>
          <w:numId w:val="4"/>
        </w:numPr>
        <w:bidi w:val="0"/>
        <w:rPr>
          <w:rFonts w:hint="default"/>
          <w:color w:val="auto"/>
          <w:lang w:val="en-US" w:eastAsia="zh-CN"/>
        </w:rPr>
      </w:pPr>
      <w:r>
        <w:rPr>
          <w:color w:val="auto"/>
        </w:rPr>
        <w:t>《濒危野生动植物种国际贸易公约》附录（2019年）；</w:t>
      </w:r>
    </w:p>
    <w:p w14:paraId="11D0CA7B">
      <w:pPr>
        <w:pStyle w:val="41"/>
        <w:numPr>
          <w:ilvl w:val="0"/>
          <w:numId w:val="4"/>
        </w:numPr>
        <w:bidi w:val="0"/>
        <w:rPr>
          <w:rFonts w:hint="default"/>
          <w:color w:val="auto"/>
          <w:lang w:val="en-US" w:eastAsia="zh-CN"/>
        </w:rPr>
      </w:pPr>
      <w:r>
        <w:rPr>
          <w:color w:val="auto"/>
        </w:rPr>
        <w:t>《中国外来入侵物种名单》（第一批，2003年；第二批，2010年；第三批，2014 年；第四批，2016年）；</w:t>
      </w:r>
    </w:p>
    <w:p w14:paraId="0C6F67CE">
      <w:pPr>
        <w:pStyle w:val="41"/>
        <w:numPr>
          <w:ilvl w:val="0"/>
          <w:numId w:val="4"/>
        </w:numPr>
        <w:bidi w:val="0"/>
        <w:rPr>
          <w:rFonts w:hint="default"/>
          <w:color w:val="auto"/>
          <w:lang w:val="en-US" w:eastAsia="zh-CN"/>
        </w:rPr>
      </w:pPr>
      <w:r>
        <w:rPr>
          <w:color w:val="auto"/>
        </w:rPr>
        <w:t>《中国特有种子植物的多样性及其地理分布》（2015年）；</w:t>
      </w:r>
    </w:p>
    <w:p w14:paraId="42BFAE2D">
      <w:pPr>
        <w:pStyle w:val="41"/>
        <w:numPr>
          <w:ilvl w:val="0"/>
          <w:numId w:val="4"/>
        </w:numPr>
        <w:bidi w:val="0"/>
        <w:rPr>
          <w:rFonts w:hint="default"/>
          <w:color w:val="auto"/>
          <w:lang w:val="en-US" w:eastAsia="zh-CN"/>
        </w:rPr>
      </w:pPr>
      <w:r>
        <w:rPr>
          <w:color w:val="auto"/>
        </w:rPr>
        <w:t>《中国生物多样性红色名录—高等植物卷（2020）》，生态环境部公告2023年第15号；</w:t>
      </w:r>
    </w:p>
    <w:p w14:paraId="4CC174C4">
      <w:pPr>
        <w:pStyle w:val="41"/>
        <w:numPr>
          <w:ilvl w:val="0"/>
          <w:numId w:val="4"/>
        </w:numPr>
        <w:bidi w:val="0"/>
        <w:rPr>
          <w:rFonts w:hint="default"/>
          <w:color w:val="auto"/>
          <w:lang w:val="en-US" w:eastAsia="zh-CN"/>
        </w:rPr>
      </w:pPr>
      <w:r>
        <w:rPr>
          <w:color w:val="auto"/>
        </w:rPr>
        <w:t>《中国生物多样性红色名录—脊椎动物卷（2020）》，生态环境部公告2023年第15号；</w:t>
      </w:r>
    </w:p>
    <w:p w14:paraId="16E99DA3">
      <w:pPr>
        <w:pStyle w:val="41"/>
        <w:numPr>
          <w:ilvl w:val="0"/>
          <w:numId w:val="4"/>
        </w:numPr>
        <w:bidi w:val="0"/>
        <w:rPr>
          <w:rFonts w:hint="default"/>
          <w:color w:val="auto"/>
          <w:lang w:val="en-US" w:eastAsia="zh-CN"/>
        </w:rPr>
      </w:pPr>
      <w:r>
        <w:rPr>
          <w:color w:val="auto"/>
        </w:rPr>
        <w:t>《全国极小种群野生植物拯救保护工程规划—极小种群（狭域分布）保护物种》（2011</w:t>
      </w:r>
      <w:r>
        <w:rPr>
          <w:rFonts w:hint="eastAsia"/>
          <w:color w:val="auto"/>
          <w:lang w:eastAsia="zh-CN"/>
        </w:rPr>
        <w:t>—</w:t>
      </w:r>
      <w:r>
        <w:rPr>
          <w:color w:val="auto"/>
        </w:rPr>
        <w:t>2015年）；</w:t>
      </w:r>
    </w:p>
    <w:p w14:paraId="6E0E54DD">
      <w:pPr>
        <w:pStyle w:val="41"/>
        <w:numPr>
          <w:ilvl w:val="0"/>
          <w:numId w:val="4"/>
        </w:numPr>
        <w:bidi w:val="0"/>
        <w:rPr>
          <w:rFonts w:hint="default"/>
          <w:color w:val="auto"/>
          <w:lang w:val="en-US" w:eastAsia="zh-CN"/>
        </w:rPr>
      </w:pPr>
      <w:r>
        <w:rPr>
          <w:rFonts w:hint="eastAsia"/>
          <w:color w:val="auto"/>
          <w:lang w:eastAsia="zh-CN"/>
        </w:rPr>
        <w:t>《云南省极小种群野生植物拯救保护规划（2021—2030年）》</w:t>
      </w:r>
      <w:r>
        <w:rPr>
          <w:color w:val="auto"/>
        </w:rPr>
        <w:t>。</w:t>
      </w:r>
    </w:p>
    <w:p w14:paraId="0095C3CB">
      <w:pPr>
        <w:pStyle w:val="4"/>
        <w:bidi w:val="0"/>
        <w:rPr>
          <w:color w:val="auto"/>
        </w:rPr>
      </w:pPr>
      <w:r>
        <w:rPr>
          <w:rFonts w:hint="eastAsia"/>
          <w:color w:val="auto"/>
          <w:lang w:val="en-US" w:eastAsia="zh-CN"/>
        </w:rPr>
        <w:t>1.1.4</w:t>
      </w:r>
      <w:r>
        <w:rPr>
          <w:color w:val="auto"/>
        </w:rPr>
        <w:t>技术导则及规范</w:t>
      </w:r>
    </w:p>
    <w:p w14:paraId="427F914D">
      <w:pPr>
        <w:pStyle w:val="41"/>
        <w:numPr>
          <w:ilvl w:val="0"/>
          <w:numId w:val="5"/>
        </w:numPr>
        <w:bidi w:val="0"/>
        <w:rPr>
          <w:color w:val="auto"/>
        </w:rPr>
      </w:pPr>
      <w:r>
        <w:rPr>
          <w:color w:val="auto"/>
        </w:rPr>
        <w:t>《建设项目环境影响评价技术导则 总纲》（HJ2.1-2016）；</w:t>
      </w:r>
    </w:p>
    <w:p w14:paraId="16AF8DAE">
      <w:pPr>
        <w:pStyle w:val="41"/>
        <w:numPr>
          <w:ilvl w:val="0"/>
          <w:numId w:val="5"/>
        </w:numPr>
        <w:bidi w:val="0"/>
        <w:rPr>
          <w:rFonts w:hint="default"/>
          <w:color w:val="auto"/>
          <w:lang w:val="en-US" w:eastAsia="zh-CN"/>
        </w:rPr>
      </w:pPr>
      <w:r>
        <w:rPr>
          <w:color w:val="auto"/>
        </w:rPr>
        <w:t>《环境影响评价技术导则 生态影响》（HJ19-2022）。</w:t>
      </w:r>
    </w:p>
    <w:p w14:paraId="334C45A3">
      <w:pPr>
        <w:pStyle w:val="4"/>
        <w:bidi w:val="0"/>
        <w:rPr>
          <w:color w:val="auto"/>
        </w:rPr>
      </w:pPr>
      <w:r>
        <w:rPr>
          <w:rFonts w:hint="eastAsia"/>
          <w:color w:val="auto"/>
          <w:lang w:val="en-US" w:eastAsia="zh-CN"/>
        </w:rPr>
        <w:t>1.1.5</w:t>
      </w:r>
      <w:r>
        <w:rPr>
          <w:color w:val="auto"/>
        </w:rPr>
        <w:t>相关技术文件、规划及资料</w:t>
      </w:r>
    </w:p>
    <w:p w14:paraId="26637557">
      <w:pPr>
        <w:pStyle w:val="41"/>
        <w:numPr>
          <w:ilvl w:val="0"/>
          <w:numId w:val="6"/>
        </w:numPr>
        <w:bidi w:val="0"/>
        <w:rPr>
          <w:color w:val="auto"/>
        </w:rPr>
      </w:pPr>
      <w:r>
        <w:rPr>
          <w:color w:val="auto"/>
        </w:rPr>
        <w:t>《云南省生态功能区划（简本）》（云南省环境保护厅，2009年7月）；</w:t>
      </w:r>
    </w:p>
    <w:p w14:paraId="3C7836FD">
      <w:pPr>
        <w:pStyle w:val="41"/>
        <w:numPr>
          <w:ilvl w:val="0"/>
          <w:numId w:val="6"/>
        </w:numPr>
        <w:bidi w:val="0"/>
        <w:rPr>
          <w:rFonts w:hint="default"/>
          <w:color w:val="auto"/>
          <w:lang w:val="en-US" w:eastAsia="zh-CN"/>
        </w:rPr>
      </w:pPr>
      <w:r>
        <w:rPr>
          <w:color w:val="auto"/>
        </w:rPr>
        <w:t>《云南省主体功能区规划》（云政发函</w:t>
      </w:r>
      <w:r>
        <w:rPr>
          <w:rFonts w:hint="eastAsia"/>
          <w:color w:val="auto"/>
          <w:lang w:eastAsia="zh-CN"/>
        </w:rPr>
        <w:t>〔2014〕1号</w:t>
      </w:r>
      <w:r>
        <w:rPr>
          <w:color w:val="auto"/>
        </w:rPr>
        <w:t>）</w:t>
      </w:r>
      <w:r>
        <w:rPr>
          <w:rFonts w:hint="eastAsia"/>
          <w:color w:val="auto"/>
          <w:lang w:eastAsia="zh-CN"/>
        </w:rPr>
        <w:t>；</w:t>
      </w:r>
    </w:p>
    <w:p w14:paraId="12DCC506">
      <w:pPr>
        <w:pStyle w:val="41"/>
        <w:numPr>
          <w:ilvl w:val="0"/>
          <w:numId w:val="6"/>
        </w:numPr>
        <w:bidi w:val="0"/>
        <w:rPr>
          <w:rFonts w:hint="default"/>
          <w:color w:val="auto"/>
          <w:lang w:val="en-US" w:eastAsia="zh-CN"/>
        </w:rPr>
      </w:pPr>
      <w:r>
        <w:rPr>
          <w:color w:val="auto"/>
        </w:rPr>
        <w:t xml:space="preserve">《云南省人民政府关于发布云南省生态保护红线的通知》（云政发 </w:t>
      </w:r>
      <w:r>
        <w:rPr>
          <w:rFonts w:hint="eastAsia"/>
          <w:color w:val="auto"/>
          <w:lang w:eastAsia="zh-CN"/>
        </w:rPr>
        <w:t>〔2018〕32号</w:t>
      </w:r>
      <w:r>
        <w:rPr>
          <w:color w:val="auto"/>
        </w:rPr>
        <w:t>）；</w:t>
      </w:r>
    </w:p>
    <w:p w14:paraId="02AC12CA">
      <w:pPr>
        <w:pStyle w:val="41"/>
        <w:numPr>
          <w:ilvl w:val="0"/>
          <w:numId w:val="6"/>
        </w:numPr>
        <w:bidi w:val="0"/>
        <w:rPr>
          <w:rFonts w:hint="default"/>
          <w:color w:val="auto"/>
          <w:lang w:val="en-US" w:eastAsia="zh-CN"/>
        </w:rPr>
      </w:pPr>
      <w:r>
        <w:rPr>
          <w:color w:val="auto"/>
        </w:rPr>
        <w:t>《云南省在适宜地区适度开发利用新能源规划》（2020年9月）；</w:t>
      </w:r>
    </w:p>
    <w:p w14:paraId="65F0DD7B">
      <w:pPr>
        <w:pStyle w:val="41"/>
        <w:numPr>
          <w:ilvl w:val="0"/>
          <w:numId w:val="6"/>
        </w:numPr>
        <w:bidi w:val="0"/>
        <w:rPr>
          <w:rFonts w:hint="default"/>
          <w:color w:val="auto"/>
          <w:lang w:val="en-US" w:eastAsia="zh-CN"/>
        </w:rPr>
      </w:pPr>
      <w:r>
        <w:rPr>
          <w:color w:val="auto"/>
        </w:rPr>
        <w:t>《云南省在适宜地区适度开发利用新能源规划环境影响篇章》（2020年9月）；</w:t>
      </w:r>
    </w:p>
    <w:p w14:paraId="16451D07">
      <w:pPr>
        <w:pStyle w:val="41"/>
        <w:numPr>
          <w:ilvl w:val="0"/>
          <w:numId w:val="6"/>
        </w:numPr>
        <w:bidi w:val="0"/>
        <w:rPr>
          <w:rFonts w:hint="default"/>
          <w:color w:val="auto"/>
          <w:lang w:val="en-US" w:eastAsia="zh-CN"/>
        </w:rPr>
      </w:pPr>
      <w:r>
        <w:rPr>
          <w:color w:val="auto"/>
        </w:rPr>
        <w:t>《</w:t>
      </w:r>
      <w:r>
        <w:rPr>
          <w:rFonts w:hint="eastAsia"/>
          <w:color w:val="auto"/>
          <w:lang w:val="en-US" w:eastAsia="zh-CN"/>
        </w:rPr>
        <w:t>云南省 曲靖市 宣威市西泽风电场（二期）工程</w:t>
      </w:r>
      <w:r>
        <w:rPr>
          <w:color w:val="auto"/>
        </w:rPr>
        <w:t>可行性研究报告》；</w:t>
      </w:r>
    </w:p>
    <w:p w14:paraId="1E893F3D">
      <w:pPr>
        <w:pStyle w:val="41"/>
        <w:numPr>
          <w:ilvl w:val="0"/>
          <w:numId w:val="6"/>
        </w:numPr>
        <w:bidi w:val="0"/>
        <w:rPr>
          <w:rFonts w:hint="default"/>
          <w:color w:val="auto"/>
          <w:lang w:val="en-US" w:eastAsia="zh-CN"/>
        </w:rPr>
      </w:pPr>
      <w:r>
        <w:rPr>
          <w:color w:val="auto"/>
        </w:rPr>
        <w:t>《</w:t>
      </w:r>
      <w:r>
        <w:rPr>
          <w:rFonts w:hint="eastAsia"/>
          <w:color w:val="auto"/>
          <w:lang w:val="en-US" w:eastAsia="zh-CN"/>
        </w:rPr>
        <w:t>云南省 曲靖市 宣威市西泽风电场（二期）工程</w:t>
      </w:r>
      <w:r>
        <w:rPr>
          <w:color w:val="auto"/>
        </w:rPr>
        <w:t>水土保持方案报告书》；</w:t>
      </w:r>
    </w:p>
    <w:p w14:paraId="312CB591">
      <w:pPr>
        <w:pStyle w:val="3"/>
        <w:bidi w:val="0"/>
        <w:rPr>
          <w:rFonts w:hint="eastAsia"/>
          <w:color w:val="auto"/>
          <w:lang w:val="en-US" w:eastAsia="zh-CN"/>
        </w:rPr>
      </w:pPr>
      <w:bookmarkStart w:id="56" w:name="_Toc10009"/>
      <w:r>
        <w:rPr>
          <w:rFonts w:hint="eastAsia"/>
          <w:color w:val="auto"/>
          <w:lang w:val="en-US" w:eastAsia="zh-CN"/>
        </w:rPr>
        <w:t>1.2评价原则</w:t>
      </w:r>
      <w:bookmarkEnd w:id="56"/>
    </w:p>
    <w:p w14:paraId="22E48881">
      <w:pPr>
        <w:pStyle w:val="41"/>
        <w:numPr>
          <w:ilvl w:val="0"/>
          <w:numId w:val="7"/>
        </w:numPr>
        <w:bidi w:val="0"/>
        <w:rPr>
          <w:color w:val="auto"/>
        </w:rPr>
      </w:pPr>
      <w:r>
        <w:rPr>
          <w:color w:val="auto"/>
        </w:rPr>
        <w:t>坚持重点与全面相结合的原则。既要突出评价项目所涉及的重点区域、关键时段和主导生态因子，又要从整体上兼顾评价项目所涉及的生态系统和生态因子在不同时空等级尺度上结构与功能的完整性。</w:t>
      </w:r>
    </w:p>
    <w:p w14:paraId="1A37F6BC">
      <w:pPr>
        <w:pStyle w:val="41"/>
        <w:numPr>
          <w:ilvl w:val="0"/>
          <w:numId w:val="7"/>
        </w:numPr>
        <w:bidi w:val="0"/>
        <w:rPr>
          <w:rFonts w:hint="default"/>
          <w:color w:val="auto"/>
          <w:lang w:val="en-US" w:eastAsia="zh-CN"/>
        </w:rPr>
      </w:pPr>
      <w:r>
        <w:rPr>
          <w:color w:val="auto"/>
        </w:rPr>
        <w:t>坚持预防与恢复相结合的原则。预防优先，恢复补偿为辅。恢复、补偿等措施必须与项目所在地的生态功能区划的要求相适应。</w:t>
      </w:r>
    </w:p>
    <w:p w14:paraId="5E307257">
      <w:pPr>
        <w:pStyle w:val="41"/>
        <w:numPr>
          <w:ilvl w:val="0"/>
          <w:numId w:val="7"/>
        </w:numPr>
        <w:bidi w:val="0"/>
        <w:rPr>
          <w:rFonts w:hint="default"/>
          <w:color w:val="auto"/>
          <w:lang w:val="en-US" w:eastAsia="zh-CN"/>
        </w:rPr>
      </w:pPr>
      <w:r>
        <w:rPr>
          <w:color w:val="auto"/>
        </w:rPr>
        <w:t>坚持定量与定性相结合的原则。生态影响评价应尽量采用定量方法进行描述和分析，当现有科学方法不能满足定量需要或因其他原因无法实现定量测 定时，生态影响评价可通过定性或类比的方法进行描述和分析。</w:t>
      </w:r>
    </w:p>
    <w:p w14:paraId="4AAE3AC2">
      <w:pPr>
        <w:pStyle w:val="3"/>
        <w:bidi w:val="0"/>
        <w:rPr>
          <w:rFonts w:hint="eastAsia"/>
          <w:color w:val="auto"/>
          <w:lang w:val="en-US" w:eastAsia="zh-CN"/>
        </w:rPr>
      </w:pPr>
      <w:bookmarkStart w:id="57" w:name="_Toc14254"/>
      <w:r>
        <w:rPr>
          <w:rFonts w:hint="eastAsia"/>
          <w:color w:val="auto"/>
          <w:lang w:val="en-US" w:eastAsia="zh-CN"/>
        </w:rPr>
        <w:t>1.3评价因子</w:t>
      </w:r>
      <w:bookmarkEnd w:id="57"/>
    </w:p>
    <w:p w14:paraId="26916A4D">
      <w:pPr>
        <w:pStyle w:val="41"/>
        <w:bidi w:val="0"/>
        <w:rPr>
          <w:rFonts w:hint="default"/>
          <w:color w:val="auto"/>
          <w:lang w:val="en-US" w:eastAsia="zh-CN"/>
        </w:rPr>
      </w:pPr>
      <w:r>
        <w:rPr>
          <w:rFonts w:hint="default"/>
          <w:color w:val="auto"/>
          <w:lang w:val="en-US" w:eastAsia="zh-CN"/>
        </w:rPr>
        <w:t>项目生态影响评价因子见下表。</w:t>
      </w:r>
    </w:p>
    <w:p w14:paraId="351AE827">
      <w:pPr>
        <w:pStyle w:val="42"/>
        <w:bidi w:val="0"/>
        <w:rPr>
          <w:rFonts w:hint="eastAsia"/>
          <w:color w:val="auto"/>
          <w:lang w:val="en-US" w:eastAsia="zh-CN"/>
        </w:rPr>
      </w:pPr>
      <w:r>
        <w:rPr>
          <w:rFonts w:hint="eastAsia"/>
          <w:color w:val="auto"/>
          <w:lang w:val="en-US" w:eastAsia="zh-CN"/>
        </w:rPr>
        <w:t>表1-1  评价因子一览表</w:t>
      </w:r>
    </w:p>
    <w:tbl>
      <w:tblPr>
        <w:tblStyle w:val="21"/>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1194"/>
        <w:gridCol w:w="3855"/>
        <w:gridCol w:w="1781"/>
        <w:gridCol w:w="710"/>
      </w:tblGrid>
      <w:tr w14:paraId="7A1D5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938" w:type="dxa"/>
            <w:tcBorders>
              <w:tl2br w:val="nil"/>
              <w:tr2bl w:val="nil"/>
            </w:tcBorders>
            <w:noWrap w:val="0"/>
            <w:vAlign w:val="center"/>
          </w:tcPr>
          <w:p w14:paraId="6096F4EB">
            <w:pPr>
              <w:pStyle w:val="34"/>
              <w:tabs>
                <w:tab w:val="left" w:pos="1389"/>
              </w:tabs>
              <w:bidi w:val="0"/>
              <w:rPr>
                <w:rFonts w:hint="default"/>
                <w:color w:val="auto"/>
                <w:lang w:val="en-US" w:eastAsia="zh-CN"/>
              </w:rPr>
            </w:pPr>
            <w:r>
              <w:rPr>
                <w:rFonts w:hint="eastAsia"/>
                <w:color w:val="auto"/>
                <w:lang w:val="en-US" w:eastAsia="zh-CN"/>
              </w:rPr>
              <w:t>受影响对象</w:t>
            </w:r>
          </w:p>
        </w:tc>
        <w:tc>
          <w:tcPr>
            <w:tcW w:w="1194" w:type="dxa"/>
            <w:tcBorders>
              <w:tl2br w:val="nil"/>
              <w:tr2bl w:val="nil"/>
            </w:tcBorders>
            <w:noWrap w:val="0"/>
            <w:vAlign w:val="center"/>
          </w:tcPr>
          <w:p w14:paraId="265C78D3">
            <w:pPr>
              <w:pStyle w:val="34"/>
              <w:tabs>
                <w:tab w:val="left" w:pos="1389"/>
              </w:tabs>
              <w:bidi w:val="0"/>
              <w:rPr>
                <w:rFonts w:hint="default"/>
                <w:color w:val="auto"/>
                <w:lang w:val="en-US" w:eastAsia="zh-CN"/>
              </w:rPr>
            </w:pPr>
            <w:r>
              <w:rPr>
                <w:rFonts w:hint="eastAsia"/>
                <w:color w:val="auto"/>
                <w:lang w:val="en-US" w:eastAsia="zh-CN"/>
              </w:rPr>
              <w:t>评价因子</w:t>
            </w:r>
          </w:p>
        </w:tc>
        <w:tc>
          <w:tcPr>
            <w:tcW w:w="3855" w:type="dxa"/>
            <w:tcBorders>
              <w:tl2br w:val="nil"/>
              <w:tr2bl w:val="nil"/>
            </w:tcBorders>
            <w:noWrap w:val="0"/>
            <w:vAlign w:val="center"/>
          </w:tcPr>
          <w:p w14:paraId="2F3FAE8B">
            <w:pPr>
              <w:pStyle w:val="34"/>
              <w:tabs>
                <w:tab w:val="left" w:pos="1389"/>
              </w:tabs>
              <w:bidi w:val="0"/>
              <w:rPr>
                <w:rFonts w:hint="default"/>
                <w:color w:val="auto"/>
                <w:lang w:val="en-US" w:eastAsia="zh-CN"/>
              </w:rPr>
            </w:pPr>
            <w:r>
              <w:rPr>
                <w:rFonts w:hint="eastAsia"/>
                <w:color w:val="auto"/>
                <w:lang w:val="en-US" w:eastAsia="zh-CN"/>
              </w:rPr>
              <w:t>工程内容及影响方式</w:t>
            </w:r>
          </w:p>
        </w:tc>
        <w:tc>
          <w:tcPr>
            <w:tcW w:w="1781" w:type="dxa"/>
            <w:tcBorders>
              <w:tl2br w:val="nil"/>
              <w:tr2bl w:val="nil"/>
            </w:tcBorders>
            <w:noWrap w:val="0"/>
            <w:vAlign w:val="center"/>
          </w:tcPr>
          <w:p w14:paraId="030B830D">
            <w:pPr>
              <w:pStyle w:val="34"/>
              <w:tabs>
                <w:tab w:val="left" w:pos="1389"/>
              </w:tabs>
              <w:bidi w:val="0"/>
              <w:rPr>
                <w:rFonts w:hint="default"/>
                <w:color w:val="auto"/>
                <w:lang w:val="en-US" w:eastAsia="zh-CN"/>
              </w:rPr>
            </w:pPr>
            <w:r>
              <w:rPr>
                <w:rFonts w:hint="eastAsia"/>
                <w:color w:val="auto"/>
                <w:lang w:val="en-US" w:eastAsia="zh-CN"/>
              </w:rPr>
              <w:t>影响性质</w:t>
            </w:r>
          </w:p>
        </w:tc>
        <w:tc>
          <w:tcPr>
            <w:tcW w:w="710" w:type="dxa"/>
            <w:tcBorders>
              <w:tl2br w:val="nil"/>
              <w:tr2bl w:val="nil"/>
            </w:tcBorders>
            <w:noWrap w:val="0"/>
            <w:vAlign w:val="center"/>
          </w:tcPr>
          <w:p w14:paraId="2A649CD2">
            <w:pPr>
              <w:pStyle w:val="34"/>
              <w:tabs>
                <w:tab w:val="left" w:pos="1389"/>
              </w:tabs>
              <w:bidi w:val="0"/>
              <w:rPr>
                <w:rFonts w:hint="default"/>
                <w:color w:val="auto"/>
                <w:lang w:val="en-US" w:eastAsia="zh-CN"/>
              </w:rPr>
            </w:pPr>
            <w:r>
              <w:rPr>
                <w:rFonts w:hint="eastAsia"/>
                <w:color w:val="auto"/>
                <w:lang w:val="en-US" w:eastAsia="zh-CN"/>
              </w:rPr>
              <w:t>影响程度</w:t>
            </w:r>
          </w:p>
        </w:tc>
      </w:tr>
      <w:tr w14:paraId="6E2404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938" w:type="dxa"/>
            <w:tcBorders>
              <w:tl2br w:val="nil"/>
              <w:tr2bl w:val="nil"/>
            </w:tcBorders>
            <w:noWrap w:val="0"/>
            <w:vAlign w:val="center"/>
          </w:tcPr>
          <w:p w14:paraId="3EBD2163">
            <w:pPr>
              <w:pStyle w:val="34"/>
              <w:tabs>
                <w:tab w:val="left" w:pos="1389"/>
              </w:tabs>
              <w:bidi w:val="0"/>
              <w:rPr>
                <w:rFonts w:hint="default"/>
                <w:color w:val="auto"/>
                <w:lang w:val="en-US" w:eastAsia="zh-CN"/>
              </w:rPr>
            </w:pPr>
            <w:r>
              <w:rPr>
                <w:rFonts w:hint="eastAsia"/>
                <w:color w:val="auto"/>
                <w:lang w:val="en-US" w:eastAsia="zh-CN"/>
              </w:rPr>
              <w:t>物种</w:t>
            </w:r>
          </w:p>
        </w:tc>
        <w:tc>
          <w:tcPr>
            <w:tcW w:w="1194" w:type="dxa"/>
            <w:tcBorders>
              <w:tl2br w:val="nil"/>
              <w:tr2bl w:val="nil"/>
            </w:tcBorders>
            <w:noWrap w:val="0"/>
            <w:vAlign w:val="center"/>
          </w:tcPr>
          <w:p w14:paraId="2A02B863">
            <w:pPr>
              <w:pStyle w:val="34"/>
              <w:tabs>
                <w:tab w:val="left" w:pos="1389"/>
              </w:tabs>
              <w:bidi w:val="0"/>
              <w:rPr>
                <w:rFonts w:hint="default"/>
                <w:color w:val="auto"/>
                <w:lang w:val="en-US" w:eastAsia="zh-CN"/>
              </w:rPr>
            </w:pPr>
            <w:r>
              <w:rPr>
                <w:rFonts w:hint="default"/>
                <w:color w:val="auto"/>
                <w:lang w:val="en-US" w:eastAsia="zh-CN"/>
              </w:rPr>
              <w:t>分布范围、种群数量、种群结构、行为等</w:t>
            </w:r>
          </w:p>
        </w:tc>
        <w:tc>
          <w:tcPr>
            <w:tcW w:w="3855" w:type="dxa"/>
            <w:tcBorders>
              <w:tl2br w:val="nil"/>
              <w:tr2bl w:val="nil"/>
            </w:tcBorders>
            <w:noWrap w:val="0"/>
            <w:vAlign w:val="center"/>
          </w:tcPr>
          <w:p w14:paraId="73C2BE1B">
            <w:pPr>
              <w:pStyle w:val="34"/>
              <w:tabs>
                <w:tab w:val="left" w:pos="1389"/>
              </w:tabs>
              <w:bidi w:val="0"/>
              <w:rPr>
                <w:rFonts w:hint="default"/>
                <w:color w:val="auto"/>
                <w:lang w:val="en-US" w:eastAsia="zh-CN"/>
              </w:rPr>
            </w:pPr>
            <w:r>
              <w:rPr>
                <w:rFonts w:hint="default"/>
                <w:color w:val="auto"/>
                <w:lang w:val="en-US" w:eastAsia="zh-CN"/>
              </w:rPr>
              <w:t>工程占地清除地表植被，对植物</w:t>
            </w:r>
            <w:r>
              <w:rPr>
                <w:rFonts w:hint="eastAsia"/>
                <w:color w:val="auto"/>
                <w:lang w:val="en-US" w:eastAsia="zh-CN"/>
              </w:rPr>
              <w:t>种群</w:t>
            </w:r>
            <w:r>
              <w:rPr>
                <w:rFonts w:hint="default"/>
                <w:color w:val="auto"/>
                <w:lang w:val="en-US" w:eastAsia="zh-CN"/>
              </w:rPr>
              <w:t>为直接影响。施工噪声、扬尘、振动、灯光等降低生境质量，对野生动物为间接影响</w:t>
            </w:r>
          </w:p>
        </w:tc>
        <w:tc>
          <w:tcPr>
            <w:tcW w:w="1781" w:type="dxa"/>
            <w:tcBorders>
              <w:tl2br w:val="nil"/>
              <w:tr2bl w:val="nil"/>
            </w:tcBorders>
            <w:noWrap w:val="0"/>
            <w:vAlign w:val="center"/>
          </w:tcPr>
          <w:p w14:paraId="77BCFA43">
            <w:pPr>
              <w:pStyle w:val="34"/>
              <w:tabs>
                <w:tab w:val="left" w:pos="1389"/>
              </w:tabs>
              <w:bidi w:val="0"/>
              <w:rPr>
                <w:rFonts w:hint="default"/>
                <w:color w:val="auto"/>
                <w:lang w:val="en-US" w:eastAsia="zh-CN"/>
              </w:rPr>
            </w:pPr>
            <w:r>
              <w:rPr>
                <w:rFonts w:hint="default"/>
                <w:color w:val="auto"/>
                <w:lang w:val="en-US" w:eastAsia="zh-CN"/>
              </w:rPr>
              <w:t>永久占地：长期/不可逆</w:t>
            </w:r>
          </w:p>
          <w:p w14:paraId="4F31D73C">
            <w:pPr>
              <w:pStyle w:val="34"/>
              <w:tabs>
                <w:tab w:val="left" w:pos="1389"/>
              </w:tabs>
              <w:bidi w:val="0"/>
              <w:rPr>
                <w:rFonts w:hint="default"/>
                <w:color w:val="auto"/>
                <w:lang w:val="en-US" w:eastAsia="zh-CN"/>
              </w:rPr>
            </w:pPr>
            <w:r>
              <w:rPr>
                <w:rFonts w:hint="default"/>
                <w:color w:val="auto"/>
                <w:lang w:val="en-US" w:eastAsia="zh-CN"/>
              </w:rPr>
              <w:t>临时占地：短期/可逆</w:t>
            </w:r>
          </w:p>
        </w:tc>
        <w:tc>
          <w:tcPr>
            <w:tcW w:w="710" w:type="dxa"/>
            <w:tcBorders>
              <w:tl2br w:val="nil"/>
              <w:tr2bl w:val="nil"/>
            </w:tcBorders>
            <w:noWrap w:val="0"/>
            <w:vAlign w:val="center"/>
          </w:tcPr>
          <w:p w14:paraId="45E8F817">
            <w:pPr>
              <w:pStyle w:val="34"/>
              <w:tabs>
                <w:tab w:val="left" w:pos="1389"/>
              </w:tabs>
              <w:bidi w:val="0"/>
              <w:rPr>
                <w:rFonts w:hint="default"/>
                <w:color w:val="auto"/>
                <w:lang w:val="en-US" w:eastAsia="zh-CN"/>
              </w:rPr>
            </w:pPr>
            <w:r>
              <w:rPr>
                <w:rFonts w:hint="default"/>
                <w:color w:val="auto"/>
                <w:lang w:val="en-US" w:eastAsia="zh-CN"/>
              </w:rPr>
              <w:t>弱</w:t>
            </w:r>
          </w:p>
        </w:tc>
      </w:tr>
      <w:tr w14:paraId="559CB9D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38" w:type="dxa"/>
            <w:tcBorders>
              <w:tl2br w:val="nil"/>
              <w:tr2bl w:val="nil"/>
            </w:tcBorders>
            <w:noWrap w:val="0"/>
            <w:vAlign w:val="center"/>
          </w:tcPr>
          <w:p w14:paraId="136866AE">
            <w:pPr>
              <w:pStyle w:val="34"/>
              <w:tabs>
                <w:tab w:val="left" w:pos="1389"/>
              </w:tabs>
              <w:bidi w:val="0"/>
              <w:rPr>
                <w:rFonts w:hint="default"/>
                <w:color w:val="auto"/>
                <w:lang w:val="en-US" w:eastAsia="zh-CN"/>
              </w:rPr>
            </w:pPr>
            <w:r>
              <w:rPr>
                <w:rFonts w:hint="default"/>
                <w:color w:val="auto"/>
                <w:lang w:val="en-US" w:eastAsia="zh-CN"/>
              </w:rPr>
              <w:t>生境</w:t>
            </w:r>
          </w:p>
        </w:tc>
        <w:tc>
          <w:tcPr>
            <w:tcW w:w="1194" w:type="dxa"/>
            <w:tcBorders>
              <w:tl2br w:val="nil"/>
              <w:tr2bl w:val="nil"/>
            </w:tcBorders>
            <w:noWrap w:val="0"/>
            <w:vAlign w:val="center"/>
          </w:tcPr>
          <w:p w14:paraId="2A9FAC3C">
            <w:pPr>
              <w:pStyle w:val="34"/>
              <w:tabs>
                <w:tab w:val="left" w:pos="1389"/>
              </w:tabs>
              <w:bidi w:val="0"/>
              <w:rPr>
                <w:rFonts w:hint="default"/>
                <w:color w:val="auto"/>
                <w:lang w:val="en-US" w:eastAsia="zh-CN"/>
              </w:rPr>
            </w:pPr>
            <w:r>
              <w:rPr>
                <w:rFonts w:hint="default"/>
                <w:color w:val="auto"/>
                <w:lang w:val="en-US" w:eastAsia="zh-CN"/>
              </w:rPr>
              <w:t>生境面积、质量、连通性等</w:t>
            </w:r>
          </w:p>
        </w:tc>
        <w:tc>
          <w:tcPr>
            <w:tcW w:w="3855" w:type="dxa"/>
            <w:tcBorders>
              <w:tl2br w:val="nil"/>
              <w:tr2bl w:val="nil"/>
            </w:tcBorders>
            <w:noWrap w:val="0"/>
            <w:vAlign w:val="center"/>
          </w:tcPr>
          <w:p w14:paraId="21D350B1">
            <w:pPr>
              <w:pStyle w:val="34"/>
              <w:tabs>
                <w:tab w:val="left" w:pos="1389"/>
              </w:tabs>
              <w:bidi w:val="0"/>
              <w:rPr>
                <w:rFonts w:hint="default"/>
                <w:color w:val="auto"/>
                <w:lang w:val="en-US" w:eastAsia="zh-CN"/>
              </w:rPr>
            </w:pPr>
            <w:r>
              <w:rPr>
                <w:rFonts w:hint="default"/>
                <w:color w:val="auto"/>
                <w:lang w:val="en-US" w:eastAsia="zh-CN"/>
              </w:rPr>
              <w:t>永久、临时占地导致生境面积减小，破坏或丧失，为直接影响</w:t>
            </w:r>
          </w:p>
        </w:tc>
        <w:tc>
          <w:tcPr>
            <w:tcW w:w="1781" w:type="dxa"/>
            <w:tcBorders>
              <w:tl2br w:val="nil"/>
              <w:tr2bl w:val="nil"/>
            </w:tcBorders>
            <w:noWrap w:val="0"/>
            <w:vAlign w:val="center"/>
          </w:tcPr>
          <w:p w14:paraId="7B35FF90">
            <w:pPr>
              <w:pStyle w:val="34"/>
              <w:tabs>
                <w:tab w:val="left" w:pos="1389"/>
              </w:tabs>
              <w:bidi w:val="0"/>
              <w:rPr>
                <w:rFonts w:hint="default"/>
                <w:color w:val="auto"/>
                <w:lang w:val="en-US" w:eastAsia="zh-CN"/>
              </w:rPr>
            </w:pPr>
            <w:r>
              <w:rPr>
                <w:rFonts w:hint="default"/>
                <w:color w:val="auto"/>
                <w:lang w:val="en-US" w:eastAsia="zh-CN"/>
              </w:rPr>
              <w:t>永久占地：长期/不可逆临时占地：短期/可逆</w:t>
            </w:r>
          </w:p>
        </w:tc>
        <w:tc>
          <w:tcPr>
            <w:tcW w:w="710" w:type="dxa"/>
            <w:tcBorders>
              <w:tl2br w:val="nil"/>
              <w:tr2bl w:val="nil"/>
            </w:tcBorders>
            <w:noWrap w:val="0"/>
            <w:vAlign w:val="center"/>
          </w:tcPr>
          <w:p w14:paraId="3F066384">
            <w:pPr>
              <w:pStyle w:val="34"/>
              <w:tabs>
                <w:tab w:val="left" w:pos="1389"/>
              </w:tabs>
              <w:bidi w:val="0"/>
              <w:rPr>
                <w:rFonts w:hint="default"/>
                <w:color w:val="auto"/>
                <w:lang w:val="en-US" w:eastAsia="zh-CN"/>
              </w:rPr>
            </w:pPr>
            <w:r>
              <w:rPr>
                <w:rFonts w:hint="default"/>
                <w:color w:val="auto"/>
                <w:lang w:val="en-US" w:eastAsia="zh-CN"/>
              </w:rPr>
              <w:t>弱</w:t>
            </w:r>
          </w:p>
        </w:tc>
      </w:tr>
      <w:tr w14:paraId="43545D1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938" w:type="dxa"/>
            <w:tcBorders>
              <w:tl2br w:val="nil"/>
              <w:tr2bl w:val="nil"/>
            </w:tcBorders>
            <w:noWrap w:val="0"/>
            <w:vAlign w:val="center"/>
          </w:tcPr>
          <w:p w14:paraId="774F8723">
            <w:pPr>
              <w:pStyle w:val="34"/>
              <w:tabs>
                <w:tab w:val="left" w:pos="1389"/>
              </w:tabs>
              <w:bidi w:val="0"/>
              <w:rPr>
                <w:rFonts w:hint="default"/>
                <w:color w:val="auto"/>
                <w:lang w:val="en-US" w:eastAsia="zh-CN"/>
              </w:rPr>
            </w:pPr>
            <w:r>
              <w:rPr>
                <w:rFonts w:hint="default"/>
                <w:color w:val="auto"/>
                <w:lang w:val="en-US" w:eastAsia="zh-CN"/>
              </w:rPr>
              <w:t>生物</w:t>
            </w:r>
            <w:r>
              <w:rPr>
                <w:rFonts w:hint="eastAsia"/>
                <w:color w:val="auto"/>
                <w:lang w:val="en-US" w:eastAsia="zh-CN"/>
              </w:rPr>
              <w:t>群落</w:t>
            </w:r>
          </w:p>
        </w:tc>
        <w:tc>
          <w:tcPr>
            <w:tcW w:w="1194" w:type="dxa"/>
            <w:tcBorders>
              <w:tl2br w:val="nil"/>
              <w:tr2bl w:val="nil"/>
            </w:tcBorders>
            <w:noWrap w:val="0"/>
            <w:vAlign w:val="center"/>
          </w:tcPr>
          <w:p w14:paraId="3A5B7734">
            <w:pPr>
              <w:pStyle w:val="34"/>
              <w:tabs>
                <w:tab w:val="left" w:pos="1389"/>
              </w:tabs>
              <w:bidi w:val="0"/>
              <w:rPr>
                <w:rFonts w:hint="default"/>
                <w:color w:val="auto"/>
                <w:lang w:val="en-US" w:eastAsia="zh-CN"/>
              </w:rPr>
            </w:pPr>
            <w:r>
              <w:rPr>
                <w:color w:val="auto"/>
              </w:rPr>
              <w:t>物种组成、群</w:t>
            </w:r>
            <w:r>
              <w:rPr>
                <w:rFonts w:hint="eastAsia"/>
                <w:color w:val="auto"/>
                <w:lang w:val="en-US" w:eastAsia="zh-CN"/>
              </w:rPr>
              <w:t>落结构等</w:t>
            </w:r>
          </w:p>
        </w:tc>
        <w:tc>
          <w:tcPr>
            <w:tcW w:w="3855" w:type="dxa"/>
            <w:tcBorders>
              <w:tl2br w:val="nil"/>
              <w:tr2bl w:val="nil"/>
            </w:tcBorders>
            <w:noWrap w:val="0"/>
            <w:vAlign w:val="center"/>
          </w:tcPr>
          <w:p w14:paraId="660A3DF6">
            <w:pPr>
              <w:pStyle w:val="34"/>
              <w:tabs>
                <w:tab w:val="left" w:pos="1389"/>
              </w:tabs>
              <w:bidi w:val="0"/>
              <w:rPr>
                <w:rFonts w:hint="default"/>
                <w:color w:val="auto"/>
                <w:lang w:val="en-US" w:eastAsia="zh-CN"/>
              </w:rPr>
            </w:pPr>
            <w:r>
              <w:rPr>
                <w:rFonts w:hint="default"/>
                <w:color w:val="auto"/>
                <w:lang w:val="en-US" w:eastAsia="zh-CN"/>
              </w:rPr>
              <w:t>占地清除次生性植物群落，群落结构发生变化，为直接影响</w:t>
            </w:r>
          </w:p>
        </w:tc>
        <w:tc>
          <w:tcPr>
            <w:tcW w:w="1781" w:type="dxa"/>
            <w:tcBorders>
              <w:tl2br w:val="nil"/>
              <w:tr2bl w:val="nil"/>
            </w:tcBorders>
            <w:noWrap w:val="0"/>
            <w:vAlign w:val="center"/>
          </w:tcPr>
          <w:p w14:paraId="106E2117">
            <w:pPr>
              <w:pStyle w:val="34"/>
              <w:tabs>
                <w:tab w:val="left" w:pos="1389"/>
              </w:tabs>
              <w:bidi w:val="0"/>
              <w:rPr>
                <w:rFonts w:hint="default"/>
                <w:color w:val="auto"/>
                <w:lang w:val="en-US" w:eastAsia="zh-CN"/>
              </w:rPr>
            </w:pPr>
            <w:r>
              <w:rPr>
                <w:rFonts w:hint="default"/>
                <w:color w:val="auto"/>
                <w:lang w:val="en-US" w:eastAsia="zh-CN"/>
              </w:rPr>
              <w:t>永久占地：长期/不可逆</w:t>
            </w:r>
          </w:p>
          <w:p w14:paraId="60802420">
            <w:pPr>
              <w:pStyle w:val="34"/>
              <w:tabs>
                <w:tab w:val="left" w:pos="1389"/>
              </w:tabs>
              <w:bidi w:val="0"/>
              <w:rPr>
                <w:rFonts w:hint="default"/>
                <w:color w:val="auto"/>
                <w:lang w:val="en-US" w:eastAsia="zh-CN"/>
              </w:rPr>
            </w:pPr>
            <w:r>
              <w:rPr>
                <w:rFonts w:hint="default"/>
                <w:color w:val="auto"/>
                <w:lang w:val="en-US" w:eastAsia="zh-CN"/>
              </w:rPr>
              <w:t>临时占地：短期/可逆</w:t>
            </w:r>
          </w:p>
        </w:tc>
        <w:tc>
          <w:tcPr>
            <w:tcW w:w="710" w:type="dxa"/>
            <w:tcBorders>
              <w:tl2br w:val="nil"/>
              <w:tr2bl w:val="nil"/>
            </w:tcBorders>
            <w:noWrap w:val="0"/>
            <w:vAlign w:val="center"/>
          </w:tcPr>
          <w:p w14:paraId="58C75A0A">
            <w:pPr>
              <w:pStyle w:val="34"/>
              <w:tabs>
                <w:tab w:val="left" w:pos="1389"/>
              </w:tabs>
              <w:bidi w:val="0"/>
              <w:rPr>
                <w:rFonts w:hint="default"/>
                <w:color w:val="auto"/>
                <w:lang w:val="en-US" w:eastAsia="zh-CN"/>
              </w:rPr>
            </w:pPr>
            <w:r>
              <w:rPr>
                <w:rFonts w:hint="default"/>
                <w:color w:val="auto"/>
                <w:lang w:val="en-US" w:eastAsia="zh-CN"/>
              </w:rPr>
              <w:t>弱</w:t>
            </w:r>
          </w:p>
        </w:tc>
      </w:tr>
      <w:tr w14:paraId="568F01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938" w:type="dxa"/>
            <w:tcBorders>
              <w:tl2br w:val="nil"/>
              <w:tr2bl w:val="nil"/>
            </w:tcBorders>
            <w:noWrap w:val="0"/>
            <w:vAlign w:val="center"/>
          </w:tcPr>
          <w:p w14:paraId="3FE27D01">
            <w:pPr>
              <w:pStyle w:val="34"/>
              <w:tabs>
                <w:tab w:val="left" w:pos="1389"/>
              </w:tabs>
              <w:bidi w:val="0"/>
              <w:rPr>
                <w:rFonts w:hint="default"/>
                <w:color w:val="auto"/>
                <w:lang w:val="en-US" w:eastAsia="zh-CN"/>
              </w:rPr>
            </w:pPr>
            <w:r>
              <w:rPr>
                <w:rFonts w:hint="default"/>
                <w:color w:val="auto"/>
                <w:lang w:val="en-US" w:eastAsia="zh-CN"/>
              </w:rPr>
              <w:t>生态系统</w:t>
            </w:r>
          </w:p>
        </w:tc>
        <w:tc>
          <w:tcPr>
            <w:tcW w:w="1194" w:type="dxa"/>
            <w:tcBorders>
              <w:tl2br w:val="nil"/>
              <w:tr2bl w:val="nil"/>
            </w:tcBorders>
            <w:noWrap w:val="0"/>
            <w:vAlign w:val="center"/>
          </w:tcPr>
          <w:p w14:paraId="044C9E93">
            <w:pPr>
              <w:pStyle w:val="34"/>
              <w:tabs>
                <w:tab w:val="left" w:pos="1389"/>
              </w:tabs>
              <w:bidi w:val="0"/>
              <w:rPr>
                <w:rFonts w:hint="default"/>
                <w:color w:val="auto"/>
                <w:lang w:val="en-US" w:eastAsia="zh-CN"/>
              </w:rPr>
            </w:pPr>
            <w:r>
              <w:rPr>
                <w:rFonts w:hint="default"/>
                <w:color w:val="auto"/>
                <w:lang w:val="en-US" w:eastAsia="zh-CN"/>
              </w:rPr>
              <w:t>植被覆盖度、生产力、生物量、生态系统功能等</w:t>
            </w:r>
          </w:p>
        </w:tc>
        <w:tc>
          <w:tcPr>
            <w:tcW w:w="3855" w:type="dxa"/>
            <w:tcBorders>
              <w:tl2br w:val="nil"/>
              <w:tr2bl w:val="nil"/>
            </w:tcBorders>
            <w:noWrap w:val="0"/>
            <w:vAlign w:val="center"/>
          </w:tcPr>
          <w:p w14:paraId="71AAF269">
            <w:pPr>
              <w:pStyle w:val="34"/>
              <w:tabs>
                <w:tab w:val="left" w:pos="1389"/>
              </w:tabs>
              <w:bidi w:val="0"/>
              <w:rPr>
                <w:rFonts w:hint="default"/>
                <w:color w:val="auto"/>
                <w:lang w:val="en-US" w:eastAsia="zh-CN"/>
              </w:rPr>
            </w:pPr>
            <w:r>
              <w:rPr>
                <w:rFonts w:hint="default"/>
                <w:color w:val="auto"/>
                <w:lang w:val="en-US" w:eastAsia="zh-CN"/>
              </w:rPr>
              <w:t>占地区清除次生性植被类型，生物量短期内小幅降低，但不会明显降低生态系统功能，为间接影响</w:t>
            </w:r>
          </w:p>
        </w:tc>
        <w:tc>
          <w:tcPr>
            <w:tcW w:w="1781" w:type="dxa"/>
            <w:tcBorders>
              <w:tl2br w:val="nil"/>
              <w:tr2bl w:val="nil"/>
            </w:tcBorders>
            <w:noWrap w:val="0"/>
            <w:vAlign w:val="center"/>
          </w:tcPr>
          <w:p w14:paraId="6F637170">
            <w:pPr>
              <w:pStyle w:val="34"/>
              <w:tabs>
                <w:tab w:val="left" w:pos="1389"/>
              </w:tabs>
              <w:bidi w:val="0"/>
              <w:rPr>
                <w:rFonts w:hint="default"/>
                <w:color w:val="auto"/>
                <w:lang w:val="en-US" w:eastAsia="zh-CN"/>
              </w:rPr>
            </w:pPr>
            <w:r>
              <w:rPr>
                <w:rFonts w:hint="default"/>
                <w:color w:val="auto"/>
                <w:lang w:val="en-US" w:eastAsia="zh-CN"/>
              </w:rPr>
              <w:t>短期/可逆</w:t>
            </w:r>
          </w:p>
        </w:tc>
        <w:tc>
          <w:tcPr>
            <w:tcW w:w="710" w:type="dxa"/>
            <w:tcBorders>
              <w:tl2br w:val="nil"/>
              <w:tr2bl w:val="nil"/>
            </w:tcBorders>
            <w:noWrap w:val="0"/>
            <w:vAlign w:val="center"/>
          </w:tcPr>
          <w:p w14:paraId="20FB6DEF">
            <w:pPr>
              <w:pStyle w:val="34"/>
              <w:tabs>
                <w:tab w:val="left" w:pos="1389"/>
              </w:tabs>
              <w:bidi w:val="0"/>
              <w:rPr>
                <w:rFonts w:hint="default"/>
                <w:color w:val="auto"/>
                <w:lang w:val="en-US" w:eastAsia="zh-CN"/>
              </w:rPr>
            </w:pPr>
            <w:r>
              <w:rPr>
                <w:rFonts w:hint="default"/>
                <w:color w:val="auto"/>
                <w:lang w:val="en-US" w:eastAsia="zh-CN"/>
              </w:rPr>
              <w:t>弱</w:t>
            </w:r>
          </w:p>
        </w:tc>
      </w:tr>
      <w:tr w14:paraId="56D50A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938" w:type="dxa"/>
            <w:tcBorders>
              <w:tl2br w:val="nil"/>
              <w:tr2bl w:val="nil"/>
            </w:tcBorders>
            <w:noWrap w:val="0"/>
            <w:vAlign w:val="center"/>
          </w:tcPr>
          <w:p w14:paraId="10C1D710">
            <w:pPr>
              <w:pStyle w:val="34"/>
              <w:tabs>
                <w:tab w:val="left" w:pos="1389"/>
              </w:tabs>
              <w:bidi w:val="0"/>
              <w:rPr>
                <w:rFonts w:hint="default"/>
                <w:color w:val="auto"/>
                <w:lang w:val="en-US" w:eastAsia="zh-CN"/>
              </w:rPr>
            </w:pPr>
            <w:r>
              <w:rPr>
                <w:rFonts w:hint="default"/>
                <w:color w:val="auto"/>
                <w:lang w:val="en-US" w:eastAsia="zh-CN"/>
              </w:rPr>
              <w:t>生物多样性</w:t>
            </w:r>
          </w:p>
        </w:tc>
        <w:tc>
          <w:tcPr>
            <w:tcW w:w="1194" w:type="dxa"/>
            <w:tcBorders>
              <w:tl2br w:val="nil"/>
              <w:tr2bl w:val="nil"/>
            </w:tcBorders>
            <w:noWrap w:val="0"/>
            <w:vAlign w:val="center"/>
          </w:tcPr>
          <w:p w14:paraId="54A2F17B">
            <w:pPr>
              <w:pStyle w:val="34"/>
              <w:tabs>
                <w:tab w:val="left" w:pos="1389"/>
              </w:tabs>
              <w:bidi w:val="0"/>
              <w:rPr>
                <w:rFonts w:hint="default"/>
                <w:color w:val="auto"/>
                <w:lang w:val="en-US" w:eastAsia="zh-CN"/>
              </w:rPr>
            </w:pPr>
            <w:r>
              <w:rPr>
                <w:color w:val="auto"/>
              </w:rPr>
              <w:t>物种丰富度、均匀度、优势度等</w:t>
            </w:r>
          </w:p>
        </w:tc>
        <w:tc>
          <w:tcPr>
            <w:tcW w:w="3855" w:type="dxa"/>
            <w:tcBorders>
              <w:tl2br w:val="nil"/>
              <w:tr2bl w:val="nil"/>
            </w:tcBorders>
            <w:noWrap w:val="0"/>
            <w:vAlign w:val="center"/>
          </w:tcPr>
          <w:p w14:paraId="6F5BDD9E">
            <w:pPr>
              <w:pStyle w:val="34"/>
              <w:tabs>
                <w:tab w:val="left" w:pos="1389"/>
              </w:tabs>
              <w:bidi w:val="0"/>
              <w:rPr>
                <w:rFonts w:hint="default"/>
                <w:color w:val="auto"/>
                <w:lang w:val="en-US" w:eastAsia="zh-CN"/>
              </w:rPr>
            </w:pPr>
            <w:r>
              <w:rPr>
                <w:rFonts w:hint="default"/>
                <w:color w:val="auto"/>
                <w:lang w:val="en-US" w:eastAsia="zh-CN"/>
              </w:rPr>
              <w:t>占地区少量植株清除，种群短期内减少，但不会造成植物灭绝，为间接影响</w:t>
            </w:r>
          </w:p>
        </w:tc>
        <w:tc>
          <w:tcPr>
            <w:tcW w:w="1781" w:type="dxa"/>
            <w:tcBorders>
              <w:tl2br w:val="nil"/>
              <w:tr2bl w:val="nil"/>
            </w:tcBorders>
            <w:noWrap w:val="0"/>
            <w:vAlign w:val="center"/>
          </w:tcPr>
          <w:p w14:paraId="28CBA402">
            <w:pPr>
              <w:pStyle w:val="34"/>
              <w:tabs>
                <w:tab w:val="left" w:pos="1389"/>
              </w:tabs>
              <w:bidi w:val="0"/>
              <w:rPr>
                <w:rFonts w:hint="default"/>
                <w:color w:val="auto"/>
                <w:lang w:val="en-US" w:eastAsia="zh-CN"/>
              </w:rPr>
            </w:pPr>
            <w:r>
              <w:rPr>
                <w:rFonts w:hint="default"/>
                <w:color w:val="auto"/>
                <w:lang w:val="en-US" w:eastAsia="zh-CN"/>
              </w:rPr>
              <w:t>短期/可逆</w:t>
            </w:r>
          </w:p>
        </w:tc>
        <w:tc>
          <w:tcPr>
            <w:tcW w:w="710" w:type="dxa"/>
            <w:tcBorders>
              <w:tl2br w:val="nil"/>
              <w:tr2bl w:val="nil"/>
            </w:tcBorders>
            <w:noWrap w:val="0"/>
            <w:vAlign w:val="center"/>
          </w:tcPr>
          <w:p w14:paraId="06BF3AB0">
            <w:pPr>
              <w:pStyle w:val="34"/>
              <w:tabs>
                <w:tab w:val="left" w:pos="1389"/>
              </w:tabs>
              <w:bidi w:val="0"/>
              <w:rPr>
                <w:rFonts w:hint="default"/>
                <w:color w:val="auto"/>
                <w:lang w:val="en-US" w:eastAsia="zh-CN"/>
              </w:rPr>
            </w:pPr>
            <w:r>
              <w:rPr>
                <w:rFonts w:hint="default"/>
                <w:color w:val="auto"/>
                <w:lang w:val="en-US" w:eastAsia="zh-CN"/>
              </w:rPr>
              <w:t>弱</w:t>
            </w:r>
          </w:p>
        </w:tc>
      </w:tr>
      <w:tr w14:paraId="4587A7F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938" w:type="dxa"/>
            <w:tcBorders>
              <w:tl2br w:val="nil"/>
              <w:tr2bl w:val="nil"/>
            </w:tcBorders>
            <w:noWrap w:val="0"/>
            <w:vAlign w:val="center"/>
          </w:tcPr>
          <w:p w14:paraId="0F1864B4">
            <w:pPr>
              <w:pStyle w:val="34"/>
              <w:tabs>
                <w:tab w:val="left" w:pos="1389"/>
              </w:tabs>
              <w:bidi w:val="0"/>
              <w:rPr>
                <w:rFonts w:hint="default"/>
                <w:color w:val="auto"/>
                <w:lang w:val="en-US" w:eastAsia="zh-CN"/>
              </w:rPr>
            </w:pPr>
            <w:r>
              <w:rPr>
                <w:rFonts w:hint="default"/>
                <w:color w:val="auto"/>
                <w:lang w:val="en-US" w:eastAsia="zh-CN"/>
              </w:rPr>
              <w:t>生态敏感区</w:t>
            </w:r>
          </w:p>
        </w:tc>
        <w:tc>
          <w:tcPr>
            <w:tcW w:w="1194" w:type="dxa"/>
            <w:tcBorders>
              <w:tl2br w:val="nil"/>
              <w:tr2bl w:val="nil"/>
            </w:tcBorders>
            <w:noWrap w:val="0"/>
            <w:vAlign w:val="center"/>
          </w:tcPr>
          <w:p w14:paraId="0645FC57">
            <w:pPr>
              <w:pStyle w:val="34"/>
              <w:tabs>
                <w:tab w:val="left" w:pos="1389"/>
              </w:tabs>
              <w:bidi w:val="0"/>
              <w:rPr>
                <w:rFonts w:hint="default"/>
                <w:color w:val="auto"/>
                <w:lang w:val="en-US" w:eastAsia="zh-CN"/>
              </w:rPr>
            </w:pPr>
            <w:r>
              <w:rPr>
                <w:rFonts w:hint="default"/>
                <w:color w:val="auto"/>
                <w:lang w:val="en-US" w:eastAsia="zh-CN"/>
              </w:rPr>
              <w:t>主要保护 对象、生态功能等</w:t>
            </w:r>
          </w:p>
        </w:tc>
        <w:tc>
          <w:tcPr>
            <w:tcW w:w="3855" w:type="dxa"/>
            <w:tcBorders>
              <w:tl2br w:val="nil"/>
              <w:tr2bl w:val="nil"/>
            </w:tcBorders>
            <w:noWrap w:val="0"/>
            <w:vAlign w:val="center"/>
          </w:tcPr>
          <w:p w14:paraId="12F0D126">
            <w:pPr>
              <w:pStyle w:val="34"/>
              <w:tabs>
                <w:tab w:val="left" w:pos="1389"/>
              </w:tabs>
              <w:bidi w:val="0"/>
              <w:rPr>
                <w:rFonts w:hint="default"/>
                <w:color w:val="auto"/>
                <w:lang w:val="en-US" w:eastAsia="zh-CN"/>
              </w:rPr>
            </w:pPr>
            <w:r>
              <w:rPr>
                <w:rFonts w:hint="default"/>
                <w:color w:val="auto"/>
                <w:lang w:val="en-US" w:eastAsia="zh-CN"/>
              </w:rPr>
              <w:t>靠近生态保护红线，</w:t>
            </w:r>
            <w:r>
              <w:rPr>
                <w:rFonts w:hint="eastAsia"/>
                <w:color w:val="auto"/>
                <w:lang w:val="en-US" w:eastAsia="zh-CN"/>
              </w:rPr>
              <w:t>生态保护红线</w:t>
            </w:r>
            <w:r>
              <w:rPr>
                <w:rFonts w:hint="default"/>
                <w:color w:val="auto"/>
                <w:lang w:val="en-US" w:eastAsia="zh-CN"/>
              </w:rPr>
              <w:t>类型为水土保持，主要生态影响是施工期水土流失影响</w:t>
            </w:r>
          </w:p>
        </w:tc>
        <w:tc>
          <w:tcPr>
            <w:tcW w:w="1781" w:type="dxa"/>
            <w:tcBorders>
              <w:tl2br w:val="nil"/>
              <w:tr2bl w:val="nil"/>
            </w:tcBorders>
            <w:noWrap w:val="0"/>
            <w:vAlign w:val="center"/>
          </w:tcPr>
          <w:p w14:paraId="2174426F">
            <w:pPr>
              <w:pStyle w:val="34"/>
              <w:tabs>
                <w:tab w:val="left" w:pos="1389"/>
              </w:tabs>
              <w:bidi w:val="0"/>
              <w:rPr>
                <w:rFonts w:hint="default"/>
                <w:color w:val="auto"/>
                <w:lang w:val="en-US" w:eastAsia="zh-CN"/>
              </w:rPr>
            </w:pPr>
            <w:r>
              <w:rPr>
                <w:rFonts w:hint="default"/>
                <w:color w:val="auto"/>
                <w:lang w:val="en-US" w:eastAsia="zh-CN"/>
              </w:rPr>
              <w:t>短期/可逆</w:t>
            </w:r>
          </w:p>
        </w:tc>
        <w:tc>
          <w:tcPr>
            <w:tcW w:w="710" w:type="dxa"/>
            <w:tcBorders>
              <w:tl2br w:val="nil"/>
              <w:tr2bl w:val="nil"/>
            </w:tcBorders>
            <w:noWrap w:val="0"/>
            <w:vAlign w:val="center"/>
          </w:tcPr>
          <w:p w14:paraId="0594EC73">
            <w:pPr>
              <w:pStyle w:val="34"/>
              <w:tabs>
                <w:tab w:val="left" w:pos="1389"/>
              </w:tabs>
              <w:bidi w:val="0"/>
              <w:rPr>
                <w:rFonts w:hint="default"/>
                <w:color w:val="auto"/>
                <w:lang w:val="en-US" w:eastAsia="zh-CN"/>
              </w:rPr>
            </w:pPr>
            <w:r>
              <w:rPr>
                <w:rFonts w:hint="default"/>
                <w:color w:val="auto"/>
                <w:lang w:val="en-US" w:eastAsia="zh-CN"/>
              </w:rPr>
              <w:t>弱</w:t>
            </w:r>
          </w:p>
        </w:tc>
      </w:tr>
      <w:tr w14:paraId="7E18B1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938" w:type="dxa"/>
            <w:tcBorders>
              <w:tl2br w:val="nil"/>
              <w:tr2bl w:val="nil"/>
            </w:tcBorders>
            <w:noWrap w:val="0"/>
            <w:vAlign w:val="center"/>
          </w:tcPr>
          <w:p w14:paraId="024BC8B3">
            <w:pPr>
              <w:pStyle w:val="34"/>
              <w:tabs>
                <w:tab w:val="left" w:pos="1389"/>
              </w:tabs>
              <w:bidi w:val="0"/>
              <w:rPr>
                <w:rFonts w:hint="default"/>
                <w:color w:val="auto"/>
                <w:lang w:val="en-US" w:eastAsia="zh-CN"/>
              </w:rPr>
            </w:pPr>
            <w:r>
              <w:rPr>
                <w:rFonts w:hint="default"/>
                <w:color w:val="auto"/>
                <w:lang w:val="en-US" w:eastAsia="zh-CN"/>
              </w:rPr>
              <w:t>自然景观</w:t>
            </w:r>
          </w:p>
        </w:tc>
        <w:tc>
          <w:tcPr>
            <w:tcW w:w="1194" w:type="dxa"/>
            <w:tcBorders>
              <w:tl2br w:val="nil"/>
              <w:tr2bl w:val="nil"/>
            </w:tcBorders>
            <w:noWrap w:val="0"/>
            <w:vAlign w:val="center"/>
          </w:tcPr>
          <w:p w14:paraId="0429AE90">
            <w:pPr>
              <w:pStyle w:val="34"/>
              <w:tabs>
                <w:tab w:val="left" w:pos="1389"/>
              </w:tabs>
              <w:bidi w:val="0"/>
              <w:rPr>
                <w:rFonts w:hint="default"/>
                <w:color w:val="auto"/>
                <w:lang w:val="en-US" w:eastAsia="zh-CN"/>
              </w:rPr>
            </w:pPr>
            <w:r>
              <w:rPr>
                <w:rFonts w:hint="default"/>
                <w:color w:val="auto"/>
                <w:lang w:val="en-US" w:eastAsia="zh-CN"/>
              </w:rPr>
              <w:t>景观多样性、完整性等</w:t>
            </w:r>
          </w:p>
        </w:tc>
        <w:tc>
          <w:tcPr>
            <w:tcW w:w="3855" w:type="dxa"/>
            <w:tcBorders>
              <w:tl2br w:val="nil"/>
              <w:tr2bl w:val="nil"/>
            </w:tcBorders>
            <w:noWrap w:val="0"/>
            <w:vAlign w:val="center"/>
          </w:tcPr>
          <w:p w14:paraId="67305DF9">
            <w:pPr>
              <w:pStyle w:val="34"/>
              <w:tabs>
                <w:tab w:val="left" w:pos="1389"/>
              </w:tabs>
              <w:bidi w:val="0"/>
              <w:rPr>
                <w:rFonts w:hint="default"/>
                <w:color w:val="auto"/>
                <w:lang w:val="en-US" w:eastAsia="zh-CN"/>
              </w:rPr>
            </w:pPr>
            <w:r>
              <w:rPr>
                <w:rFonts w:hint="default"/>
                <w:color w:val="auto"/>
                <w:lang w:val="en-US" w:eastAsia="zh-CN"/>
              </w:rPr>
              <w:t>占地区景观破坏</w:t>
            </w:r>
          </w:p>
        </w:tc>
        <w:tc>
          <w:tcPr>
            <w:tcW w:w="1781" w:type="dxa"/>
            <w:tcBorders>
              <w:tl2br w:val="nil"/>
              <w:tr2bl w:val="nil"/>
            </w:tcBorders>
            <w:noWrap w:val="0"/>
            <w:vAlign w:val="center"/>
          </w:tcPr>
          <w:p w14:paraId="7D5D12F8">
            <w:pPr>
              <w:pStyle w:val="34"/>
              <w:tabs>
                <w:tab w:val="left" w:pos="1389"/>
              </w:tabs>
              <w:bidi w:val="0"/>
              <w:rPr>
                <w:rFonts w:hint="default"/>
                <w:color w:val="auto"/>
                <w:lang w:val="en-US" w:eastAsia="zh-CN"/>
              </w:rPr>
            </w:pPr>
            <w:r>
              <w:rPr>
                <w:rFonts w:hint="default"/>
                <w:color w:val="auto"/>
                <w:lang w:val="en-US" w:eastAsia="zh-CN"/>
              </w:rPr>
              <w:t>永久占地：长期/不可逆</w:t>
            </w:r>
          </w:p>
          <w:p w14:paraId="5A7E14B7">
            <w:pPr>
              <w:pStyle w:val="34"/>
              <w:tabs>
                <w:tab w:val="left" w:pos="1389"/>
              </w:tabs>
              <w:bidi w:val="0"/>
              <w:rPr>
                <w:rFonts w:hint="default"/>
                <w:color w:val="auto"/>
                <w:lang w:val="en-US" w:eastAsia="zh-CN"/>
              </w:rPr>
            </w:pPr>
            <w:r>
              <w:rPr>
                <w:rFonts w:hint="default"/>
                <w:color w:val="auto"/>
                <w:lang w:val="en-US" w:eastAsia="zh-CN"/>
              </w:rPr>
              <w:t>临时占地：短期/可逆</w:t>
            </w:r>
          </w:p>
        </w:tc>
        <w:tc>
          <w:tcPr>
            <w:tcW w:w="710" w:type="dxa"/>
            <w:tcBorders>
              <w:tl2br w:val="nil"/>
              <w:tr2bl w:val="nil"/>
            </w:tcBorders>
            <w:noWrap w:val="0"/>
            <w:vAlign w:val="center"/>
          </w:tcPr>
          <w:p w14:paraId="27349055">
            <w:pPr>
              <w:pStyle w:val="34"/>
              <w:tabs>
                <w:tab w:val="left" w:pos="1389"/>
              </w:tabs>
              <w:bidi w:val="0"/>
              <w:rPr>
                <w:rFonts w:hint="default"/>
                <w:color w:val="auto"/>
                <w:lang w:val="en-US" w:eastAsia="zh-CN"/>
              </w:rPr>
            </w:pPr>
            <w:r>
              <w:rPr>
                <w:rFonts w:hint="default"/>
                <w:color w:val="auto"/>
                <w:lang w:val="en-US" w:eastAsia="zh-CN"/>
              </w:rPr>
              <w:t>弱</w:t>
            </w:r>
          </w:p>
        </w:tc>
      </w:tr>
    </w:tbl>
    <w:p w14:paraId="3F9F9E8A">
      <w:pPr>
        <w:pStyle w:val="3"/>
        <w:bidi w:val="0"/>
        <w:rPr>
          <w:rFonts w:hint="eastAsia"/>
          <w:color w:val="auto"/>
          <w:lang w:val="en-US" w:eastAsia="zh-CN"/>
        </w:rPr>
      </w:pPr>
      <w:bookmarkStart w:id="58" w:name="_Toc19319"/>
      <w:r>
        <w:rPr>
          <w:rFonts w:hint="eastAsia"/>
          <w:color w:val="auto"/>
          <w:lang w:val="en-US" w:eastAsia="zh-CN"/>
        </w:rPr>
        <w:t>1.4评价工作等级及范围</w:t>
      </w:r>
      <w:bookmarkEnd w:id="58"/>
    </w:p>
    <w:p w14:paraId="505C19E8">
      <w:pPr>
        <w:pStyle w:val="4"/>
        <w:bidi w:val="0"/>
        <w:rPr>
          <w:rFonts w:hint="eastAsia"/>
          <w:color w:val="auto"/>
          <w:lang w:val="en-US" w:eastAsia="zh-CN"/>
        </w:rPr>
      </w:pPr>
      <w:r>
        <w:rPr>
          <w:rFonts w:hint="eastAsia"/>
          <w:color w:val="auto"/>
          <w:lang w:val="en-US" w:eastAsia="zh-CN"/>
        </w:rPr>
        <w:t>1.4.1评价工作等级</w:t>
      </w:r>
    </w:p>
    <w:p w14:paraId="1E91E35A">
      <w:pPr>
        <w:pStyle w:val="41"/>
        <w:bidi w:val="0"/>
        <w:rPr>
          <w:rFonts w:hint="eastAsia"/>
          <w:color w:val="auto"/>
        </w:rPr>
      </w:pPr>
      <w:r>
        <w:rPr>
          <w:rFonts w:hint="eastAsia"/>
          <w:color w:val="auto"/>
        </w:rPr>
        <w:t>根据《环境影响评价技术导则 生态影响》（HJ19-2022），本项目无涉水工程，不进行水生生态评价。</w:t>
      </w:r>
    </w:p>
    <w:p w14:paraId="15D3ABD9">
      <w:pPr>
        <w:pStyle w:val="41"/>
        <w:bidi w:val="0"/>
        <w:rPr>
          <w:rFonts w:hint="default"/>
          <w:color w:val="auto"/>
          <w:lang w:val="en-US" w:eastAsia="zh-CN"/>
        </w:rPr>
      </w:pPr>
      <w:r>
        <w:rPr>
          <w:rFonts w:hint="eastAsia"/>
          <w:color w:val="auto"/>
        </w:rPr>
        <w:t>项目占地范围内不涉及国家公园、自然保护区、自然公园、世界自然遗产地</w:t>
      </w:r>
      <w:r>
        <w:rPr>
          <w:rFonts w:hint="eastAsia"/>
          <w:color w:val="auto"/>
          <w:lang w:val="en-US" w:eastAsia="zh-CN"/>
        </w:rPr>
        <w:t>和</w:t>
      </w:r>
      <w:r>
        <w:rPr>
          <w:rFonts w:hint="eastAsia"/>
          <w:color w:val="auto"/>
        </w:rPr>
        <w:t>重要物种重要生境，不涉及</w:t>
      </w:r>
      <w:r>
        <w:rPr>
          <w:rFonts w:hint="eastAsia"/>
          <w:color w:val="auto"/>
          <w:lang w:val="en-US" w:eastAsia="zh-CN"/>
        </w:rPr>
        <w:t>自然公园</w:t>
      </w:r>
      <w:r>
        <w:rPr>
          <w:rFonts w:hint="eastAsia"/>
          <w:color w:val="auto"/>
        </w:rPr>
        <w:t>。</w:t>
      </w:r>
      <w:r>
        <w:rPr>
          <w:rFonts w:hint="eastAsia"/>
          <w:color w:val="auto"/>
          <w:lang w:val="en-US" w:eastAsia="zh-CN"/>
        </w:rPr>
        <w:t>XZB01号风机评价范围300m内涉及生态保护红线，依据</w:t>
      </w:r>
      <w:r>
        <w:rPr>
          <w:rFonts w:hint="default"/>
          <w:color w:val="auto"/>
          <w:lang w:val="en-US" w:eastAsia="zh-CN"/>
        </w:rPr>
        <w:t>《环境影响评价技术导则 生态影响》（HJ19-2022）</w:t>
      </w:r>
      <w:r>
        <w:rPr>
          <w:rFonts w:hint="eastAsia"/>
          <w:color w:val="auto"/>
          <w:lang w:val="en-US" w:eastAsia="zh-CN"/>
        </w:rPr>
        <w:t>要求，项目需开展生态影响二级评价。</w:t>
      </w:r>
    </w:p>
    <w:p w14:paraId="06B92EBF">
      <w:pPr>
        <w:pStyle w:val="4"/>
        <w:bidi w:val="0"/>
        <w:rPr>
          <w:rFonts w:hint="eastAsia"/>
          <w:color w:val="auto"/>
          <w:lang w:val="en-US" w:eastAsia="zh-CN"/>
        </w:rPr>
      </w:pPr>
      <w:r>
        <w:rPr>
          <w:rFonts w:hint="eastAsia"/>
          <w:color w:val="auto"/>
          <w:lang w:val="en-US" w:eastAsia="zh-CN"/>
        </w:rPr>
        <w:t>1.4.2评价工作范围</w:t>
      </w:r>
    </w:p>
    <w:p w14:paraId="67B0342D">
      <w:pPr>
        <w:pStyle w:val="41"/>
        <w:bidi w:val="0"/>
        <w:rPr>
          <w:rFonts w:hint="default" w:eastAsia="宋体"/>
          <w:color w:val="auto"/>
          <w:lang w:val="en-US" w:eastAsia="zh-CN"/>
        </w:rPr>
      </w:pPr>
      <w:r>
        <w:rPr>
          <w:color w:val="auto"/>
        </w:rPr>
        <w:t>工程区不涉及野生保护动物栖息地，工程对生态环境的影响主要为工程占地对自然植被的影响，项目在生态敏感区内无永久占地及临时占地，根据《环境影响评价技术导则 生态影响》（HJ19-2022），</w:t>
      </w:r>
      <w:r>
        <w:rPr>
          <w:rFonts w:hint="eastAsia"/>
          <w:color w:val="auto"/>
        </w:rPr>
        <w:t>项目占地范围内不涉及生态保护红线</w:t>
      </w:r>
      <w:r>
        <w:rPr>
          <w:rFonts w:hint="eastAsia"/>
          <w:color w:val="auto"/>
          <w:lang w:eastAsia="zh-CN"/>
        </w:rPr>
        <w:t>，</w:t>
      </w:r>
      <w:r>
        <w:rPr>
          <w:color w:val="auto"/>
        </w:rPr>
        <w:t>本次评价范围以工程占地（风机</w:t>
      </w:r>
      <w:r>
        <w:rPr>
          <w:rFonts w:hint="eastAsia"/>
          <w:color w:val="auto"/>
          <w:lang w:val="en-US" w:eastAsia="zh-CN"/>
        </w:rPr>
        <w:t>基础</w:t>
      </w:r>
      <w:r>
        <w:rPr>
          <w:color w:val="auto"/>
        </w:rPr>
        <w:t>、</w:t>
      </w:r>
      <w:r>
        <w:rPr>
          <w:rFonts w:hint="eastAsia"/>
          <w:color w:val="auto"/>
          <w:lang w:val="en-US" w:eastAsia="zh-CN"/>
        </w:rPr>
        <w:t>风机平台、箱变、</w:t>
      </w:r>
      <w:r>
        <w:rPr>
          <w:color w:val="auto"/>
        </w:rPr>
        <w:t>集电线路）</w:t>
      </w:r>
      <w:r>
        <w:rPr>
          <w:rFonts w:hint="eastAsia"/>
          <w:color w:val="auto"/>
        </w:rPr>
        <w:t>工程占地范围外延300m范围，300m范围内涉及生态保护红线则外延1000m范围。升压站</w:t>
      </w:r>
      <w:r>
        <w:rPr>
          <w:rFonts w:hint="eastAsia"/>
          <w:color w:val="auto"/>
          <w:lang w:val="en-US" w:eastAsia="zh-CN"/>
        </w:rPr>
        <w:t>和架空线路不新增用地，</w:t>
      </w:r>
      <w:r>
        <w:rPr>
          <w:rFonts w:hint="eastAsia"/>
          <w:color w:val="auto"/>
        </w:rPr>
        <w:t>不设置评价范围</w:t>
      </w:r>
      <w:r>
        <w:rPr>
          <w:rFonts w:hint="eastAsia"/>
          <w:color w:val="auto"/>
          <w:lang w:eastAsia="zh-CN"/>
        </w:rPr>
        <w:t>，</w:t>
      </w:r>
      <w:r>
        <w:rPr>
          <w:rFonts w:hint="eastAsia"/>
          <w:color w:val="auto"/>
          <w:lang w:val="en-US" w:eastAsia="zh-CN"/>
        </w:rPr>
        <w:t>以引用西泽风电场一期调查内容为主。</w:t>
      </w:r>
    </w:p>
    <w:p w14:paraId="7A15C143">
      <w:pPr>
        <w:pStyle w:val="4"/>
        <w:bidi w:val="0"/>
        <w:rPr>
          <w:color w:val="auto"/>
        </w:rPr>
      </w:pPr>
      <w:r>
        <w:rPr>
          <w:rFonts w:hint="eastAsia"/>
          <w:color w:val="auto"/>
          <w:lang w:val="en-US" w:eastAsia="zh-CN"/>
        </w:rPr>
        <w:t>1.5</w:t>
      </w:r>
      <w:r>
        <w:rPr>
          <w:color w:val="auto"/>
        </w:rPr>
        <w:t>评价区环境特征</w:t>
      </w:r>
    </w:p>
    <w:p w14:paraId="4538B218">
      <w:pPr>
        <w:pStyle w:val="41"/>
        <w:bidi w:val="0"/>
        <w:rPr>
          <w:color w:val="auto"/>
        </w:rPr>
      </w:pPr>
      <w:r>
        <w:rPr>
          <w:rFonts w:hint="eastAsia"/>
          <w:color w:val="auto"/>
          <w:lang w:val="en-US" w:eastAsia="zh-CN"/>
        </w:rPr>
        <w:t>宣威市西泽风电场（二期）工程</w:t>
      </w:r>
      <w:r>
        <w:rPr>
          <w:color w:val="auto"/>
        </w:rPr>
        <w:t>位于云南东北部高原山区，属低中山、岩溶地貌，地形平缓开阔。风电场场地一般由宽厚、舒缓的山梁，浑圆山头及其附近缓坡组成。</w:t>
      </w:r>
    </w:p>
    <w:p w14:paraId="76FEB8ED">
      <w:pPr>
        <w:pStyle w:val="41"/>
        <w:bidi w:val="0"/>
        <w:rPr>
          <w:color w:val="auto"/>
        </w:rPr>
      </w:pPr>
      <w:r>
        <w:rPr>
          <w:color w:val="auto"/>
        </w:rPr>
        <w:t>评价区的植被以云南松林和灌丛等组成，具有明显的次生性质。工程建设区天然状态下，水土流失较轻，属轻度侵蚀区，其水土流失的主要形式是水力侵蚀。调查中未发现明显的风力侵蚀。工程占地区除局部有中度水土流失发生外，其他土地利用类型水土流失均不明显。工程区除部分的林地、灌木林地具有水土保持功能外，</w:t>
      </w:r>
      <w:r>
        <w:rPr>
          <w:rFonts w:hint="eastAsia"/>
          <w:color w:val="auto"/>
          <w:lang w:eastAsia="zh-CN"/>
        </w:rPr>
        <w:t>无其他</w:t>
      </w:r>
      <w:r>
        <w:rPr>
          <w:color w:val="auto"/>
        </w:rPr>
        <w:t>人为的水土保持设施。</w:t>
      </w:r>
    </w:p>
    <w:p w14:paraId="48FE2E4B">
      <w:pPr>
        <w:pStyle w:val="3"/>
        <w:bidi w:val="0"/>
        <w:rPr>
          <w:rFonts w:hint="default"/>
          <w:color w:val="auto"/>
          <w:lang w:val="en-US" w:eastAsia="zh-CN"/>
        </w:rPr>
      </w:pPr>
      <w:r>
        <w:rPr>
          <w:rFonts w:hint="eastAsia"/>
          <w:color w:val="auto"/>
          <w:lang w:val="en-US" w:eastAsia="zh-CN"/>
        </w:rPr>
        <w:t>1.6生态敏感区</w:t>
      </w:r>
    </w:p>
    <w:p w14:paraId="7F0D0AF9">
      <w:pPr>
        <w:pStyle w:val="41"/>
        <w:bidi w:val="0"/>
        <w:rPr>
          <w:rFonts w:hint="eastAsia"/>
          <w:color w:val="auto"/>
        </w:rPr>
      </w:pPr>
      <w:r>
        <w:rPr>
          <w:rFonts w:hint="eastAsia"/>
          <w:color w:val="auto"/>
        </w:rPr>
        <w:t>结合现场调查及查阅相关资料，本项目不涉及重要生境以及其他具有重要生态功能、对保护生物多样性具有重要意义的区域，本项目不涉及占用基本农田，</w:t>
      </w:r>
      <w:r>
        <w:rPr>
          <w:rFonts w:hint="eastAsia"/>
          <w:color w:val="auto"/>
          <w:lang w:val="en-US" w:eastAsia="zh-CN"/>
        </w:rPr>
        <w:t>仅</w:t>
      </w:r>
      <w:r>
        <w:rPr>
          <w:rFonts w:hint="eastAsia"/>
          <w:color w:val="auto"/>
        </w:rPr>
        <w:t>项目评价范围内</w:t>
      </w:r>
      <w:r>
        <w:rPr>
          <w:rFonts w:hint="eastAsia"/>
          <w:color w:val="auto"/>
          <w:lang w:val="en-US" w:eastAsia="zh-CN"/>
        </w:rPr>
        <w:t>涉及</w:t>
      </w:r>
      <w:r>
        <w:rPr>
          <w:rFonts w:hint="eastAsia"/>
          <w:color w:val="auto"/>
        </w:rPr>
        <w:t>生态保护红线。本项目线路</w:t>
      </w:r>
      <w:r>
        <w:rPr>
          <w:rFonts w:hint="eastAsia"/>
          <w:color w:val="auto"/>
          <w:lang w:eastAsia="zh-CN"/>
        </w:rPr>
        <w:t>与</w:t>
      </w:r>
      <w:r>
        <w:rPr>
          <w:rFonts w:hint="eastAsia"/>
          <w:color w:val="auto"/>
          <w:lang w:val="en-US" w:eastAsia="zh-CN"/>
        </w:rPr>
        <w:t>曲靖市</w:t>
      </w:r>
      <w:r>
        <w:rPr>
          <w:rFonts w:hint="eastAsia"/>
          <w:color w:val="auto"/>
        </w:rPr>
        <w:t>生态保护红线情况见下表，本项目新建线路与生态保护红线的相对位置关系图见</w:t>
      </w:r>
      <w:r>
        <w:rPr>
          <w:rFonts w:hint="eastAsia"/>
          <w:color w:val="auto"/>
          <w:lang w:val="en-US" w:eastAsia="zh-CN"/>
        </w:rPr>
        <w:t>附图15</w:t>
      </w:r>
      <w:r>
        <w:rPr>
          <w:rFonts w:hint="eastAsia"/>
          <w:color w:val="auto"/>
        </w:rPr>
        <w:t>。</w:t>
      </w:r>
    </w:p>
    <w:p w14:paraId="403E9FB5">
      <w:pPr>
        <w:pStyle w:val="42"/>
        <w:bidi w:val="0"/>
        <w:rPr>
          <w:rFonts w:hint="eastAsia"/>
          <w:color w:val="auto"/>
          <w:lang w:val="en-US" w:eastAsia="zh-CN"/>
        </w:rPr>
      </w:pPr>
      <w:r>
        <w:rPr>
          <w:rFonts w:hint="eastAsia"/>
          <w:color w:val="auto"/>
          <w:lang w:val="en-US" w:eastAsia="zh-CN"/>
        </w:rPr>
        <w:t>表1-2  项目与生态保护红线位置关系一览表</w:t>
      </w:r>
    </w:p>
    <w:tbl>
      <w:tblPr>
        <w:tblStyle w:val="21"/>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49"/>
        <w:gridCol w:w="914"/>
        <w:gridCol w:w="1601"/>
        <w:gridCol w:w="1229"/>
        <w:gridCol w:w="4028"/>
      </w:tblGrid>
      <w:tr w14:paraId="024612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9" w:type="dxa"/>
            <w:tcBorders>
              <w:tl2br w:val="nil"/>
              <w:tr2bl w:val="nil"/>
            </w:tcBorders>
            <w:vAlign w:val="center"/>
          </w:tcPr>
          <w:p w14:paraId="6E7A97AB">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序号</w:t>
            </w:r>
          </w:p>
        </w:tc>
        <w:tc>
          <w:tcPr>
            <w:tcW w:w="914" w:type="dxa"/>
            <w:tcBorders>
              <w:tl2br w:val="nil"/>
              <w:tr2bl w:val="nil"/>
            </w:tcBorders>
            <w:vAlign w:val="center"/>
          </w:tcPr>
          <w:p w14:paraId="6A4EFD94">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建设内容</w:t>
            </w:r>
          </w:p>
        </w:tc>
        <w:tc>
          <w:tcPr>
            <w:tcW w:w="1601" w:type="dxa"/>
            <w:tcBorders>
              <w:tl2br w:val="nil"/>
              <w:tr2bl w:val="nil"/>
            </w:tcBorders>
            <w:vAlign w:val="center"/>
          </w:tcPr>
          <w:p w14:paraId="04B047B5">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与生态保护红线位置关系</w:t>
            </w:r>
          </w:p>
        </w:tc>
        <w:tc>
          <w:tcPr>
            <w:tcW w:w="1229" w:type="dxa"/>
            <w:tcBorders>
              <w:tl2br w:val="nil"/>
              <w:tr2bl w:val="nil"/>
            </w:tcBorders>
            <w:vAlign w:val="center"/>
          </w:tcPr>
          <w:p w14:paraId="52BC4FC6">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生态保护红线类型</w:t>
            </w:r>
          </w:p>
        </w:tc>
        <w:tc>
          <w:tcPr>
            <w:tcW w:w="4028" w:type="dxa"/>
            <w:tcBorders>
              <w:tl2br w:val="nil"/>
              <w:tr2bl w:val="nil"/>
            </w:tcBorders>
            <w:vAlign w:val="center"/>
          </w:tcPr>
          <w:p w14:paraId="23133C9E">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影像图</w:t>
            </w:r>
          </w:p>
        </w:tc>
      </w:tr>
      <w:tr w14:paraId="6AE260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9" w:type="dxa"/>
            <w:tcBorders>
              <w:tl2br w:val="nil"/>
              <w:tr2bl w:val="nil"/>
            </w:tcBorders>
            <w:vAlign w:val="center"/>
          </w:tcPr>
          <w:p w14:paraId="43A8E635">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1</w:t>
            </w:r>
          </w:p>
        </w:tc>
        <w:tc>
          <w:tcPr>
            <w:tcW w:w="914" w:type="dxa"/>
            <w:tcBorders>
              <w:tl2br w:val="nil"/>
              <w:tr2bl w:val="nil"/>
            </w:tcBorders>
            <w:vAlign w:val="center"/>
          </w:tcPr>
          <w:p w14:paraId="011D1974">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ZB01风机</w:t>
            </w:r>
          </w:p>
        </w:tc>
        <w:tc>
          <w:tcPr>
            <w:tcW w:w="1601" w:type="dxa"/>
            <w:tcBorders>
              <w:tl2br w:val="nil"/>
              <w:tr2bl w:val="nil"/>
            </w:tcBorders>
            <w:vAlign w:val="center"/>
          </w:tcPr>
          <w:p w14:paraId="0C178EEC">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生态保护红线位于风机平台西侧260m</w:t>
            </w:r>
          </w:p>
        </w:tc>
        <w:tc>
          <w:tcPr>
            <w:tcW w:w="1229" w:type="dxa"/>
            <w:vMerge w:val="restart"/>
            <w:tcBorders>
              <w:tl2br w:val="nil"/>
              <w:tr2bl w:val="nil"/>
            </w:tcBorders>
            <w:vAlign w:val="center"/>
          </w:tcPr>
          <w:p w14:paraId="473DD3EC">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珠江上游及滇东南喀斯特地带水土保持</w:t>
            </w:r>
          </w:p>
        </w:tc>
        <w:tc>
          <w:tcPr>
            <w:tcW w:w="4028" w:type="dxa"/>
            <w:tcBorders>
              <w:tl2br w:val="nil"/>
              <w:tr2bl w:val="nil"/>
            </w:tcBorders>
            <w:vAlign w:val="center"/>
          </w:tcPr>
          <w:p w14:paraId="4446C7A9">
            <w:pPr>
              <w:pStyle w:val="34"/>
              <w:tabs>
                <w:tab w:val="left" w:pos="1389"/>
              </w:tabs>
              <w:bidi w:val="0"/>
              <w:jc w:val="center"/>
              <w:rPr>
                <w:color w:val="auto"/>
                <w:vertAlign w:val="baseline"/>
                <w:lang w:val="en-US" w:eastAsia="zh-CN"/>
              </w:rPr>
            </w:pPr>
            <w:r>
              <w:rPr>
                <w:color w:val="auto"/>
              </w:rPr>
              <w:drawing>
                <wp:inline distT="0" distB="0" distL="114300" distR="114300">
                  <wp:extent cx="2419350" cy="1875790"/>
                  <wp:effectExtent l="0" t="0" r="0" b="1016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44"/>
                          <a:srcRect t="16412"/>
                          <a:stretch>
                            <a:fillRect/>
                          </a:stretch>
                        </pic:blipFill>
                        <pic:spPr>
                          <a:xfrm>
                            <a:off x="0" y="0"/>
                            <a:ext cx="2419350" cy="1875790"/>
                          </a:xfrm>
                          <a:prstGeom prst="rect">
                            <a:avLst/>
                          </a:prstGeom>
                          <a:noFill/>
                          <a:ln>
                            <a:noFill/>
                          </a:ln>
                        </pic:spPr>
                      </pic:pic>
                    </a:graphicData>
                  </a:graphic>
                </wp:inline>
              </w:drawing>
            </w:r>
          </w:p>
        </w:tc>
      </w:tr>
      <w:tr w14:paraId="7050E3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9" w:type="dxa"/>
            <w:tcBorders>
              <w:tl2br w:val="nil"/>
              <w:tr2bl w:val="nil"/>
            </w:tcBorders>
            <w:vAlign w:val="center"/>
          </w:tcPr>
          <w:p w14:paraId="6B032A18">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2</w:t>
            </w:r>
          </w:p>
        </w:tc>
        <w:tc>
          <w:tcPr>
            <w:tcW w:w="914" w:type="dxa"/>
            <w:tcBorders>
              <w:tl2br w:val="nil"/>
              <w:tr2bl w:val="nil"/>
            </w:tcBorders>
            <w:vAlign w:val="center"/>
          </w:tcPr>
          <w:p w14:paraId="60B3CCB2">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新建进场道路</w:t>
            </w:r>
          </w:p>
        </w:tc>
        <w:tc>
          <w:tcPr>
            <w:tcW w:w="1601" w:type="dxa"/>
            <w:tcBorders>
              <w:tl2br w:val="nil"/>
              <w:tr2bl w:val="nil"/>
            </w:tcBorders>
            <w:vAlign w:val="center"/>
          </w:tcPr>
          <w:p w14:paraId="04A9E641">
            <w:pPr>
              <w:pStyle w:val="34"/>
              <w:tabs>
                <w:tab w:val="left" w:pos="1389"/>
              </w:tabs>
              <w:bidi w:val="0"/>
              <w:jc w:val="center"/>
              <w:rPr>
                <w:color w:val="auto"/>
                <w:vertAlign w:val="baseline"/>
                <w:lang w:val="en-US" w:eastAsia="zh-CN"/>
              </w:rPr>
            </w:pPr>
            <w:r>
              <w:rPr>
                <w:rFonts w:hint="eastAsia"/>
                <w:color w:val="auto"/>
                <w:vertAlign w:val="baseline"/>
                <w:lang w:val="en-US" w:eastAsia="zh-CN"/>
              </w:rPr>
              <w:t>生态保护红线位于新建临时道路南侧105m</w:t>
            </w:r>
          </w:p>
        </w:tc>
        <w:tc>
          <w:tcPr>
            <w:tcW w:w="1229" w:type="dxa"/>
            <w:vMerge w:val="continue"/>
            <w:tcBorders>
              <w:tl2br w:val="nil"/>
              <w:tr2bl w:val="nil"/>
            </w:tcBorders>
            <w:vAlign w:val="center"/>
          </w:tcPr>
          <w:p w14:paraId="23F32E90">
            <w:pPr>
              <w:pStyle w:val="34"/>
              <w:tabs>
                <w:tab w:val="left" w:pos="1389"/>
              </w:tabs>
              <w:bidi w:val="0"/>
              <w:jc w:val="center"/>
              <w:rPr>
                <w:color w:val="auto"/>
                <w:vertAlign w:val="baseline"/>
                <w:lang w:val="en-US" w:eastAsia="zh-CN"/>
              </w:rPr>
            </w:pPr>
          </w:p>
        </w:tc>
        <w:tc>
          <w:tcPr>
            <w:tcW w:w="4028" w:type="dxa"/>
            <w:tcBorders>
              <w:tl2br w:val="nil"/>
              <w:tr2bl w:val="nil"/>
            </w:tcBorders>
            <w:vAlign w:val="center"/>
          </w:tcPr>
          <w:p w14:paraId="5F66A3FA">
            <w:pPr>
              <w:pStyle w:val="34"/>
              <w:tabs>
                <w:tab w:val="left" w:pos="1389"/>
              </w:tabs>
              <w:bidi w:val="0"/>
              <w:jc w:val="center"/>
              <w:rPr>
                <w:color w:val="auto"/>
                <w:vertAlign w:val="baseline"/>
                <w:lang w:val="en-US" w:eastAsia="zh-CN"/>
              </w:rPr>
            </w:pPr>
            <w:r>
              <w:rPr>
                <w:color w:val="auto"/>
              </w:rPr>
              <w:drawing>
                <wp:inline distT="0" distB="0" distL="114300" distR="114300">
                  <wp:extent cx="2416810" cy="1423035"/>
                  <wp:effectExtent l="0" t="0" r="2540" b="571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45"/>
                          <a:srcRect t="8792" b="18235"/>
                          <a:stretch>
                            <a:fillRect/>
                          </a:stretch>
                        </pic:blipFill>
                        <pic:spPr>
                          <a:xfrm>
                            <a:off x="0" y="0"/>
                            <a:ext cx="2416810" cy="1423035"/>
                          </a:xfrm>
                          <a:prstGeom prst="rect">
                            <a:avLst/>
                          </a:prstGeom>
                          <a:noFill/>
                          <a:ln>
                            <a:noFill/>
                          </a:ln>
                        </pic:spPr>
                      </pic:pic>
                    </a:graphicData>
                  </a:graphic>
                </wp:inline>
              </w:drawing>
            </w:r>
          </w:p>
        </w:tc>
      </w:tr>
      <w:tr w14:paraId="5314372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9" w:type="dxa"/>
            <w:tcBorders>
              <w:tl2br w:val="nil"/>
              <w:tr2bl w:val="nil"/>
            </w:tcBorders>
            <w:vAlign w:val="center"/>
          </w:tcPr>
          <w:p w14:paraId="1F17D264">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3</w:t>
            </w:r>
          </w:p>
        </w:tc>
        <w:tc>
          <w:tcPr>
            <w:tcW w:w="914" w:type="dxa"/>
            <w:tcBorders>
              <w:tl2br w:val="nil"/>
              <w:tr2bl w:val="nil"/>
            </w:tcBorders>
            <w:vAlign w:val="center"/>
          </w:tcPr>
          <w:p w14:paraId="26E69CF8">
            <w:pPr>
              <w:pStyle w:val="34"/>
              <w:tabs>
                <w:tab w:val="left" w:pos="1389"/>
              </w:tabs>
              <w:bidi w:val="0"/>
              <w:jc w:val="center"/>
              <w:rPr>
                <w:rFonts w:hint="eastAsia"/>
                <w:color w:val="auto"/>
                <w:vertAlign w:val="baseline"/>
                <w:lang w:val="en-US" w:eastAsia="zh-CN"/>
              </w:rPr>
            </w:pPr>
            <w:r>
              <w:rPr>
                <w:rFonts w:hint="eastAsia"/>
                <w:color w:val="auto"/>
                <w:vertAlign w:val="baseline"/>
                <w:lang w:val="en-US" w:eastAsia="zh-CN"/>
              </w:rPr>
              <w:t>地埋</w:t>
            </w:r>
          </w:p>
          <w:p w14:paraId="3489D370">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电缆</w:t>
            </w:r>
          </w:p>
        </w:tc>
        <w:tc>
          <w:tcPr>
            <w:tcW w:w="1601" w:type="dxa"/>
            <w:tcBorders>
              <w:tl2br w:val="nil"/>
              <w:tr2bl w:val="nil"/>
            </w:tcBorders>
            <w:vAlign w:val="center"/>
          </w:tcPr>
          <w:p w14:paraId="6CFEE28B">
            <w:pPr>
              <w:pStyle w:val="34"/>
              <w:tabs>
                <w:tab w:val="left" w:pos="1389"/>
              </w:tabs>
              <w:bidi w:val="0"/>
              <w:jc w:val="center"/>
              <w:rPr>
                <w:color w:val="auto"/>
                <w:vertAlign w:val="baseline"/>
                <w:lang w:val="en-US" w:eastAsia="zh-CN"/>
              </w:rPr>
            </w:pPr>
            <w:r>
              <w:rPr>
                <w:rFonts w:hint="eastAsia"/>
                <w:color w:val="auto"/>
                <w:vertAlign w:val="baseline"/>
                <w:lang w:val="en-US" w:eastAsia="zh-CN"/>
              </w:rPr>
              <w:t>生态保护红线位于地埋电缆西侧4.0m</w:t>
            </w:r>
          </w:p>
        </w:tc>
        <w:tc>
          <w:tcPr>
            <w:tcW w:w="1229" w:type="dxa"/>
            <w:vMerge w:val="continue"/>
            <w:tcBorders>
              <w:tl2br w:val="nil"/>
              <w:tr2bl w:val="nil"/>
            </w:tcBorders>
            <w:vAlign w:val="center"/>
          </w:tcPr>
          <w:p w14:paraId="200D6028">
            <w:pPr>
              <w:pStyle w:val="34"/>
              <w:tabs>
                <w:tab w:val="left" w:pos="1389"/>
              </w:tabs>
              <w:bidi w:val="0"/>
              <w:jc w:val="center"/>
              <w:rPr>
                <w:color w:val="auto"/>
                <w:vertAlign w:val="baseline"/>
                <w:lang w:val="en-US" w:eastAsia="zh-CN"/>
              </w:rPr>
            </w:pPr>
          </w:p>
        </w:tc>
        <w:tc>
          <w:tcPr>
            <w:tcW w:w="4028" w:type="dxa"/>
            <w:tcBorders>
              <w:tl2br w:val="nil"/>
              <w:tr2bl w:val="nil"/>
            </w:tcBorders>
            <w:vAlign w:val="center"/>
          </w:tcPr>
          <w:p w14:paraId="47001060">
            <w:pPr>
              <w:pStyle w:val="34"/>
              <w:tabs>
                <w:tab w:val="left" w:pos="1389"/>
              </w:tabs>
              <w:bidi w:val="0"/>
              <w:jc w:val="center"/>
              <w:rPr>
                <w:color w:val="auto"/>
                <w:vertAlign w:val="baseline"/>
                <w:lang w:val="en-US" w:eastAsia="zh-CN"/>
              </w:rPr>
            </w:pPr>
            <w:r>
              <w:rPr>
                <w:color w:val="auto"/>
              </w:rPr>
              <w:drawing>
                <wp:inline distT="0" distB="0" distL="114300" distR="114300">
                  <wp:extent cx="2417445" cy="2305685"/>
                  <wp:effectExtent l="0" t="0" r="1905" b="18415"/>
                  <wp:docPr id="3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
                          <pic:cNvPicPr>
                            <a:picLocks noChangeAspect="1"/>
                          </pic:cNvPicPr>
                        </pic:nvPicPr>
                        <pic:blipFill>
                          <a:blip r:embed="rId46"/>
                          <a:stretch>
                            <a:fillRect/>
                          </a:stretch>
                        </pic:blipFill>
                        <pic:spPr>
                          <a:xfrm>
                            <a:off x="0" y="0"/>
                            <a:ext cx="2417445" cy="2305685"/>
                          </a:xfrm>
                          <a:prstGeom prst="rect">
                            <a:avLst/>
                          </a:prstGeom>
                          <a:noFill/>
                          <a:ln>
                            <a:noFill/>
                          </a:ln>
                        </pic:spPr>
                      </pic:pic>
                    </a:graphicData>
                  </a:graphic>
                </wp:inline>
              </w:drawing>
            </w:r>
          </w:p>
        </w:tc>
      </w:tr>
      <w:tr w14:paraId="1C76D6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9" w:type="dxa"/>
            <w:tcBorders>
              <w:tl2br w:val="nil"/>
              <w:tr2bl w:val="nil"/>
            </w:tcBorders>
            <w:vAlign w:val="center"/>
          </w:tcPr>
          <w:p w14:paraId="3F065895">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4</w:t>
            </w:r>
          </w:p>
        </w:tc>
        <w:tc>
          <w:tcPr>
            <w:tcW w:w="914" w:type="dxa"/>
            <w:vMerge w:val="restart"/>
            <w:tcBorders>
              <w:tl2br w:val="nil"/>
              <w:tr2bl w:val="nil"/>
            </w:tcBorders>
            <w:vAlign w:val="center"/>
          </w:tcPr>
          <w:p w14:paraId="7C5F6BAD">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架空线路</w:t>
            </w:r>
          </w:p>
        </w:tc>
        <w:tc>
          <w:tcPr>
            <w:tcW w:w="1601" w:type="dxa"/>
            <w:tcBorders>
              <w:tl2br w:val="nil"/>
              <w:tr2bl w:val="nil"/>
            </w:tcBorders>
            <w:vAlign w:val="center"/>
          </w:tcPr>
          <w:p w14:paraId="4A94C141">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项目改造的架空线路在沟边村跨越生态保护红线，线路原有塔基不占用生态保护红线</w:t>
            </w:r>
          </w:p>
        </w:tc>
        <w:tc>
          <w:tcPr>
            <w:tcW w:w="1229" w:type="dxa"/>
            <w:vMerge w:val="continue"/>
            <w:tcBorders>
              <w:tl2br w:val="nil"/>
              <w:tr2bl w:val="nil"/>
            </w:tcBorders>
            <w:vAlign w:val="center"/>
          </w:tcPr>
          <w:p w14:paraId="75A3DA9B">
            <w:pPr>
              <w:pStyle w:val="34"/>
              <w:tabs>
                <w:tab w:val="left" w:pos="1389"/>
              </w:tabs>
              <w:bidi w:val="0"/>
              <w:jc w:val="center"/>
              <w:rPr>
                <w:color w:val="auto"/>
                <w:vertAlign w:val="baseline"/>
                <w:lang w:val="en-US" w:eastAsia="zh-CN"/>
              </w:rPr>
            </w:pPr>
          </w:p>
        </w:tc>
        <w:tc>
          <w:tcPr>
            <w:tcW w:w="4028" w:type="dxa"/>
            <w:tcBorders>
              <w:tl2br w:val="nil"/>
              <w:tr2bl w:val="nil"/>
            </w:tcBorders>
            <w:vAlign w:val="center"/>
          </w:tcPr>
          <w:p w14:paraId="23882C77">
            <w:pPr>
              <w:pStyle w:val="34"/>
              <w:tabs>
                <w:tab w:val="left" w:pos="1389"/>
              </w:tabs>
              <w:bidi w:val="0"/>
              <w:jc w:val="center"/>
              <w:rPr>
                <w:color w:val="auto"/>
              </w:rPr>
            </w:pPr>
            <w:r>
              <w:rPr>
                <w:color w:val="auto"/>
              </w:rPr>
              <w:drawing>
                <wp:inline distT="0" distB="0" distL="114300" distR="114300">
                  <wp:extent cx="2417445" cy="1761490"/>
                  <wp:effectExtent l="0" t="0" r="1905" b="10160"/>
                  <wp:docPr id="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1"/>
                          <pic:cNvPicPr>
                            <a:picLocks noChangeAspect="1"/>
                          </pic:cNvPicPr>
                        </pic:nvPicPr>
                        <pic:blipFill>
                          <a:blip r:embed="rId47"/>
                          <a:stretch>
                            <a:fillRect/>
                          </a:stretch>
                        </pic:blipFill>
                        <pic:spPr>
                          <a:xfrm>
                            <a:off x="0" y="0"/>
                            <a:ext cx="2417445" cy="1761490"/>
                          </a:xfrm>
                          <a:prstGeom prst="rect">
                            <a:avLst/>
                          </a:prstGeom>
                          <a:noFill/>
                          <a:ln>
                            <a:noFill/>
                          </a:ln>
                        </pic:spPr>
                      </pic:pic>
                    </a:graphicData>
                  </a:graphic>
                </wp:inline>
              </w:drawing>
            </w:r>
          </w:p>
        </w:tc>
      </w:tr>
      <w:tr w14:paraId="290267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49" w:type="dxa"/>
            <w:tcBorders>
              <w:tl2br w:val="nil"/>
              <w:tr2bl w:val="nil"/>
            </w:tcBorders>
            <w:vAlign w:val="center"/>
          </w:tcPr>
          <w:p w14:paraId="532B4379">
            <w:pPr>
              <w:pStyle w:val="34"/>
              <w:tabs>
                <w:tab w:val="left" w:pos="1389"/>
              </w:tabs>
              <w:bidi w:val="0"/>
              <w:jc w:val="center"/>
              <w:rPr>
                <w:rFonts w:hint="default"/>
                <w:color w:val="auto"/>
                <w:vertAlign w:val="baseline"/>
                <w:lang w:val="en-US" w:eastAsia="zh-CN"/>
              </w:rPr>
            </w:pPr>
            <w:r>
              <w:rPr>
                <w:rFonts w:hint="eastAsia"/>
                <w:color w:val="auto"/>
                <w:vertAlign w:val="baseline"/>
                <w:lang w:val="en-US" w:eastAsia="zh-CN"/>
              </w:rPr>
              <w:t>5</w:t>
            </w:r>
          </w:p>
        </w:tc>
        <w:tc>
          <w:tcPr>
            <w:tcW w:w="914" w:type="dxa"/>
            <w:vMerge w:val="continue"/>
            <w:tcBorders>
              <w:tl2br w:val="nil"/>
              <w:tr2bl w:val="nil"/>
            </w:tcBorders>
            <w:vAlign w:val="center"/>
          </w:tcPr>
          <w:p w14:paraId="34E41686">
            <w:pPr>
              <w:pStyle w:val="34"/>
              <w:tabs>
                <w:tab w:val="left" w:pos="1389"/>
              </w:tabs>
              <w:bidi w:val="0"/>
              <w:jc w:val="center"/>
              <w:rPr>
                <w:rFonts w:hint="eastAsia"/>
                <w:color w:val="auto"/>
                <w:vertAlign w:val="baseline"/>
                <w:lang w:val="en-US" w:eastAsia="zh-CN"/>
              </w:rPr>
            </w:pPr>
          </w:p>
        </w:tc>
        <w:tc>
          <w:tcPr>
            <w:tcW w:w="1601" w:type="dxa"/>
            <w:tcBorders>
              <w:tl2br w:val="nil"/>
              <w:tr2bl w:val="nil"/>
            </w:tcBorders>
            <w:vAlign w:val="center"/>
          </w:tcPr>
          <w:p w14:paraId="6C414DCC">
            <w:pPr>
              <w:pStyle w:val="34"/>
              <w:tabs>
                <w:tab w:val="left" w:pos="1389"/>
              </w:tabs>
              <w:bidi w:val="0"/>
              <w:jc w:val="center"/>
              <w:rPr>
                <w:rFonts w:hint="eastAsia"/>
                <w:color w:val="auto"/>
                <w:vertAlign w:val="baseline"/>
                <w:lang w:val="en-US" w:eastAsia="zh-CN"/>
              </w:rPr>
            </w:pPr>
            <w:r>
              <w:rPr>
                <w:rFonts w:hint="eastAsia"/>
                <w:color w:val="auto"/>
                <w:vertAlign w:val="baseline"/>
                <w:lang w:val="en-US" w:eastAsia="zh-CN"/>
              </w:rPr>
              <w:t>项目改造的架空线路在秧草麦地跨越生态保护红线，线路原有塔基不占用生态保护红线</w:t>
            </w:r>
          </w:p>
        </w:tc>
        <w:tc>
          <w:tcPr>
            <w:tcW w:w="1229" w:type="dxa"/>
            <w:vMerge w:val="continue"/>
            <w:tcBorders>
              <w:tl2br w:val="nil"/>
              <w:tr2bl w:val="nil"/>
            </w:tcBorders>
            <w:vAlign w:val="center"/>
          </w:tcPr>
          <w:p w14:paraId="6E29AD9D">
            <w:pPr>
              <w:pStyle w:val="34"/>
              <w:tabs>
                <w:tab w:val="left" w:pos="1389"/>
              </w:tabs>
              <w:bidi w:val="0"/>
              <w:jc w:val="center"/>
              <w:rPr>
                <w:color w:val="auto"/>
                <w:vertAlign w:val="baseline"/>
                <w:lang w:val="en-US" w:eastAsia="zh-CN"/>
              </w:rPr>
            </w:pPr>
          </w:p>
        </w:tc>
        <w:tc>
          <w:tcPr>
            <w:tcW w:w="4028" w:type="dxa"/>
            <w:tcBorders>
              <w:tl2br w:val="nil"/>
              <w:tr2bl w:val="nil"/>
            </w:tcBorders>
            <w:vAlign w:val="center"/>
          </w:tcPr>
          <w:p w14:paraId="499BD23A">
            <w:pPr>
              <w:pStyle w:val="34"/>
              <w:tabs>
                <w:tab w:val="left" w:pos="1389"/>
              </w:tabs>
              <w:bidi w:val="0"/>
              <w:jc w:val="center"/>
              <w:rPr>
                <w:color w:val="auto"/>
              </w:rPr>
            </w:pPr>
            <w:r>
              <w:rPr>
                <w:color w:val="auto"/>
              </w:rPr>
              <w:drawing>
                <wp:inline distT="0" distB="0" distL="114300" distR="114300">
                  <wp:extent cx="2419985" cy="1710690"/>
                  <wp:effectExtent l="0" t="0" r="18415" b="3810"/>
                  <wp:docPr id="4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
                          <pic:cNvPicPr>
                            <a:picLocks noChangeAspect="1"/>
                          </pic:cNvPicPr>
                        </pic:nvPicPr>
                        <pic:blipFill>
                          <a:blip r:embed="rId48"/>
                          <a:stretch>
                            <a:fillRect/>
                          </a:stretch>
                        </pic:blipFill>
                        <pic:spPr>
                          <a:xfrm>
                            <a:off x="0" y="0"/>
                            <a:ext cx="2419985" cy="1710690"/>
                          </a:xfrm>
                          <a:prstGeom prst="rect">
                            <a:avLst/>
                          </a:prstGeom>
                          <a:noFill/>
                          <a:ln>
                            <a:noFill/>
                          </a:ln>
                        </pic:spPr>
                      </pic:pic>
                    </a:graphicData>
                  </a:graphic>
                </wp:inline>
              </w:drawing>
            </w:r>
          </w:p>
        </w:tc>
      </w:tr>
    </w:tbl>
    <w:p w14:paraId="626B34A0">
      <w:pPr>
        <w:pStyle w:val="42"/>
        <w:bidi w:val="0"/>
        <w:rPr>
          <w:rFonts w:hint="default"/>
          <w:color w:val="auto"/>
          <w:lang w:val="en-US" w:eastAsia="zh-CN"/>
        </w:rPr>
        <w:sectPr>
          <w:footerReference r:id="rId1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32A3F363">
      <w:pPr>
        <w:pStyle w:val="3"/>
        <w:bidi w:val="0"/>
        <w:rPr>
          <w:rFonts w:hint="default"/>
          <w:sz w:val="32"/>
          <w:szCs w:val="32"/>
          <w:lang w:val="en-US" w:eastAsia="zh-CN"/>
        </w:rPr>
      </w:pPr>
      <w:bookmarkStart w:id="59" w:name="_Toc732"/>
      <w:bookmarkStart w:id="60" w:name="_Toc3480"/>
      <w:r>
        <w:rPr>
          <w:rFonts w:hint="eastAsia"/>
          <w:sz w:val="32"/>
          <w:szCs w:val="32"/>
          <w:lang w:val="en-US" w:eastAsia="zh-CN"/>
        </w:rPr>
        <w:t>2.现状调查与评价</w:t>
      </w:r>
      <w:bookmarkEnd w:id="59"/>
    </w:p>
    <w:p w14:paraId="263C3724">
      <w:pPr>
        <w:pStyle w:val="41"/>
        <w:bidi w:val="0"/>
        <w:rPr>
          <w:rFonts w:hint="default"/>
          <w:color w:val="auto"/>
          <w:lang w:val="en-US" w:eastAsia="zh-CN"/>
        </w:rPr>
      </w:pPr>
      <w:r>
        <w:rPr>
          <w:rFonts w:hint="eastAsia"/>
          <w:color w:val="auto"/>
          <w:lang w:val="en-US" w:eastAsia="zh-CN"/>
        </w:rPr>
        <w:t>本项目新建4台风机，配套新建13.1km地埋电缆和346m进场道路，项目依托西泽风电场一期B片区架空线路塔杆，架空线路段进场道路依托西泽风电场一期原有进场道路，线路牵张采用车载牵张，不新增占地。升压站扩建工程在现有升压站站界内占地建设，不新增占地。因此项目重点调查风机区、新建道路区、地埋电缆区的生态环境现状，架空线路段和升压站以收集西泽风电场一期资料为主。</w:t>
      </w:r>
    </w:p>
    <w:p w14:paraId="5D9B16FD">
      <w:pPr>
        <w:pStyle w:val="3"/>
        <w:bidi w:val="0"/>
        <w:rPr>
          <w:rFonts w:hint="eastAsia"/>
          <w:color w:val="auto"/>
          <w:lang w:val="en-US" w:eastAsia="zh-CN"/>
        </w:rPr>
      </w:pPr>
      <w:r>
        <w:rPr>
          <w:rFonts w:hint="eastAsia"/>
          <w:color w:val="auto"/>
          <w:lang w:val="en-US" w:eastAsia="zh-CN"/>
        </w:rPr>
        <w:t>2.1评价区土地利用现状</w:t>
      </w:r>
      <w:bookmarkEnd w:id="60"/>
    </w:p>
    <w:p w14:paraId="577BC82F">
      <w:pPr>
        <w:pStyle w:val="41"/>
        <w:bidi w:val="0"/>
        <w:rPr>
          <w:color w:val="auto"/>
        </w:rPr>
      </w:pPr>
      <w:r>
        <w:rPr>
          <w:color w:val="auto"/>
        </w:rPr>
        <w:t>按照中华人民共和</w:t>
      </w:r>
      <w:r>
        <w:rPr>
          <w:rFonts w:hint="eastAsia"/>
          <w:color w:val="auto"/>
          <w:lang w:val="en-US" w:eastAsia="zh-CN"/>
        </w:rPr>
        <w:t>国</w:t>
      </w:r>
      <w:r>
        <w:rPr>
          <w:color w:val="auto"/>
        </w:rPr>
        <w:t>国</w:t>
      </w:r>
      <w:r>
        <w:rPr>
          <w:rFonts w:hint="eastAsia"/>
          <w:color w:val="auto"/>
        </w:rPr>
        <w:t>土地利用现状分类应按照《土地利用现状分类（GBT 21010-2017）》</w:t>
      </w:r>
      <w:r>
        <w:rPr>
          <w:color w:val="auto"/>
        </w:rPr>
        <w:t>以</w:t>
      </w:r>
      <w:r>
        <w:rPr>
          <w:rFonts w:hint="eastAsia"/>
          <w:color w:val="auto"/>
        </w:rPr>
        <w:t>二级</w:t>
      </w:r>
      <w:r>
        <w:rPr>
          <w:color w:val="auto"/>
        </w:rPr>
        <w:t>分类系统为单元，结合评价区的实际情况和遥感判读的精度，评价区主要土地利用类型包括</w:t>
      </w:r>
      <w:r>
        <w:rPr>
          <w:rFonts w:hint="eastAsia"/>
          <w:color w:val="auto"/>
        </w:rPr>
        <w:t>耕地</w:t>
      </w:r>
      <w:r>
        <w:rPr>
          <w:color w:val="auto"/>
        </w:rPr>
        <w:t>、林地、</w:t>
      </w:r>
      <w:r>
        <w:rPr>
          <w:rFonts w:hint="eastAsia"/>
          <w:color w:val="auto"/>
        </w:rPr>
        <w:t>水域及水利设施用地</w:t>
      </w:r>
      <w:r>
        <w:rPr>
          <w:color w:val="auto"/>
        </w:rPr>
        <w:t>、</w:t>
      </w:r>
      <w:r>
        <w:rPr>
          <w:rFonts w:hint="eastAsia"/>
          <w:color w:val="auto"/>
        </w:rPr>
        <w:t>住宅用地</w:t>
      </w:r>
      <w:r>
        <w:rPr>
          <w:color w:val="auto"/>
        </w:rPr>
        <w:t>、交通运输用地等</w:t>
      </w:r>
      <w:r>
        <w:rPr>
          <w:rFonts w:hint="eastAsia"/>
          <w:color w:val="auto"/>
          <w:lang w:val="en-US" w:eastAsia="zh-CN"/>
        </w:rPr>
        <w:t>9</w:t>
      </w:r>
      <w:r>
        <w:rPr>
          <w:color w:val="auto"/>
        </w:rPr>
        <w:t>类。</w:t>
      </w:r>
    </w:p>
    <w:p w14:paraId="49A69B03">
      <w:pPr>
        <w:pStyle w:val="42"/>
        <w:bidi w:val="0"/>
        <w:rPr>
          <w:color w:val="auto"/>
        </w:rPr>
      </w:pPr>
      <w:r>
        <w:rPr>
          <w:color w:val="auto"/>
        </w:rPr>
        <w:t>表</w:t>
      </w:r>
      <w:r>
        <w:rPr>
          <w:rFonts w:hint="eastAsia"/>
          <w:color w:val="auto"/>
          <w:lang w:val="en-US" w:eastAsia="zh-CN"/>
        </w:rPr>
        <w:t>2</w:t>
      </w:r>
      <w:r>
        <w:rPr>
          <w:color w:val="auto"/>
        </w:rPr>
        <w:t>-1  评价区土地利用现状表  单位：hm</w:t>
      </w:r>
      <w:r>
        <w:rPr>
          <w:color w:val="auto"/>
          <w:vertAlign w:val="superscript"/>
        </w:rPr>
        <w:t>2</w:t>
      </w:r>
    </w:p>
    <w:tbl>
      <w:tblPr>
        <w:tblStyle w:val="20"/>
        <w:tblW w:w="8778" w:type="dxa"/>
        <w:tblInd w:w="93"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2422"/>
        <w:gridCol w:w="1728"/>
        <w:gridCol w:w="2206"/>
        <w:gridCol w:w="2422"/>
      </w:tblGrid>
      <w:tr w14:paraId="72284E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1" w:hRule="atLeast"/>
        </w:trPr>
        <w:tc>
          <w:tcPr>
            <w:tcW w:w="4150" w:type="dxa"/>
            <w:gridSpan w:val="2"/>
            <w:tcBorders>
              <w:tl2br w:val="nil"/>
              <w:tr2bl w:val="nil"/>
            </w:tcBorders>
            <w:shd w:val="clear" w:color="auto" w:fill="auto"/>
            <w:vAlign w:val="center"/>
          </w:tcPr>
          <w:p w14:paraId="08088913">
            <w:pPr>
              <w:pStyle w:val="34"/>
              <w:tabs>
                <w:tab w:val="left" w:pos="1389"/>
              </w:tabs>
              <w:bidi w:val="0"/>
              <w:rPr>
                <w:rFonts w:hint="eastAsia"/>
                <w:color w:val="auto"/>
              </w:rPr>
            </w:pPr>
            <w:r>
              <w:rPr>
                <w:rFonts w:hint="eastAsia"/>
                <w:color w:val="auto"/>
                <w:lang w:val="en-US" w:eastAsia="zh-CN"/>
              </w:rPr>
              <w:t>地类</w:t>
            </w:r>
          </w:p>
        </w:tc>
        <w:tc>
          <w:tcPr>
            <w:tcW w:w="2206" w:type="dxa"/>
            <w:vMerge w:val="restart"/>
            <w:tcBorders>
              <w:tl2br w:val="nil"/>
              <w:tr2bl w:val="nil"/>
            </w:tcBorders>
            <w:shd w:val="clear" w:color="auto" w:fill="auto"/>
            <w:noWrap/>
            <w:vAlign w:val="center"/>
          </w:tcPr>
          <w:p w14:paraId="373E7C26">
            <w:pPr>
              <w:pStyle w:val="34"/>
              <w:tabs>
                <w:tab w:val="left" w:pos="1389"/>
              </w:tabs>
              <w:bidi w:val="0"/>
              <w:rPr>
                <w:rFonts w:hint="eastAsia"/>
                <w:color w:val="auto"/>
              </w:rPr>
            </w:pPr>
            <w:r>
              <w:rPr>
                <w:rFonts w:hint="eastAsia"/>
                <w:color w:val="auto"/>
                <w:lang w:val="en-US" w:eastAsia="zh-CN"/>
              </w:rPr>
              <w:t>面积</w:t>
            </w:r>
          </w:p>
        </w:tc>
        <w:tc>
          <w:tcPr>
            <w:tcW w:w="2422" w:type="dxa"/>
            <w:vMerge w:val="restart"/>
            <w:tcBorders>
              <w:tl2br w:val="nil"/>
              <w:tr2bl w:val="nil"/>
            </w:tcBorders>
            <w:shd w:val="clear" w:color="auto" w:fill="auto"/>
            <w:vAlign w:val="center"/>
          </w:tcPr>
          <w:p w14:paraId="1B991581">
            <w:pPr>
              <w:pStyle w:val="34"/>
              <w:tabs>
                <w:tab w:val="left" w:pos="1389"/>
              </w:tabs>
              <w:bidi w:val="0"/>
              <w:rPr>
                <w:rFonts w:hint="eastAsia"/>
                <w:color w:val="auto"/>
              </w:rPr>
            </w:pPr>
            <w:r>
              <w:rPr>
                <w:rFonts w:hint="eastAsia"/>
                <w:color w:val="auto"/>
                <w:lang w:val="en-US" w:eastAsia="zh-CN"/>
              </w:rPr>
              <w:t>占评价区比例(%)</w:t>
            </w:r>
          </w:p>
        </w:tc>
      </w:tr>
      <w:tr w14:paraId="606341B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2422" w:type="dxa"/>
            <w:tcBorders>
              <w:tl2br w:val="nil"/>
              <w:tr2bl w:val="nil"/>
            </w:tcBorders>
            <w:shd w:val="clear" w:color="auto" w:fill="auto"/>
            <w:vAlign w:val="center"/>
          </w:tcPr>
          <w:p w14:paraId="6ADF9D16">
            <w:pPr>
              <w:pStyle w:val="34"/>
              <w:tabs>
                <w:tab w:val="left" w:pos="1389"/>
              </w:tabs>
              <w:bidi w:val="0"/>
              <w:rPr>
                <w:rFonts w:hint="eastAsia"/>
                <w:color w:val="auto"/>
              </w:rPr>
            </w:pPr>
            <w:r>
              <w:rPr>
                <w:rFonts w:hint="eastAsia"/>
                <w:color w:val="auto"/>
                <w:lang w:val="en-US" w:eastAsia="zh-CN"/>
              </w:rPr>
              <w:t>一级</w:t>
            </w:r>
          </w:p>
        </w:tc>
        <w:tc>
          <w:tcPr>
            <w:tcW w:w="1728" w:type="dxa"/>
            <w:tcBorders>
              <w:tl2br w:val="nil"/>
              <w:tr2bl w:val="nil"/>
            </w:tcBorders>
            <w:shd w:val="clear" w:color="auto" w:fill="auto"/>
            <w:vAlign w:val="center"/>
          </w:tcPr>
          <w:p w14:paraId="7958D4C2">
            <w:pPr>
              <w:pStyle w:val="34"/>
              <w:tabs>
                <w:tab w:val="left" w:pos="1389"/>
              </w:tabs>
              <w:bidi w:val="0"/>
              <w:rPr>
                <w:rFonts w:hint="eastAsia"/>
                <w:color w:val="auto"/>
              </w:rPr>
            </w:pPr>
            <w:r>
              <w:rPr>
                <w:rFonts w:hint="eastAsia"/>
                <w:color w:val="auto"/>
                <w:lang w:val="en-US" w:eastAsia="zh-CN"/>
              </w:rPr>
              <w:t>二级</w:t>
            </w:r>
          </w:p>
        </w:tc>
        <w:tc>
          <w:tcPr>
            <w:tcW w:w="2206" w:type="dxa"/>
            <w:vMerge w:val="continue"/>
            <w:tcBorders>
              <w:tl2br w:val="nil"/>
              <w:tr2bl w:val="nil"/>
            </w:tcBorders>
            <w:shd w:val="clear" w:color="auto" w:fill="auto"/>
            <w:noWrap/>
            <w:vAlign w:val="center"/>
          </w:tcPr>
          <w:p w14:paraId="5B3C0630">
            <w:pPr>
              <w:pStyle w:val="34"/>
              <w:tabs>
                <w:tab w:val="left" w:pos="1389"/>
              </w:tabs>
              <w:bidi w:val="0"/>
              <w:rPr>
                <w:rFonts w:hint="eastAsia"/>
                <w:color w:val="auto"/>
              </w:rPr>
            </w:pPr>
          </w:p>
        </w:tc>
        <w:tc>
          <w:tcPr>
            <w:tcW w:w="2422" w:type="dxa"/>
            <w:vMerge w:val="continue"/>
            <w:tcBorders>
              <w:tl2br w:val="nil"/>
              <w:tr2bl w:val="nil"/>
            </w:tcBorders>
            <w:shd w:val="clear" w:color="auto" w:fill="auto"/>
            <w:vAlign w:val="center"/>
          </w:tcPr>
          <w:p w14:paraId="488C8B4C">
            <w:pPr>
              <w:pStyle w:val="34"/>
              <w:tabs>
                <w:tab w:val="left" w:pos="1389"/>
              </w:tabs>
              <w:bidi w:val="0"/>
              <w:rPr>
                <w:rFonts w:hint="eastAsia"/>
                <w:color w:val="auto"/>
              </w:rPr>
            </w:pPr>
          </w:p>
        </w:tc>
      </w:tr>
      <w:tr w14:paraId="1934065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422" w:type="dxa"/>
            <w:vMerge w:val="restart"/>
            <w:tcBorders>
              <w:tl2br w:val="nil"/>
              <w:tr2bl w:val="nil"/>
            </w:tcBorders>
            <w:shd w:val="clear" w:color="auto" w:fill="auto"/>
            <w:vAlign w:val="center"/>
          </w:tcPr>
          <w:p w14:paraId="0674CC29">
            <w:pPr>
              <w:pStyle w:val="34"/>
              <w:tabs>
                <w:tab w:val="left" w:pos="1389"/>
              </w:tabs>
              <w:bidi w:val="0"/>
              <w:rPr>
                <w:rFonts w:hint="eastAsia"/>
                <w:color w:val="auto"/>
              </w:rPr>
            </w:pPr>
            <w:r>
              <w:rPr>
                <w:rFonts w:hint="eastAsia"/>
                <w:color w:val="auto"/>
                <w:lang w:val="en-US" w:eastAsia="zh-CN"/>
              </w:rPr>
              <w:t>林地</w:t>
            </w:r>
          </w:p>
        </w:tc>
        <w:tc>
          <w:tcPr>
            <w:tcW w:w="1728" w:type="dxa"/>
            <w:tcBorders>
              <w:tl2br w:val="nil"/>
              <w:tr2bl w:val="nil"/>
            </w:tcBorders>
            <w:shd w:val="clear" w:color="auto" w:fill="auto"/>
            <w:vAlign w:val="center"/>
          </w:tcPr>
          <w:p w14:paraId="57C2C75A">
            <w:pPr>
              <w:pStyle w:val="34"/>
              <w:tabs>
                <w:tab w:val="left" w:pos="1389"/>
              </w:tabs>
              <w:bidi w:val="0"/>
              <w:rPr>
                <w:rFonts w:hint="eastAsia"/>
                <w:color w:val="auto"/>
              </w:rPr>
            </w:pPr>
            <w:r>
              <w:rPr>
                <w:rFonts w:hint="eastAsia"/>
                <w:color w:val="auto"/>
                <w:lang w:val="en-US" w:eastAsia="zh-CN"/>
              </w:rPr>
              <w:t>乔木林地</w:t>
            </w:r>
          </w:p>
        </w:tc>
        <w:tc>
          <w:tcPr>
            <w:tcW w:w="2206" w:type="dxa"/>
            <w:tcBorders>
              <w:tl2br w:val="nil"/>
              <w:tr2bl w:val="nil"/>
            </w:tcBorders>
            <w:shd w:val="clear" w:color="auto" w:fill="auto"/>
            <w:noWrap/>
            <w:vAlign w:val="center"/>
          </w:tcPr>
          <w:p w14:paraId="37FEB7FA">
            <w:pPr>
              <w:pStyle w:val="34"/>
              <w:tabs>
                <w:tab w:val="left" w:pos="1389"/>
              </w:tabs>
              <w:bidi w:val="0"/>
              <w:rPr>
                <w:rFonts w:hint="eastAsia"/>
                <w:color w:val="auto"/>
              </w:rPr>
            </w:pPr>
            <w:r>
              <w:rPr>
                <w:rFonts w:hint="eastAsia"/>
                <w:color w:val="auto"/>
                <w:lang w:val="en-US" w:eastAsia="zh-CN"/>
              </w:rPr>
              <w:t>756.4790</w:t>
            </w:r>
          </w:p>
        </w:tc>
        <w:tc>
          <w:tcPr>
            <w:tcW w:w="0" w:type="auto"/>
            <w:tcBorders>
              <w:tl2br w:val="nil"/>
              <w:tr2bl w:val="nil"/>
            </w:tcBorders>
            <w:shd w:val="clear" w:color="auto" w:fill="auto"/>
            <w:noWrap/>
            <w:vAlign w:val="center"/>
          </w:tcPr>
          <w:p w14:paraId="66CAAD83">
            <w:pPr>
              <w:pStyle w:val="34"/>
              <w:tabs>
                <w:tab w:val="left" w:pos="1389"/>
              </w:tabs>
              <w:bidi w:val="0"/>
              <w:rPr>
                <w:rFonts w:hint="eastAsia"/>
                <w:color w:val="auto"/>
              </w:rPr>
            </w:pPr>
            <w:r>
              <w:rPr>
                <w:rFonts w:hint="eastAsia"/>
                <w:color w:val="auto"/>
                <w:lang w:val="en-US" w:eastAsia="zh-CN"/>
              </w:rPr>
              <w:t>66.63</w:t>
            </w:r>
          </w:p>
        </w:tc>
      </w:tr>
      <w:tr w14:paraId="77EAA3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422" w:type="dxa"/>
            <w:vMerge w:val="continue"/>
            <w:tcBorders>
              <w:tl2br w:val="nil"/>
              <w:tr2bl w:val="nil"/>
            </w:tcBorders>
            <w:shd w:val="clear" w:color="auto" w:fill="auto"/>
            <w:vAlign w:val="center"/>
          </w:tcPr>
          <w:p w14:paraId="36FF693A">
            <w:pPr>
              <w:pStyle w:val="34"/>
              <w:tabs>
                <w:tab w:val="left" w:pos="1389"/>
              </w:tabs>
              <w:bidi w:val="0"/>
              <w:rPr>
                <w:rFonts w:hint="eastAsia"/>
                <w:color w:val="auto"/>
              </w:rPr>
            </w:pPr>
          </w:p>
        </w:tc>
        <w:tc>
          <w:tcPr>
            <w:tcW w:w="1728" w:type="dxa"/>
            <w:tcBorders>
              <w:tl2br w:val="nil"/>
              <w:tr2bl w:val="nil"/>
            </w:tcBorders>
            <w:shd w:val="clear" w:color="auto" w:fill="auto"/>
            <w:vAlign w:val="center"/>
          </w:tcPr>
          <w:p w14:paraId="2A117CA1">
            <w:pPr>
              <w:pStyle w:val="34"/>
              <w:tabs>
                <w:tab w:val="left" w:pos="1389"/>
              </w:tabs>
              <w:bidi w:val="0"/>
              <w:rPr>
                <w:rFonts w:hint="eastAsia"/>
                <w:color w:val="auto"/>
              </w:rPr>
            </w:pPr>
            <w:r>
              <w:rPr>
                <w:rFonts w:hint="eastAsia"/>
                <w:color w:val="auto"/>
                <w:lang w:val="en-US" w:eastAsia="zh-CN"/>
              </w:rPr>
              <w:t>灌木林地</w:t>
            </w:r>
          </w:p>
        </w:tc>
        <w:tc>
          <w:tcPr>
            <w:tcW w:w="2206" w:type="dxa"/>
            <w:tcBorders>
              <w:tl2br w:val="nil"/>
              <w:tr2bl w:val="nil"/>
            </w:tcBorders>
            <w:shd w:val="clear" w:color="auto" w:fill="auto"/>
            <w:noWrap/>
            <w:vAlign w:val="center"/>
          </w:tcPr>
          <w:p w14:paraId="0AEFAE6E">
            <w:pPr>
              <w:pStyle w:val="34"/>
              <w:tabs>
                <w:tab w:val="left" w:pos="1389"/>
              </w:tabs>
              <w:bidi w:val="0"/>
              <w:rPr>
                <w:rFonts w:hint="eastAsia"/>
                <w:color w:val="auto"/>
              </w:rPr>
            </w:pPr>
            <w:r>
              <w:rPr>
                <w:rFonts w:hint="eastAsia"/>
                <w:color w:val="auto"/>
                <w:lang w:val="en-US" w:eastAsia="zh-CN"/>
              </w:rPr>
              <w:t>17.5925</w:t>
            </w:r>
          </w:p>
        </w:tc>
        <w:tc>
          <w:tcPr>
            <w:tcW w:w="0" w:type="auto"/>
            <w:tcBorders>
              <w:tl2br w:val="nil"/>
              <w:tr2bl w:val="nil"/>
            </w:tcBorders>
            <w:shd w:val="clear" w:color="auto" w:fill="auto"/>
            <w:noWrap/>
            <w:vAlign w:val="center"/>
          </w:tcPr>
          <w:p w14:paraId="40B933F2">
            <w:pPr>
              <w:pStyle w:val="34"/>
              <w:tabs>
                <w:tab w:val="left" w:pos="1389"/>
              </w:tabs>
              <w:bidi w:val="0"/>
              <w:rPr>
                <w:rFonts w:hint="eastAsia"/>
                <w:color w:val="auto"/>
              </w:rPr>
            </w:pPr>
            <w:r>
              <w:rPr>
                <w:rFonts w:hint="eastAsia"/>
                <w:color w:val="auto"/>
                <w:lang w:val="en-US" w:eastAsia="zh-CN"/>
              </w:rPr>
              <w:t>1.55</w:t>
            </w:r>
          </w:p>
        </w:tc>
      </w:tr>
      <w:tr w14:paraId="4343F0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422" w:type="dxa"/>
            <w:tcBorders>
              <w:tl2br w:val="nil"/>
              <w:tr2bl w:val="nil"/>
            </w:tcBorders>
            <w:shd w:val="clear" w:color="auto" w:fill="auto"/>
            <w:vAlign w:val="center"/>
          </w:tcPr>
          <w:p w14:paraId="5392AC6E">
            <w:pPr>
              <w:pStyle w:val="34"/>
              <w:tabs>
                <w:tab w:val="left" w:pos="1389"/>
              </w:tabs>
              <w:bidi w:val="0"/>
              <w:rPr>
                <w:rFonts w:hint="eastAsia"/>
                <w:color w:val="auto"/>
              </w:rPr>
            </w:pPr>
            <w:r>
              <w:rPr>
                <w:rFonts w:hint="eastAsia"/>
                <w:color w:val="auto"/>
                <w:lang w:val="en-US" w:eastAsia="zh-CN"/>
              </w:rPr>
              <w:t>草地</w:t>
            </w:r>
          </w:p>
        </w:tc>
        <w:tc>
          <w:tcPr>
            <w:tcW w:w="1728" w:type="dxa"/>
            <w:tcBorders>
              <w:tl2br w:val="nil"/>
              <w:tr2bl w:val="nil"/>
            </w:tcBorders>
            <w:shd w:val="clear" w:color="auto" w:fill="auto"/>
            <w:vAlign w:val="center"/>
          </w:tcPr>
          <w:p w14:paraId="5BF9551C">
            <w:pPr>
              <w:pStyle w:val="34"/>
              <w:tabs>
                <w:tab w:val="left" w:pos="1389"/>
              </w:tabs>
              <w:bidi w:val="0"/>
              <w:rPr>
                <w:rFonts w:hint="eastAsia"/>
                <w:color w:val="auto"/>
              </w:rPr>
            </w:pPr>
            <w:r>
              <w:rPr>
                <w:rFonts w:hint="eastAsia"/>
                <w:color w:val="auto"/>
                <w:lang w:val="en-US" w:eastAsia="zh-CN"/>
              </w:rPr>
              <w:t>其他草地</w:t>
            </w:r>
          </w:p>
        </w:tc>
        <w:tc>
          <w:tcPr>
            <w:tcW w:w="2206" w:type="dxa"/>
            <w:tcBorders>
              <w:tl2br w:val="nil"/>
              <w:tr2bl w:val="nil"/>
            </w:tcBorders>
            <w:shd w:val="clear" w:color="auto" w:fill="auto"/>
            <w:noWrap/>
            <w:vAlign w:val="center"/>
          </w:tcPr>
          <w:p w14:paraId="604040EB">
            <w:pPr>
              <w:pStyle w:val="34"/>
              <w:tabs>
                <w:tab w:val="left" w:pos="1389"/>
              </w:tabs>
              <w:bidi w:val="0"/>
              <w:rPr>
                <w:rFonts w:hint="default"/>
                <w:color w:val="auto"/>
                <w:lang w:val="en-US"/>
              </w:rPr>
            </w:pPr>
            <w:r>
              <w:rPr>
                <w:rFonts w:hint="eastAsia"/>
                <w:color w:val="auto"/>
                <w:lang w:val="en-US" w:eastAsia="zh-CN"/>
              </w:rPr>
              <w:t>112.2933</w:t>
            </w:r>
          </w:p>
        </w:tc>
        <w:tc>
          <w:tcPr>
            <w:tcW w:w="0" w:type="auto"/>
            <w:tcBorders>
              <w:tl2br w:val="nil"/>
              <w:tr2bl w:val="nil"/>
            </w:tcBorders>
            <w:shd w:val="clear" w:color="auto" w:fill="auto"/>
            <w:noWrap/>
            <w:vAlign w:val="center"/>
          </w:tcPr>
          <w:p w14:paraId="156620AE">
            <w:pPr>
              <w:pStyle w:val="34"/>
              <w:tabs>
                <w:tab w:val="left" w:pos="1389"/>
              </w:tabs>
              <w:bidi w:val="0"/>
              <w:rPr>
                <w:rFonts w:hint="eastAsia"/>
                <w:color w:val="auto"/>
              </w:rPr>
            </w:pPr>
            <w:r>
              <w:rPr>
                <w:rFonts w:hint="eastAsia"/>
                <w:color w:val="auto"/>
                <w:lang w:val="en-US" w:eastAsia="zh-CN"/>
              </w:rPr>
              <w:t>9.831</w:t>
            </w:r>
          </w:p>
        </w:tc>
      </w:tr>
      <w:tr w14:paraId="5002225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2422" w:type="dxa"/>
            <w:tcBorders>
              <w:tl2br w:val="nil"/>
              <w:tr2bl w:val="nil"/>
            </w:tcBorders>
            <w:shd w:val="clear" w:color="auto" w:fill="auto"/>
            <w:vAlign w:val="center"/>
          </w:tcPr>
          <w:p w14:paraId="2729E631">
            <w:pPr>
              <w:pStyle w:val="34"/>
              <w:tabs>
                <w:tab w:val="left" w:pos="1389"/>
              </w:tabs>
              <w:bidi w:val="0"/>
              <w:rPr>
                <w:rFonts w:hint="eastAsia"/>
                <w:color w:val="auto"/>
              </w:rPr>
            </w:pPr>
            <w:r>
              <w:rPr>
                <w:rFonts w:hint="eastAsia"/>
                <w:color w:val="auto"/>
                <w:lang w:val="en-US" w:eastAsia="zh-CN"/>
              </w:rPr>
              <w:t>耕地</w:t>
            </w:r>
          </w:p>
        </w:tc>
        <w:tc>
          <w:tcPr>
            <w:tcW w:w="1728" w:type="dxa"/>
            <w:tcBorders>
              <w:tl2br w:val="nil"/>
              <w:tr2bl w:val="nil"/>
            </w:tcBorders>
            <w:shd w:val="clear" w:color="auto" w:fill="auto"/>
            <w:vAlign w:val="center"/>
          </w:tcPr>
          <w:p w14:paraId="0491DAE0">
            <w:pPr>
              <w:pStyle w:val="34"/>
              <w:tabs>
                <w:tab w:val="left" w:pos="1389"/>
              </w:tabs>
              <w:bidi w:val="0"/>
              <w:rPr>
                <w:rFonts w:hint="eastAsia"/>
                <w:color w:val="auto"/>
              </w:rPr>
            </w:pPr>
            <w:r>
              <w:rPr>
                <w:rFonts w:hint="eastAsia"/>
                <w:color w:val="auto"/>
                <w:lang w:val="en-US" w:eastAsia="zh-CN"/>
              </w:rPr>
              <w:t>旱地</w:t>
            </w:r>
          </w:p>
        </w:tc>
        <w:tc>
          <w:tcPr>
            <w:tcW w:w="2206" w:type="dxa"/>
            <w:tcBorders>
              <w:tl2br w:val="nil"/>
              <w:tr2bl w:val="nil"/>
            </w:tcBorders>
            <w:shd w:val="clear" w:color="auto" w:fill="auto"/>
            <w:noWrap/>
            <w:vAlign w:val="center"/>
          </w:tcPr>
          <w:p w14:paraId="1448D384">
            <w:pPr>
              <w:pStyle w:val="34"/>
              <w:tabs>
                <w:tab w:val="left" w:pos="1389"/>
              </w:tabs>
              <w:bidi w:val="0"/>
              <w:rPr>
                <w:rFonts w:hint="default"/>
                <w:color w:val="auto"/>
                <w:lang w:val="en-US"/>
              </w:rPr>
            </w:pPr>
            <w:r>
              <w:rPr>
                <w:rFonts w:hint="eastAsia"/>
                <w:color w:val="auto"/>
                <w:lang w:val="en-US" w:eastAsia="zh-CN"/>
              </w:rPr>
              <w:t>211.1387</w:t>
            </w:r>
          </w:p>
        </w:tc>
        <w:tc>
          <w:tcPr>
            <w:tcW w:w="0" w:type="auto"/>
            <w:tcBorders>
              <w:tl2br w:val="nil"/>
              <w:tr2bl w:val="nil"/>
            </w:tcBorders>
            <w:shd w:val="clear" w:color="auto" w:fill="auto"/>
            <w:noWrap/>
            <w:vAlign w:val="center"/>
          </w:tcPr>
          <w:p w14:paraId="08246B09">
            <w:pPr>
              <w:pStyle w:val="34"/>
              <w:tabs>
                <w:tab w:val="left" w:pos="1389"/>
              </w:tabs>
              <w:bidi w:val="0"/>
              <w:rPr>
                <w:rFonts w:hint="default"/>
                <w:color w:val="auto"/>
                <w:lang w:val="en-US"/>
              </w:rPr>
            </w:pPr>
            <w:r>
              <w:rPr>
                <w:rFonts w:hint="eastAsia"/>
                <w:color w:val="auto"/>
                <w:lang w:val="en-US" w:eastAsia="zh-CN"/>
              </w:rPr>
              <w:t>18.66</w:t>
            </w:r>
          </w:p>
        </w:tc>
      </w:tr>
      <w:tr w14:paraId="3C59B5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422" w:type="dxa"/>
            <w:tcBorders>
              <w:tl2br w:val="nil"/>
              <w:tr2bl w:val="nil"/>
            </w:tcBorders>
            <w:shd w:val="clear" w:color="auto" w:fill="auto"/>
            <w:vAlign w:val="center"/>
          </w:tcPr>
          <w:p w14:paraId="6610C8B9">
            <w:pPr>
              <w:pStyle w:val="34"/>
              <w:tabs>
                <w:tab w:val="left" w:pos="1389"/>
              </w:tabs>
              <w:bidi w:val="0"/>
              <w:rPr>
                <w:rFonts w:hint="eastAsia"/>
                <w:color w:val="auto"/>
              </w:rPr>
            </w:pPr>
            <w:r>
              <w:rPr>
                <w:rFonts w:hint="eastAsia"/>
                <w:color w:val="auto"/>
                <w:lang w:val="en-US" w:eastAsia="zh-CN"/>
              </w:rPr>
              <w:t>水域及水利设施用地</w:t>
            </w:r>
          </w:p>
        </w:tc>
        <w:tc>
          <w:tcPr>
            <w:tcW w:w="1728" w:type="dxa"/>
            <w:tcBorders>
              <w:tl2br w:val="nil"/>
              <w:tr2bl w:val="nil"/>
            </w:tcBorders>
            <w:shd w:val="clear" w:color="auto" w:fill="auto"/>
            <w:vAlign w:val="center"/>
          </w:tcPr>
          <w:p w14:paraId="7F96B1C5">
            <w:pPr>
              <w:pStyle w:val="34"/>
              <w:tabs>
                <w:tab w:val="left" w:pos="1389"/>
              </w:tabs>
              <w:bidi w:val="0"/>
              <w:rPr>
                <w:rFonts w:hint="eastAsia"/>
                <w:color w:val="auto"/>
              </w:rPr>
            </w:pPr>
            <w:r>
              <w:rPr>
                <w:rFonts w:hint="eastAsia"/>
                <w:color w:val="auto"/>
                <w:lang w:val="en-US" w:eastAsia="zh-CN"/>
              </w:rPr>
              <w:t>河流水面</w:t>
            </w:r>
          </w:p>
        </w:tc>
        <w:tc>
          <w:tcPr>
            <w:tcW w:w="2206" w:type="dxa"/>
            <w:tcBorders>
              <w:tl2br w:val="nil"/>
              <w:tr2bl w:val="nil"/>
            </w:tcBorders>
            <w:shd w:val="clear" w:color="auto" w:fill="auto"/>
            <w:noWrap/>
            <w:vAlign w:val="center"/>
          </w:tcPr>
          <w:p w14:paraId="00C51A89">
            <w:pPr>
              <w:pStyle w:val="34"/>
              <w:tabs>
                <w:tab w:val="left" w:pos="1389"/>
              </w:tabs>
              <w:bidi w:val="0"/>
              <w:rPr>
                <w:rFonts w:hint="eastAsia"/>
                <w:color w:val="auto"/>
              </w:rPr>
            </w:pPr>
            <w:r>
              <w:rPr>
                <w:rFonts w:hint="eastAsia"/>
                <w:color w:val="auto"/>
                <w:lang w:val="en-US" w:eastAsia="zh-CN"/>
              </w:rPr>
              <w:t>2.7065</w:t>
            </w:r>
          </w:p>
        </w:tc>
        <w:tc>
          <w:tcPr>
            <w:tcW w:w="0" w:type="auto"/>
            <w:tcBorders>
              <w:tl2br w:val="nil"/>
              <w:tr2bl w:val="nil"/>
            </w:tcBorders>
            <w:shd w:val="clear" w:color="auto" w:fill="auto"/>
            <w:noWrap/>
            <w:vAlign w:val="center"/>
          </w:tcPr>
          <w:p w14:paraId="5F52B9CD">
            <w:pPr>
              <w:pStyle w:val="34"/>
              <w:tabs>
                <w:tab w:val="left" w:pos="1389"/>
              </w:tabs>
              <w:bidi w:val="0"/>
              <w:rPr>
                <w:rFonts w:hint="eastAsia"/>
                <w:color w:val="auto"/>
              </w:rPr>
            </w:pPr>
            <w:r>
              <w:rPr>
                <w:rFonts w:hint="eastAsia"/>
                <w:color w:val="auto"/>
                <w:lang w:val="en-US" w:eastAsia="zh-CN"/>
              </w:rPr>
              <w:t>0.24</w:t>
            </w:r>
          </w:p>
        </w:tc>
      </w:tr>
      <w:tr w14:paraId="5A3AF9F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422" w:type="dxa"/>
            <w:tcBorders>
              <w:tl2br w:val="nil"/>
              <w:tr2bl w:val="nil"/>
            </w:tcBorders>
            <w:shd w:val="clear" w:color="auto" w:fill="auto"/>
            <w:vAlign w:val="center"/>
          </w:tcPr>
          <w:p w14:paraId="2AB21474">
            <w:pPr>
              <w:pStyle w:val="34"/>
              <w:tabs>
                <w:tab w:val="left" w:pos="1389"/>
              </w:tabs>
              <w:bidi w:val="0"/>
              <w:rPr>
                <w:rFonts w:hint="eastAsia"/>
                <w:color w:val="auto"/>
              </w:rPr>
            </w:pPr>
            <w:r>
              <w:rPr>
                <w:rFonts w:hint="eastAsia"/>
                <w:color w:val="auto"/>
                <w:lang w:val="en-US" w:eastAsia="zh-CN"/>
              </w:rPr>
              <w:t>工矿仓储用地</w:t>
            </w:r>
          </w:p>
        </w:tc>
        <w:tc>
          <w:tcPr>
            <w:tcW w:w="1728" w:type="dxa"/>
            <w:tcBorders>
              <w:tl2br w:val="nil"/>
              <w:tr2bl w:val="nil"/>
            </w:tcBorders>
            <w:shd w:val="clear" w:color="auto" w:fill="auto"/>
            <w:vAlign w:val="center"/>
          </w:tcPr>
          <w:p w14:paraId="5BDDC111">
            <w:pPr>
              <w:pStyle w:val="34"/>
              <w:tabs>
                <w:tab w:val="left" w:pos="1389"/>
              </w:tabs>
              <w:bidi w:val="0"/>
              <w:rPr>
                <w:rFonts w:hint="eastAsia"/>
                <w:color w:val="auto"/>
              </w:rPr>
            </w:pPr>
            <w:r>
              <w:rPr>
                <w:rFonts w:hint="eastAsia"/>
                <w:color w:val="auto"/>
                <w:lang w:val="en-US" w:eastAsia="zh-CN"/>
              </w:rPr>
              <w:t>工业用地</w:t>
            </w:r>
          </w:p>
        </w:tc>
        <w:tc>
          <w:tcPr>
            <w:tcW w:w="2206" w:type="dxa"/>
            <w:tcBorders>
              <w:tl2br w:val="nil"/>
              <w:tr2bl w:val="nil"/>
            </w:tcBorders>
            <w:shd w:val="clear" w:color="auto" w:fill="auto"/>
            <w:noWrap/>
            <w:vAlign w:val="center"/>
          </w:tcPr>
          <w:p w14:paraId="52562F6E">
            <w:pPr>
              <w:pStyle w:val="34"/>
              <w:tabs>
                <w:tab w:val="left" w:pos="1389"/>
              </w:tabs>
              <w:bidi w:val="0"/>
              <w:rPr>
                <w:rFonts w:hint="eastAsia"/>
                <w:color w:val="auto"/>
              </w:rPr>
            </w:pPr>
            <w:r>
              <w:rPr>
                <w:rFonts w:hint="eastAsia"/>
                <w:color w:val="auto"/>
                <w:lang w:val="en-US" w:eastAsia="zh-CN"/>
              </w:rPr>
              <w:t>5.0146</w:t>
            </w:r>
          </w:p>
        </w:tc>
        <w:tc>
          <w:tcPr>
            <w:tcW w:w="0" w:type="auto"/>
            <w:tcBorders>
              <w:tl2br w:val="nil"/>
              <w:tr2bl w:val="nil"/>
            </w:tcBorders>
            <w:shd w:val="clear" w:color="auto" w:fill="auto"/>
            <w:noWrap/>
            <w:vAlign w:val="center"/>
          </w:tcPr>
          <w:p w14:paraId="26DF6993">
            <w:pPr>
              <w:pStyle w:val="34"/>
              <w:tabs>
                <w:tab w:val="left" w:pos="1389"/>
              </w:tabs>
              <w:bidi w:val="0"/>
              <w:rPr>
                <w:rFonts w:hint="eastAsia"/>
                <w:color w:val="auto"/>
              </w:rPr>
            </w:pPr>
            <w:r>
              <w:rPr>
                <w:rFonts w:hint="eastAsia"/>
                <w:color w:val="auto"/>
                <w:lang w:val="en-US" w:eastAsia="zh-CN"/>
              </w:rPr>
              <w:t>0.36</w:t>
            </w:r>
          </w:p>
        </w:tc>
      </w:tr>
      <w:tr w14:paraId="565E74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422" w:type="dxa"/>
            <w:tcBorders>
              <w:tl2br w:val="nil"/>
              <w:tr2bl w:val="nil"/>
            </w:tcBorders>
            <w:shd w:val="clear" w:color="auto" w:fill="auto"/>
            <w:vAlign w:val="center"/>
          </w:tcPr>
          <w:p w14:paraId="06C7F223">
            <w:pPr>
              <w:pStyle w:val="34"/>
              <w:tabs>
                <w:tab w:val="left" w:pos="1389"/>
              </w:tabs>
              <w:bidi w:val="0"/>
              <w:rPr>
                <w:rFonts w:hint="eastAsia"/>
                <w:color w:val="auto"/>
              </w:rPr>
            </w:pPr>
            <w:r>
              <w:rPr>
                <w:rFonts w:hint="eastAsia"/>
                <w:color w:val="auto"/>
                <w:lang w:val="en-US" w:eastAsia="zh-CN"/>
              </w:rPr>
              <w:t>交通运输用地</w:t>
            </w:r>
          </w:p>
        </w:tc>
        <w:tc>
          <w:tcPr>
            <w:tcW w:w="1728" w:type="dxa"/>
            <w:tcBorders>
              <w:tl2br w:val="nil"/>
              <w:tr2bl w:val="nil"/>
            </w:tcBorders>
            <w:shd w:val="clear" w:color="auto" w:fill="auto"/>
            <w:vAlign w:val="center"/>
          </w:tcPr>
          <w:p w14:paraId="0664EC9F">
            <w:pPr>
              <w:pStyle w:val="34"/>
              <w:tabs>
                <w:tab w:val="left" w:pos="1389"/>
              </w:tabs>
              <w:bidi w:val="0"/>
              <w:rPr>
                <w:rFonts w:hint="eastAsia"/>
                <w:color w:val="auto"/>
              </w:rPr>
            </w:pPr>
            <w:r>
              <w:rPr>
                <w:rFonts w:hint="eastAsia"/>
                <w:color w:val="auto"/>
                <w:lang w:val="en-US" w:eastAsia="zh-CN"/>
              </w:rPr>
              <w:t>农村道路</w:t>
            </w:r>
          </w:p>
        </w:tc>
        <w:tc>
          <w:tcPr>
            <w:tcW w:w="2206" w:type="dxa"/>
            <w:tcBorders>
              <w:tl2br w:val="nil"/>
              <w:tr2bl w:val="nil"/>
            </w:tcBorders>
            <w:shd w:val="clear" w:color="auto" w:fill="auto"/>
            <w:noWrap/>
            <w:vAlign w:val="center"/>
          </w:tcPr>
          <w:p w14:paraId="0189C68E">
            <w:pPr>
              <w:pStyle w:val="34"/>
              <w:tabs>
                <w:tab w:val="left" w:pos="1389"/>
              </w:tabs>
              <w:bidi w:val="0"/>
              <w:rPr>
                <w:rFonts w:hint="eastAsia"/>
                <w:color w:val="auto"/>
              </w:rPr>
            </w:pPr>
            <w:r>
              <w:rPr>
                <w:rFonts w:hint="eastAsia"/>
                <w:color w:val="auto"/>
                <w:lang w:val="en-US" w:eastAsia="zh-CN"/>
              </w:rPr>
              <w:t>11.2247</w:t>
            </w:r>
          </w:p>
        </w:tc>
        <w:tc>
          <w:tcPr>
            <w:tcW w:w="0" w:type="auto"/>
            <w:tcBorders>
              <w:tl2br w:val="nil"/>
              <w:tr2bl w:val="nil"/>
            </w:tcBorders>
            <w:shd w:val="clear" w:color="auto" w:fill="auto"/>
            <w:noWrap/>
            <w:vAlign w:val="center"/>
          </w:tcPr>
          <w:p w14:paraId="43990730">
            <w:pPr>
              <w:pStyle w:val="34"/>
              <w:tabs>
                <w:tab w:val="left" w:pos="1389"/>
              </w:tabs>
              <w:bidi w:val="0"/>
              <w:rPr>
                <w:rFonts w:hint="eastAsia"/>
                <w:color w:val="auto"/>
              </w:rPr>
            </w:pPr>
            <w:r>
              <w:rPr>
                <w:rFonts w:hint="eastAsia"/>
                <w:color w:val="auto"/>
                <w:lang w:val="en-US" w:eastAsia="zh-CN"/>
              </w:rPr>
              <w:t>1.07</w:t>
            </w:r>
          </w:p>
        </w:tc>
      </w:tr>
      <w:tr w14:paraId="039AFF7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2422" w:type="dxa"/>
            <w:tcBorders>
              <w:tl2br w:val="nil"/>
              <w:tr2bl w:val="nil"/>
            </w:tcBorders>
            <w:shd w:val="clear" w:color="auto" w:fill="auto"/>
            <w:vAlign w:val="center"/>
          </w:tcPr>
          <w:p w14:paraId="43645057">
            <w:pPr>
              <w:pStyle w:val="34"/>
              <w:tabs>
                <w:tab w:val="left" w:pos="1389"/>
              </w:tabs>
              <w:bidi w:val="0"/>
              <w:rPr>
                <w:rFonts w:hint="eastAsia"/>
                <w:color w:val="auto"/>
              </w:rPr>
            </w:pPr>
            <w:r>
              <w:rPr>
                <w:rFonts w:hint="eastAsia"/>
                <w:color w:val="auto"/>
                <w:lang w:val="en-US" w:eastAsia="zh-CN"/>
              </w:rPr>
              <w:t>住宅用地</w:t>
            </w:r>
          </w:p>
        </w:tc>
        <w:tc>
          <w:tcPr>
            <w:tcW w:w="1728" w:type="dxa"/>
            <w:tcBorders>
              <w:tl2br w:val="nil"/>
              <w:tr2bl w:val="nil"/>
            </w:tcBorders>
            <w:shd w:val="clear" w:color="auto" w:fill="auto"/>
            <w:vAlign w:val="center"/>
          </w:tcPr>
          <w:p w14:paraId="3F2CA2C7">
            <w:pPr>
              <w:pStyle w:val="34"/>
              <w:tabs>
                <w:tab w:val="left" w:pos="1389"/>
              </w:tabs>
              <w:bidi w:val="0"/>
              <w:rPr>
                <w:rFonts w:hint="eastAsia"/>
                <w:color w:val="auto"/>
              </w:rPr>
            </w:pPr>
            <w:r>
              <w:rPr>
                <w:rFonts w:hint="eastAsia"/>
                <w:color w:val="auto"/>
                <w:lang w:val="en-US" w:eastAsia="zh-CN"/>
              </w:rPr>
              <w:t>农村住宅用地</w:t>
            </w:r>
          </w:p>
        </w:tc>
        <w:tc>
          <w:tcPr>
            <w:tcW w:w="2206" w:type="dxa"/>
            <w:tcBorders>
              <w:tl2br w:val="nil"/>
              <w:tr2bl w:val="nil"/>
            </w:tcBorders>
            <w:shd w:val="clear" w:color="auto" w:fill="auto"/>
            <w:noWrap/>
            <w:vAlign w:val="center"/>
          </w:tcPr>
          <w:p w14:paraId="3B771054">
            <w:pPr>
              <w:pStyle w:val="34"/>
              <w:tabs>
                <w:tab w:val="left" w:pos="1389"/>
              </w:tabs>
              <w:bidi w:val="0"/>
              <w:rPr>
                <w:rFonts w:hint="eastAsia"/>
                <w:color w:val="auto"/>
              </w:rPr>
            </w:pPr>
            <w:r>
              <w:rPr>
                <w:rFonts w:hint="eastAsia"/>
                <w:color w:val="auto"/>
                <w:lang w:val="en-US" w:eastAsia="zh-CN"/>
              </w:rPr>
              <w:t>17.5925</w:t>
            </w:r>
          </w:p>
        </w:tc>
        <w:tc>
          <w:tcPr>
            <w:tcW w:w="0" w:type="auto"/>
            <w:tcBorders>
              <w:tl2br w:val="nil"/>
              <w:tr2bl w:val="nil"/>
            </w:tcBorders>
            <w:shd w:val="clear" w:color="auto" w:fill="auto"/>
            <w:noWrap/>
            <w:vAlign w:val="center"/>
          </w:tcPr>
          <w:p w14:paraId="2CDF6A7B">
            <w:pPr>
              <w:pStyle w:val="34"/>
              <w:tabs>
                <w:tab w:val="left" w:pos="1389"/>
              </w:tabs>
              <w:bidi w:val="0"/>
              <w:rPr>
                <w:rFonts w:hint="eastAsia"/>
                <w:color w:val="auto"/>
              </w:rPr>
            </w:pPr>
            <w:r>
              <w:rPr>
                <w:rFonts w:hint="eastAsia"/>
                <w:color w:val="auto"/>
                <w:lang w:val="en-US" w:eastAsia="zh-CN"/>
              </w:rPr>
              <w:t>1.55</w:t>
            </w:r>
          </w:p>
        </w:tc>
      </w:tr>
      <w:tr w14:paraId="747384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2422" w:type="dxa"/>
            <w:tcBorders>
              <w:tl2br w:val="nil"/>
              <w:tr2bl w:val="nil"/>
            </w:tcBorders>
            <w:shd w:val="clear" w:color="auto" w:fill="auto"/>
            <w:vAlign w:val="center"/>
          </w:tcPr>
          <w:p w14:paraId="2A72556B">
            <w:pPr>
              <w:pStyle w:val="34"/>
              <w:tabs>
                <w:tab w:val="left" w:pos="1389"/>
              </w:tabs>
              <w:bidi w:val="0"/>
              <w:rPr>
                <w:rFonts w:hint="eastAsia"/>
                <w:color w:val="auto"/>
              </w:rPr>
            </w:pPr>
            <w:r>
              <w:rPr>
                <w:rFonts w:hint="eastAsia"/>
                <w:color w:val="auto"/>
                <w:lang w:val="en-US" w:eastAsia="zh-CN"/>
              </w:rPr>
              <w:t>其他土地</w:t>
            </w:r>
          </w:p>
        </w:tc>
        <w:tc>
          <w:tcPr>
            <w:tcW w:w="1728" w:type="dxa"/>
            <w:tcBorders>
              <w:tl2br w:val="nil"/>
              <w:tr2bl w:val="nil"/>
            </w:tcBorders>
            <w:shd w:val="clear" w:color="auto" w:fill="auto"/>
            <w:vAlign w:val="center"/>
          </w:tcPr>
          <w:p w14:paraId="193BB07C">
            <w:pPr>
              <w:pStyle w:val="34"/>
              <w:tabs>
                <w:tab w:val="left" w:pos="1389"/>
              </w:tabs>
              <w:bidi w:val="0"/>
              <w:rPr>
                <w:rFonts w:hint="eastAsia"/>
                <w:color w:val="auto"/>
              </w:rPr>
            </w:pPr>
            <w:r>
              <w:rPr>
                <w:rFonts w:hint="eastAsia"/>
                <w:color w:val="auto"/>
                <w:lang w:val="en-US" w:eastAsia="zh-CN"/>
              </w:rPr>
              <w:t>裸土地</w:t>
            </w:r>
          </w:p>
        </w:tc>
        <w:tc>
          <w:tcPr>
            <w:tcW w:w="2206" w:type="dxa"/>
            <w:tcBorders>
              <w:tl2br w:val="nil"/>
              <w:tr2bl w:val="nil"/>
            </w:tcBorders>
            <w:shd w:val="clear" w:color="auto" w:fill="auto"/>
            <w:noWrap/>
            <w:vAlign w:val="center"/>
          </w:tcPr>
          <w:p w14:paraId="6879D2FA">
            <w:pPr>
              <w:pStyle w:val="34"/>
              <w:tabs>
                <w:tab w:val="left" w:pos="1389"/>
              </w:tabs>
              <w:bidi w:val="0"/>
              <w:rPr>
                <w:rFonts w:hint="eastAsia"/>
                <w:color w:val="auto"/>
              </w:rPr>
            </w:pPr>
            <w:r>
              <w:rPr>
                <w:rFonts w:hint="eastAsia"/>
                <w:color w:val="auto"/>
                <w:lang w:val="en-US" w:eastAsia="zh-CN"/>
              </w:rPr>
              <w:t>1.3533</w:t>
            </w:r>
          </w:p>
        </w:tc>
        <w:tc>
          <w:tcPr>
            <w:tcW w:w="0" w:type="auto"/>
            <w:tcBorders>
              <w:tl2br w:val="nil"/>
              <w:tr2bl w:val="nil"/>
            </w:tcBorders>
            <w:shd w:val="clear" w:color="auto" w:fill="auto"/>
            <w:noWrap/>
            <w:vAlign w:val="center"/>
          </w:tcPr>
          <w:p w14:paraId="1F81F631">
            <w:pPr>
              <w:pStyle w:val="34"/>
              <w:tabs>
                <w:tab w:val="left" w:pos="1389"/>
              </w:tabs>
              <w:bidi w:val="0"/>
              <w:rPr>
                <w:rFonts w:hint="eastAsia"/>
                <w:color w:val="auto"/>
              </w:rPr>
            </w:pPr>
            <w:r>
              <w:rPr>
                <w:rFonts w:hint="eastAsia"/>
                <w:color w:val="auto"/>
                <w:lang w:val="en-US" w:eastAsia="zh-CN"/>
              </w:rPr>
              <w:t>0.12</w:t>
            </w:r>
          </w:p>
        </w:tc>
      </w:tr>
      <w:tr w14:paraId="6E1532E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0" w:hRule="atLeast"/>
        </w:trPr>
        <w:tc>
          <w:tcPr>
            <w:tcW w:w="4150" w:type="dxa"/>
            <w:gridSpan w:val="2"/>
            <w:tcBorders>
              <w:tl2br w:val="nil"/>
              <w:tr2bl w:val="nil"/>
            </w:tcBorders>
            <w:shd w:val="clear" w:color="auto" w:fill="auto"/>
            <w:vAlign w:val="center"/>
          </w:tcPr>
          <w:p w14:paraId="56A8E05B">
            <w:pPr>
              <w:pStyle w:val="34"/>
              <w:tabs>
                <w:tab w:val="left" w:pos="1389"/>
              </w:tabs>
              <w:bidi w:val="0"/>
              <w:rPr>
                <w:rFonts w:hint="eastAsia"/>
                <w:color w:val="auto"/>
              </w:rPr>
            </w:pPr>
            <w:r>
              <w:rPr>
                <w:rFonts w:hint="eastAsia"/>
                <w:color w:val="auto"/>
                <w:lang w:val="en-US" w:eastAsia="zh-CN"/>
              </w:rPr>
              <w:t>总计</w:t>
            </w:r>
          </w:p>
        </w:tc>
        <w:tc>
          <w:tcPr>
            <w:tcW w:w="2206" w:type="dxa"/>
            <w:tcBorders>
              <w:tl2br w:val="nil"/>
              <w:tr2bl w:val="nil"/>
            </w:tcBorders>
            <w:shd w:val="clear" w:color="auto" w:fill="auto"/>
            <w:noWrap/>
            <w:vAlign w:val="center"/>
          </w:tcPr>
          <w:p w14:paraId="22829DE0">
            <w:pPr>
              <w:pStyle w:val="34"/>
              <w:tabs>
                <w:tab w:val="left" w:pos="1389"/>
              </w:tabs>
              <w:bidi w:val="0"/>
              <w:rPr>
                <w:rFonts w:hint="eastAsia"/>
                <w:color w:val="auto"/>
              </w:rPr>
            </w:pPr>
            <w:r>
              <w:rPr>
                <w:rFonts w:hint="eastAsia"/>
                <w:color w:val="auto"/>
                <w:lang w:val="en-US" w:eastAsia="zh-CN"/>
              </w:rPr>
              <w:t>1135.3951</w:t>
            </w:r>
          </w:p>
        </w:tc>
        <w:tc>
          <w:tcPr>
            <w:tcW w:w="0" w:type="auto"/>
            <w:tcBorders>
              <w:tl2br w:val="nil"/>
              <w:tr2bl w:val="nil"/>
            </w:tcBorders>
            <w:shd w:val="clear" w:color="auto" w:fill="auto"/>
            <w:noWrap/>
            <w:vAlign w:val="center"/>
          </w:tcPr>
          <w:p w14:paraId="177CE43D">
            <w:pPr>
              <w:pStyle w:val="34"/>
              <w:tabs>
                <w:tab w:val="left" w:pos="1389"/>
              </w:tabs>
              <w:bidi w:val="0"/>
              <w:rPr>
                <w:rFonts w:hint="eastAsia"/>
                <w:color w:val="auto"/>
              </w:rPr>
            </w:pPr>
            <w:r>
              <w:rPr>
                <w:rFonts w:hint="eastAsia"/>
                <w:color w:val="auto"/>
                <w:lang w:val="en-US" w:eastAsia="zh-CN"/>
              </w:rPr>
              <w:t>100.00</w:t>
            </w:r>
          </w:p>
        </w:tc>
      </w:tr>
    </w:tbl>
    <w:p w14:paraId="34EA6F0B">
      <w:pPr>
        <w:pStyle w:val="42"/>
        <w:bidi w:val="0"/>
        <w:rPr>
          <w:color w:val="auto"/>
        </w:rPr>
      </w:pPr>
    </w:p>
    <w:p w14:paraId="6080E0B1">
      <w:pPr>
        <w:pStyle w:val="41"/>
        <w:bidi w:val="0"/>
        <w:rPr>
          <w:color w:val="auto"/>
        </w:rPr>
      </w:pPr>
      <w:r>
        <w:rPr>
          <w:color w:val="auto"/>
        </w:rPr>
        <w:t>调查和计算表明，评价区</w:t>
      </w:r>
      <w:r>
        <w:rPr>
          <w:rFonts w:hint="eastAsia"/>
          <w:color w:val="auto"/>
          <w:lang w:val="en-US" w:eastAsia="zh-CN"/>
        </w:rPr>
        <w:t>乔木林地</w:t>
      </w:r>
      <w:r>
        <w:rPr>
          <w:color w:val="auto"/>
        </w:rPr>
        <w:t>、</w:t>
      </w:r>
      <w:r>
        <w:rPr>
          <w:rFonts w:hint="eastAsia"/>
          <w:color w:val="auto"/>
          <w:lang w:val="en-US" w:eastAsia="zh-CN"/>
        </w:rPr>
        <w:t>旱地</w:t>
      </w:r>
      <w:r>
        <w:rPr>
          <w:color w:val="auto"/>
        </w:rPr>
        <w:t>、</w:t>
      </w:r>
      <w:r>
        <w:rPr>
          <w:rFonts w:hint="eastAsia"/>
          <w:color w:val="auto"/>
          <w:lang w:val="en-US" w:eastAsia="zh-CN"/>
        </w:rPr>
        <w:t>草地</w:t>
      </w:r>
      <w:r>
        <w:rPr>
          <w:color w:val="auto"/>
        </w:rPr>
        <w:t>的面积相对较大，分别为</w:t>
      </w:r>
      <w:r>
        <w:rPr>
          <w:rFonts w:hint="eastAsia"/>
          <w:color w:val="auto"/>
          <w:lang w:val="en-US" w:eastAsia="zh-CN"/>
        </w:rPr>
        <w:t>756.4790</w:t>
      </w:r>
      <w:r>
        <w:rPr>
          <w:color w:val="auto"/>
        </w:rPr>
        <w:t>hm</w:t>
      </w:r>
      <w:r>
        <w:rPr>
          <w:color w:val="auto"/>
          <w:vertAlign w:val="superscript"/>
        </w:rPr>
        <w:t>2</w:t>
      </w:r>
      <w:r>
        <w:rPr>
          <w:color w:val="auto"/>
        </w:rPr>
        <w:t>、</w:t>
      </w:r>
      <w:r>
        <w:rPr>
          <w:rFonts w:hint="eastAsia"/>
          <w:color w:val="auto"/>
          <w:lang w:val="en-US" w:eastAsia="zh-CN"/>
        </w:rPr>
        <w:t>211.1387</w:t>
      </w:r>
      <w:r>
        <w:rPr>
          <w:color w:val="auto"/>
        </w:rPr>
        <w:t>hm</w:t>
      </w:r>
      <w:r>
        <w:rPr>
          <w:color w:val="auto"/>
          <w:vertAlign w:val="superscript"/>
        </w:rPr>
        <w:t>2</w:t>
      </w:r>
      <w:r>
        <w:rPr>
          <w:color w:val="auto"/>
        </w:rPr>
        <w:t>、</w:t>
      </w:r>
      <w:r>
        <w:rPr>
          <w:rFonts w:hint="eastAsia"/>
          <w:color w:val="auto"/>
          <w:lang w:val="en-US" w:eastAsia="zh-CN"/>
        </w:rPr>
        <w:t>112.2933</w:t>
      </w:r>
      <w:r>
        <w:rPr>
          <w:color w:val="auto"/>
        </w:rPr>
        <w:t>hm</w:t>
      </w:r>
      <w:r>
        <w:rPr>
          <w:color w:val="auto"/>
          <w:vertAlign w:val="superscript"/>
        </w:rPr>
        <w:t>2</w:t>
      </w:r>
      <w:r>
        <w:rPr>
          <w:color w:val="auto"/>
        </w:rPr>
        <w:t>，分别占评价区面积的</w:t>
      </w:r>
      <w:r>
        <w:rPr>
          <w:rFonts w:hint="eastAsia"/>
          <w:color w:val="auto"/>
          <w:lang w:val="en-US" w:eastAsia="zh-CN"/>
        </w:rPr>
        <w:t>66.63</w:t>
      </w:r>
      <w:r>
        <w:rPr>
          <w:color w:val="auto"/>
        </w:rPr>
        <w:t>%、</w:t>
      </w:r>
      <w:r>
        <w:rPr>
          <w:rFonts w:hint="eastAsia"/>
          <w:color w:val="auto"/>
          <w:lang w:val="en-US" w:eastAsia="zh-CN"/>
        </w:rPr>
        <w:t>18.66</w:t>
      </w:r>
      <w:r>
        <w:rPr>
          <w:color w:val="auto"/>
        </w:rPr>
        <w:t>%、</w:t>
      </w:r>
      <w:r>
        <w:rPr>
          <w:rFonts w:hint="eastAsia"/>
          <w:color w:val="auto"/>
          <w:lang w:val="en-US" w:eastAsia="zh-CN"/>
        </w:rPr>
        <w:t>9.83</w:t>
      </w:r>
      <w:r>
        <w:rPr>
          <w:color w:val="auto"/>
        </w:rPr>
        <w:t>%。</w:t>
      </w:r>
    </w:p>
    <w:p w14:paraId="4DA404B4">
      <w:pPr>
        <w:pStyle w:val="41"/>
        <w:bidi w:val="0"/>
        <w:rPr>
          <w:color w:val="auto"/>
        </w:rPr>
      </w:pPr>
      <w:r>
        <w:rPr>
          <w:color w:val="auto"/>
        </w:rPr>
        <w:t>从评价区土地利用现状结构</w:t>
      </w:r>
      <w:r>
        <w:rPr>
          <w:rFonts w:hint="eastAsia"/>
          <w:color w:val="auto"/>
          <w:lang w:eastAsia="zh-CN"/>
        </w:rPr>
        <w:t>看</w:t>
      </w:r>
      <w:r>
        <w:rPr>
          <w:color w:val="auto"/>
        </w:rPr>
        <w:t>，本评价区以林地、</w:t>
      </w:r>
      <w:r>
        <w:rPr>
          <w:rFonts w:hint="eastAsia"/>
          <w:color w:val="auto"/>
        </w:rPr>
        <w:t>耕地</w:t>
      </w:r>
      <w:r>
        <w:rPr>
          <w:color w:val="auto"/>
        </w:rPr>
        <w:t>为优势用地类型，累计占评价区面积的</w:t>
      </w:r>
      <w:r>
        <w:rPr>
          <w:rFonts w:hint="eastAsia"/>
          <w:color w:val="auto"/>
          <w:lang w:val="en-US" w:eastAsia="zh-CN"/>
        </w:rPr>
        <w:t>85.28</w:t>
      </w:r>
      <w:r>
        <w:rPr>
          <w:color w:val="auto"/>
        </w:rPr>
        <w:t>%。该数据表明，本评价区村寨不太密集，有一定开发历史，对土地的垦殖程度高。</w:t>
      </w:r>
    </w:p>
    <w:p w14:paraId="03DE930B">
      <w:pPr>
        <w:pStyle w:val="3"/>
        <w:bidi w:val="0"/>
        <w:rPr>
          <w:rFonts w:hint="eastAsia"/>
          <w:color w:val="auto"/>
          <w:lang w:val="en-US" w:eastAsia="zh-CN"/>
        </w:rPr>
      </w:pPr>
      <w:bookmarkStart w:id="61" w:name="_Toc14204"/>
      <w:r>
        <w:rPr>
          <w:rFonts w:hint="eastAsia"/>
          <w:color w:val="auto"/>
          <w:lang w:val="en-US" w:eastAsia="zh-CN"/>
        </w:rPr>
        <w:t>2.2评价区植被及植物资源现状</w:t>
      </w:r>
      <w:bookmarkEnd w:id="61"/>
    </w:p>
    <w:p w14:paraId="72D1B199">
      <w:pPr>
        <w:pStyle w:val="4"/>
        <w:bidi w:val="0"/>
        <w:rPr>
          <w:rFonts w:hint="default"/>
          <w:color w:val="auto"/>
          <w:lang w:val="en-US" w:eastAsia="zh-CN"/>
        </w:rPr>
      </w:pPr>
      <w:r>
        <w:rPr>
          <w:rFonts w:hint="eastAsia"/>
          <w:color w:val="auto"/>
          <w:lang w:val="en-US" w:eastAsia="zh-CN"/>
        </w:rPr>
        <w:t>2.2.1调查人员及时间</w:t>
      </w:r>
    </w:p>
    <w:p w14:paraId="6C794781">
      <w:pPr>
        <w:spacing w:line="360" w:lineRule="auto"/>
        <w:ind w:firstLine="480" w:firstLineChars="200"/>
        <w:rPr>
          <w:rFonts w:hint="default"/>
          <w:color w:val="auto"/>
          <w:sz w:val="24"/>
          <w:szCs w:val="24"/>
          <w:lang w:val="en-US" w:eastAsia="zh-CN"/>
        </w:rPr>
      </w:pPr>
      <w:r>
        <w:rPr>
          <w:rFonts w:hint="eastAsia"/>
          <w:color w:val="auto"/>
          <w:sz w:val="24"/>
          <w:szCs w:val="24"/>
          <w:lang w:val="en-US" w:eastAsia="zh-CN"/>
        </w:rPr>
        <w:t>（1）主要调</w:t>
      </w:r>
      <w:r>
        <w:rPr>
          <w:rFonts w:hint="default"/>
          <w:color w:val="auto"/>
          <w:sz w:val="24"/>
          <w:szCs w:val="24"/>
          <w:lang w:val="en-US" w:eastAsia="zh-CN"/>
        </w:rPr>
        <w:t>查人员</w:t>
      </w:r>
    </w:p>
    <w:p w14:paraId="2E7EA7D0">
      <w:pPr>
        <w:spacing w:line="360" w:lineRule="auto"/>
        <w:ind w:left="547" w:leftChars="228" w:firstLine="0" w:firstLineChars="0"/>
        <w:rPr>
          <w:rFonts w:hint="eastAsia"/>
          <w:color w:val="auto"/>
          <w:sz w:val="24"/>
          <w:szCs w:val="24"/>
          <w:lang w:val="en-US" w:eastAsia="zh-CN"/>
        </w:rPr>
      </w:pPr>
      <w:r>
        <w:rPr>
          <w:rFonts w:hint="eastAsia"/>
          <w:color w:val="auto"/>
          <w:sz w:val="24"/>
          <w:szCs w:val="24"/>
          <w:lang w:val="en-US" w:eastAsia="zh-CN"/>
        </w:rPr>
        <w:t>文晖，环评工程师，云南大学生态学硕士，昆明龙慧工程设计咨询有限公司；杨惠，河海大学，环境生态工程学士，昆明龙慧工程设计咨询有限公司；</w:t>
      </w:r>
    </w:p>
    <w:p w14:paraId="0811CD41">
      <w:pPr>
        <w:spacing w:line="360" w:lineRule="auto"/>
        <w:ind w:left="547" w:leftChars="228" w:firstLine="0" w:firstLineChars="0"/>
        <w:rPr>
          <w:rFonts w:hint="default"/>
          <w:color w:val="auto"/>
          <w:sz w:val="24"/>
          <w:szCs w:val="24"/>
          <w:lang w:val="en-US" w:eastAsia="zh-CN"/>
        </w:rPr>
      </w:pPr>
      <w:r>
        <w:rPr>
          <w:rFonts w:hint="eastAsia"/>
          <w:color w:val="auto"/>
          <w:sz w:val="24"/>
          <w:szCs w:val="24"/>
          <w:lang w:val="en-US" w:eastAsia="zh-CN"/>
        </w:rPr>
        <w:t>李连涛，西南林业大学，林学学士，昆明龙慧工程设计咨询有限公司。</w:t>
      </w:r>
    </w:p>
    <w:p w14:paraId="4A654B49">
      <w:pPr>
        <w:spacing w:line="360" w:lineRule="auto"/>
        <w:ind w:firstLine="480" w:firstLineChars="200"/>
        <w:rPr>
          <w:rFonts w:hint="eastAsia"/>
          <w:color w:val="auto"/>
          <w:sz w:val="24"/>
          <w:szCs w:val="24"/>
          <w:lang w:val="en-US" w:eastAsia="zh-CN"/>
        </w:rPr>
      </w:pPr>
      <w:r>
        <w:rPr>
          <w:rFonts w:hint="eastAsia"/>
          <w:color w:val="auto"/>
          <w:sz w:val="24"/>
          <w:szCs w:val="24"/>
          <w:lang w:val="en-US" w:eastAsia="zh-CN"/>
        </w:rPr>
        <w:t>（2）调查时间</w:t>
      </w:r>
    </w:p>
    <w:p w14:paraId="35B73575">
      <w:pPr>
        <w:spacing w:line="360" w:lineRule="auto"/>
        <w:ind w:firstLine="480" w:firstLineChars="200"/>
        <w:rPr>
          <w:color w:val="auto"/>
          <w:sz w:val="24"/>
          <w:szCs w:val="24"/>
        </w:rPr>
      </w:pPr>
      <w:r>
        <w:rPr>
          <w:rFonts w:hint="eastAsia"/>
          <w:color w:val="auto"/>
          <w:sz w:val="24"/>
          <w:szCs w:val="24"/>
          <w:lang w:val="en-US" w:eastAsia="zh-CN"/>
        </w:rPr>
        <w:t>本次评价调查时间为</w:t>
      </w:r>
      <w:r>
        <w:rPr>
          <w:color w:val="auto"/>
          <w:sz w:val="24"/>
          <w:szCs w:val="24"/>
        </w:rPr>
        <w:t>202</w:t>
      </w:r>
      <w:r>
        <w:rPr>
          <w:rFonts w:hint="eastAsia"/>
          <w:color w:val="auto"/>
          <w:sz w:val="24"/>
          <w:szCs w:val="24"/>
          <w:lang w:val="en-US" w:eastAsia="zh-CN"/>
        </w:rPr>
        <w:t>5</w:t>
      </w:r>
      <w:r>
        <w:rPr>
          <w:color w:val="auto"/>
          <w:sz w:val="24"/>
          <w:szCs w:val="24"/>
        </w:rPr>
        <w:t>年</w:t>
      </w:r>
      <w:r>
        <w:rPr>
          <w:rFonts w:hint="eastAsia"/>
          <w:color w:val="auto"/>
          <w:sz w:val="24"/>
          <w:szCs w:val="24"/>
          <w:lang w:val="en-US" w:eastAsia="zh-CN"/>
        </w:rPr>
        <w:t>6</w:t>
      </w:r>
      <w:r>
        <w:rPr>
          <w:color w:val="auto"/>
          <w:sz w:val="24"/>
          <w:szCs w:val="24"/>
        </w:rPr>
        <w:t>月</w:t>
      </w:r>
      <w:r>
        <w:rPr>
          <w:rFonts w:hint="eastAsia"/>
          <w:color w:val="auto"/>
          <w:sz w:val="24"/>
          <w:szCs w:val="24"/>
          <w:lang w:val="en-US" w:eastAsia="zh-CN"/>
        </w:rPr>
        <w:t>27</w:t>
      </w:r>
      <w:r>
        <w:rPr>
          <w:color w:val="auto"/>
          <w:sz w:val="24"/>
          <w:szCs w:val="24"/>
        </w:rPr>
        <w:t>日</w:t>
      </w:r>
      <w:r>
        <w:rPr>
          <w:rFonts w:hint="eastAsia"/>
          <w:color w:val="auto"/>
          <w:sz w:val="24"/>
          <w:szCs w:val="24"/>
          <w:lang w:val="en-US" w:eastAsia="zh-CN"/>
        </w:rPr>
        <w:t>~</w:t>
      </w:r>
      <w:r>
        <w:rPr>
          <w:color w:val="auto"/>
          <w:sz w:val="24"/>
          <w:szCs w:val="24"/>
        </w:rPr>
        <w:t>202</w:t>
      </w:r>
      <w:r>
        <w:rPr>
          <w:rFonts w:hint="eastAsia"/>
          <w:color w:val="auto"/>
          <w:sz w:val="24"/>
          <w:szCs w:val="24"/>
          <w:lang w:val="en-US" w:eastAsia="zh-CN"/>
        </w:rPr>
        <w:t>5</w:t>
      </w:r>
      <w:r>
        <w:rPr>
          <w:color w:val="auto"/>
          <w:sz w:val="24"/>
          <w:szCs w:val="24"/>
        </w:rPr>
        <w:t>年</w:t>
      </w:r>
      <w:r>
        <w:rPr>
          <w:rFonts w:hint="eastAsia"/>
          <w:color w:val="auto"/>
          <w:sz w:val="24"/>
          <w:szCs w:val="24"/>
          <w:lang w:val="en-US" w:eastAsia="zh-CN"/>
        </w:rPr>
        <w:t>6</w:t>
      </w:r>
      <w:r>
        <w:rPr>
          <w:color w:val="auto"/>
          <w:sz w:val="24"/>
          <w:szCs w:val="24"/>
        </w:rPr>
        <w:t>月</w:t>
      </w:r>
      <w:r>
        <w:rPr>
          <w:rFonts w:hint="eastAsia"/>
          <w:color w:val="auto"/>
          <w:sz w:val="24"/>
          <w:szCs w:val="24"/>
          <w:lang w:val="en-US" w:eastAsia="zh-CN"/>
        </w:rPr>
        <w:t>30</w:t>
      </w:r>
      <w:r>
        <w:rPr>
          <w:color w:val="auto"/>
          <w:sz w:val="24"/>
          <w:szCs w:val="24"/>
        </w:rPr>
        <w:t>日</w:t>
      </w:r>
      <w:r>
        <w:rPr>
          <w:rFonts w:hint="eastAsia"/>
          <w:color w:val="auto"/>
          <w:sz w:val="24"/>
          <w:szCs w:val="24"/>
          <w:lang w:eastAsia="zh-CN"/>
        </w:rPr>
        <w:t>。</w:t>
      </w:r>
    </w:p>
    <w:p w14:paraId="477FBBF7">
      <w:pPr>
        <w:pStyle w:val="4"/>
        <w:bidi w:val="0"/>
        <w:rPr>
          <w:rFonts w:hint="default"/>
          <w:color w:val="auto"/>
          <w:lang w:val="en-US" w:eastAsia="zh-CN"/>
        </w:rPr>
      </w:pPr>
      <w:r>
        <w:rPr>
          <w:rFonts w:hint="eastAsia"/>
          <w:color w:val="auto"/>
          <w:lang w:val="en-US" w:eastAsia="zh-CN"/>
        </w:rPr>
        <w:t>2.2.2调查方法</w:t>
      </w:r>
    </w:p>
    <w:p w14:paraId="658C73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本次评价采取资料收集、专家和公众咨询、现场调查，以及结合遥感调查等方法对</w:t>
      </w:r>
      <w:r>
        <w:rPr>
          <w:rFonts w:hint="default" w:ascii="Times New Roman" w:hAnsi="Times New Roman" w:eastAsia="宋体" w:cs="Times New Roman"/>
          <w:color w:val="auto"/>
          <w:sz w:val="24"/>
          <w:szCs w:val="24"/>
        </w:rPr>
        <w:t>评价</w:t>
      </w:r>
      <w:r>
        <w:rPr>
          <w:rFonts w:hint="eastAsia" w:ascii="Times New Roman" w:hAnsi="Times New Roman" w:eastAsia="宋体" w:cs="Times New Roman"/>
          <w:color w:val="auto"/>
          <w:sz w:val="24"/>
          <w:szCs w:val="24"/>
          <w:lang w:val="en-US" w:eastAsia="zh-CN"/>
        </w:rPr>
        <w:t>范围</w:t>
      </w:r>
      <w:r>
        <w:rPr>
          <w:rFonts w:hint="default" w:ascii="Times New Roman" w:hAnsi="Times New Roman" w:eastAsia="宋体" w:cs="Times New Roman"/>
          <w:color w:val="auto"/>
          <w:sz w:val="24"/>
          <w:szCs w:val="24"/>
        </w:rPr>
        <w:t>内</w:t>
      </w:r>
      <w:r>
        <w:rPr>
          <w:rFonts w:hint="eastAsia" w:ascii="Times New Roman" w:hAnsi="Times New Roman" w:eastAsia="宋体" w:cs="Times New Roman"/>
          <w:color w:val="auto"/>
          <w:sz w:val="24"/>
          <w:szCs w:val="24"/>
          <w:lang w:eastAsia="zh-CN"/>
        </w:rPr>
        <w:t>的</w:t>
      </w:r>
      <w:r>
        <w:rPr>
          <w:rFonts w:hint="eastAsia" w:ascii="Times New Roman" w:hAnsi="Times New Roman" w:eastAsia="宋体" w:cs="Times New Roman"/>
          <w:color w:val="auto"/>
          <w:sz w:val="24"/>
          <w:szCs w:val="24"/>
          <w:lang w:val="en-US" w:eastAsia="zh-CN"/>
        </w:rPr>
        <w:t>陆生生态现状进行了调查</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具体调查方法如下：</w:t>
      </w:r>
    </w:p>
    <w:p w14:paraId="73C6BAE6">
      <w:pPr>
        <w:pStyle w:val="41"/>
        <w:bidi w:val="0"/>
        <w:rPr>
          <w:rFonts w:hint="default"/>
          <w:color w:val="auto"/>
          <w:lang w:val="en-US" w:eastAsia="zh-CN"/>
        </w:rPr>
      </w:pPr>
      <w:r>
        <w:rPr>
          <w:rFonts w:hint="eastAsia"/>
          <w:color w:val="auto"/>
          <w:lang w:val="en-US" w:eastAsia="zh-CN"/>
        </w:rPr>
        <w:t>（1）资料收集、专家和公众咨询</w:t>
      </w:r>
    </w:p>
    <w:p w14:paraId="6B1AC7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eastAsia"/>
          <w:color w:val="auto"/>
          <w:sz w:val="24"/>
          <w:szCs w:val="24"/>
          <w:lang w:val="en-US" w:eastAsia="zh-CN"/>
        </w:rPr>
        <w:t>收集西泽风电场的生态调查和评价结果。</w:t>
      </w:r>
      <w:r>
        <w:rPr>
          <w:rFonts w:hint="default" w:ascii="Times New Roman" w:hAnsi="Times New Roman" w:eastAsia="宋体" w:cs="Times New Roman"/>
          <w:color w:val="auto"/>
          <w:sz w:val="24"/>
          <w:szCs w:val="24"/>
        </w:rPr>
        <w:t>向</w:t>
      </w:r>
      <w:r>
        <w:rPr>
          <w:rFonts w:hint="eastAsia" w:cs="Times New Roman"/>
          <w:color w:val="auto"/>
          <w:sz w:val="24"/>
          <w:szCs w:val="24"/>
          <w:lang w:val="en-US" w:eastAsia="zh-CN"/>
        </w:rPr>
        <w:t>宣威市</w:t>
      </w:r>
      <w:r>
        <w:rPr>
          <w:rFonts w:hint="default" w:ascii="Times New Roman" w:hAnsi="Times New Roman" w:cs="Times New Roman"/>
          <w:color w:val="auto"/>
          <w:sz w:val="24"/>
          <w:szCs w:val="24"/>
          <w:lang w:val="en-US" w:eastAsia="zh-CN"/>
        </w:rPr>
        <w:t>林草</w:t>
      </w:r>
      <w:r>
        <w:rPr>
          <w:rFonts w:hint="default" w:ascii="Times New Roman" w:hAnsi="Times New Roman" w:eastAsia="宋体" w:cs="Times New Roman"/>
          <w:color w:val="auto"/>
          <w:sz w:val="24"/>
          <w:szCs w:val="24"/>
        </w:rPr>
        <w:t>局的专业技术人员详细了解当地森林资源、</w:t>
      </w:r>
      <w:r>
        <w:rPr>
          <w:rFonts w:hint="eastAsia" w:ascii="Times New Roman" w:hAnsi="Times New Roman" w:eastAsia="宋体" w:cs="Times New Roman"/>
          <w:color w:val="auto"/>
          <w:sz w:val="24"/>
          <w:szCs w:val="24"/>
          <w:lang w:val="en-US" w:eastAsia="zh-CN"/>
        </w:rPr>
        <w:t>自然保护区分布</w:t>
      </w:r>
      <w:r>
        <w:rPr>
          <w:rFonts w:hint="default" w:ascii="Times New Roman" w:hAnsi="Times New Roman" w:eastAsia="宋体" w:cs="Times New Roman"/>
          <w:color w:val="auto"/>
          <w:sz w:val="24"/>
          <w:szCs w:val="24"/>
        </w:rPr>
        <w:t>、野生植物的种类组成和变动情况。走访群众，了解野生植物的种类和变动情况。收集</w:t>
      </w:r>
      <w:r>
        <w:rPr>
          <w:rFonts w:hint="default" w:ascii="Times New Roman" w:hAnsi="Times New Roman" w:eastAsia="宋体" w:cs="Times New Roman"/>
          <w:color w:val="auto"/>
          <w:sz w:val="24"/>
          <w:szCs w:val="24"/>
          <w:lang w:val="en-US" w:eastAsia="zh-CN"/>
        </w:rPr>
        <w:t>评价区国土三调、林业资源二类调查资料</w:t>
      </w:r>
      <w:r>
        <w:rPr>
          <w:rFonts w:hint="default" w:ascii="Times New Roman" w:hAnsi="Times New Roman" w:eastAsia="宋体" w:cs="Times New Roman"/>
          <w:color w:val="auto"/>
          <w:sz w:val="24"/>
          <w:szCs w:val="24"/>
        </w:rPr>
        <w:t>等。并查阅以下文献：</w:t>
      </w:r>
    </w:p>
    <w:p w14:paraId="1E2F124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薛纪如</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姜汉侨</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1986</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云南森林[M]</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云南科技出版社</w:t>
      </w:r>
      <w:r>
        <w:rPr>
          <w:rFonts w:hint="eastAsia" w:ascii="Times New Roman" w:hAnsi="Times New Roman" w:eastAsia="宋体" w:cs="Times New Roman"/>
          <w:color w:val="auto"/>
          <w:sz w:val="24"/>
          <w:szCs w:val="24"/>
          <w:lang w:val="en-US" w:eastAsia="zh-CN"/>
        </w:rPr>
        <w:t>.</w:t>
      </w:r>
    </w:p>
    <w:p w14:paraId="62F9E4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吴征镒</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朱彦丞</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姜汉侨</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1987</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云南植被[M]</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科学出版社</w:t>
      </w:r>
      <w:r>
        <w:rPr>
          <w:rFonts w:hint="eastAsia" w:ascii="Times New Roman" w:hAnsi="Times New Roman" w:eastAsia="宋体" w:cs="Times New Roman"/>
          <w:color w:val="auto"/>
          <w:sz w:val="24"/>
          <w:szCs w:val="24"/>
          <w:lang w:val="en-US" w:eastAsia="zh-CN"/>
        </w:rPr>
        <w:t>.</w:t>
      </w:r>
    </w:p>
    <w:p w14:paraId="372DE0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吴征镒</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1980</w:t>
      </w:r>
      <w:r>
        <w:rPr>
          <w:rFonts w:hint="eastAsia" w:ascii="Times New Roman" w:hAnsi="Times New Roman" w:eastAsia="宋体" w:cs="Times New Roman"/>
          <w:color w:val="auto"/>
          <w:sz w:val="24"/>
          <w:szCs w:val="24"/>
          <w:lang w:val="en-US" w:eastAsia="zh-CN"/>
        </w:rPr>
        <w:t>.</w:t>
      </w:r>
      <w:r>
        <w:rPr>
          <w:rFonts w:hint="default" w:ascii="Times New Roman" w:hAnsi="Times New Roman" w:eastAsia="宋体" w:cs="Times New Roman"/>
          <w:color w:val="auto"/>
          <w:sz w:val="24"/>
          <w:szCs w:val="24"/>
        </w:rPr>
        <w:t>中国植被编辑委员会</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中国植被[M]</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科学出版社</w:t>
      </w:r>
      <w:r>
        <w:rPr>
          <w:rFonts w:hint="eastAsia" w:ascii="Times New Roman" w:hAnsi="Times New Roman" w:eastAsia="宋体" w:cs="Times New Roman"/>
          <w:color w:val="auto"/>
          <w:sz w:val="24"/>
          <w:szCs w:val="24"/>
          <w:lang w:val="en-US" w:eastAsia="zh-CN"/>
        </w:rPr>
        <w:t>.</w:t>
      </w:r>
    </w:p>
    <w:p w14:paraId="35B451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吴征镒</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1991.中国种子植物属的分布区类型[J]</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云南植物研究</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1(9):1-139</w:t>
      </w:r>
      <w:r>
        <w:rPr>
          <w:rFonts w:hint="eastAsia" w:ascii="Times New Roman" w:hAnsi="Times New Roman" w:eastAsia="宋体" w:cs="Times New Roman"/>
          <w:color w:val="auto"/>
          <w:sz w:val="24"/>
          <w:szCs w:val="24"/>
          <w:lang w:val="en-US" w:eastAsia="zh-CN"/>
        </w:rPr>
        <w:t>.</w:t>
      </w:r>
    </w:p>
    <w:p w14:paraId="60B6FB32">
      <w:pPr>
        <w:pStyle w:val="41"/>
        <w:bidi w:val="0"/>
        <w:rPr>
          <w:rFonts w:hint="default"/>
          <w:color w:val="auto"/>
          <w:lang w:val="en-US" w:eastAsia="zh-CN"/>
        </w:rPr>
      </w:pPr>
      <w:r>
        <w:rPr>
          <w:rFonts w:hint="eastAsia"/>
          <w:color w:val="auto"/>
          <w:lang w:val="en-US" w:eastAsia="zh-CN"/>
        </w:rPr>
        <w:t>（2）现场调查</w:t>
      </w:r>
    </w:p>
    <w:p w14:paraId="36338475">
      <w:pPr>
        <w:spacing w:line="360" w:lineRule="auto"/>
        <w:ind w:firstLine="480" w:firstLineChars="200"/>
        <w:rPr>
          <w:bCs/>
          <w:color w:val="auto"/>
          <w:sz w:val="24"/>
          <w:highlight w:val="none"/>
        </w:rPr>
      </w:pPr>
      <w:r>
        <w:rPr>
          <w:rFonts w:hint="eastAsia"/>
          <w:bCs/>
          <w:color w:val="auto"/>
          <w:sz w:val="24"/>
          <w:highlight w:val="none"/>
          <w:lang w:val="en-US" w:eastAsia="zh-CN"/>
        </w:rPr>
        <w:t>调查</w:t>
      </w:r>
      <w:r>
        <w:rPr>
          <w:bCs/>
          <w:color w:val="auto"/>
          <w:sz w:val="24"/>
          <w:highlight w:val="none"/>
        </w:rPr>
        <w:t>组对项目</w:t>
      </w:r>
      <w:r>
        <w:rPr>
          <w:rFonts w:hint="eastAsia"/>
          <w:bCs/>
          <w:color w:val="auto"/>
          <w:sz w:val="24"/>
          <w:highlight w:val="none"/>
          <w:lang w:val="en-US" w:eastAsia="zh-CN"/>
        </w:rPr>
        <w:t>评价区</w:t>
      </w:r>
      <w:r>
        <w:rPr>
          <w:bCs/>
          <w:color w:val="auto"/>
          <w:sz w:val="24"/>
          <w:highlight w:val="none"/>
        </w:rPr>
        <w:t>内的每种植物群落进行典型样地调查。植被调查采用线路调查和样地调查相结合的方法，根据植被类型的划分条件，结合地形图和卫星影像对群落/栖息地类型进行区划。为了进一步掌握群落的内部特征和组成特点，采用典型选样的方法，进行样地调查。在对评价区全面踏查的基础上，根据地形、海拔、坡向、坡位、土壤以及植被类型和主要组成成分的特点，采用典型抽样法，选择一些典型地段（生境）和代表性的植被类型，采用群落学调查法，设置调查样地，对每块样地均记录经纬度、海拔、土壤类型、土层厚度、坡向、坡度、坡位等因子。森林类型的样地调查采用20</w:t>
      </w:r>
      <w:r>
        <w:rPr>
          <w:rFonts w:hint="eastAsia"/>
          <w:bCs/>
          <w:color w:val="auto"/>
          <w:sz w:val="24"/>
          <w:highlight w:val="none"/>
          <w:lang w:val="en-US" w:eastAsia="zh-CN"/>
        </w:rPr>
        <w:t>m</w:t>
      </w:r>
      <w:r>
        <w:rPr>
          <w:bCs/>
          <w:color w:val="auto"/>
          <w:sz w:val="24"/>
          <w:highlight w:val="none"/>
        </w:rPr>
        <w:t>×20m样方，灌丛类型采用</w:t>
      </w:r>
      <w:r>
        <w:rPr>
          <w:rFonts w:hint="eastAsia"/>
          <w:bCs/>
          <w:color w:val="auto"/>
          <w:sz w:val="24"/>
          <w:highlight w:val="none"/>
          <w:lang w:val="en-US" w:eastAsia="zh-CN"/>
        </w:rPr>
        <w:t>10m</w:t>
      </w:r>
      <w:r>
        <w:rPr>
          <w:bCs/>
          <w:color w:val="auto"/>
          <w:sz w:val="24"/>
          <w:highlight w:val="none"/>
        </w:rPr>
        <w:t>×</w:t>
      </w:r>
      <w:r>
        <w:rPr>
          <w:rFonts w:hint="eastAsia"/>
          <w:bCs/>
          <w:color w:val="auto"/>
          <w:sz w:val="24"/>
          <w:highlight w:val="none"/>
          <w:lang w:val="en-US" w:eastAsia="zh-CN"/>
        </w:rPr>
        <w:t>10</w:t>
      </w:r>
      <w:r>
        <w:rPr>
          <w:bCs/>
          <w:color w:val="auto"/>
          <w:sz w:val="24"/>
          <w:highlight w:val="none"/>
        </w:rPr>
        <w:t>m的样方</w:t>
      </w:r>
      <w:r>
        <w:rPr>
          <w:rFonts w:hint="eastAsia"/>
          <w:bCs/>
          <w:color w:val="auto"/>
          <w:sz w:val="24"/>
          <w:highlight w:val="none"/>
        </w:rPr>
        <w:t>，草地类型采用</w:t>
      </w:r>
      <w:r>
        <w:rPr>
          <w:rFonts w:hint="eastAsia"/>
          <w:bCs/>
          <w:color w:val="auto"/>
          <w:sz w:val="24"/>
          <w:highlight w:val="none"/>
          <w:lang w:val="en-US" w:eastAsia="zh-CN"/>
        </w:rPr>
        <w:t>5m</w:t>
      </w:r>
      <w:r>
        <w:rPr>
          <w:bCs/>
          <w:color w:val="auto"/>
          <w:sz w:val="24"/>
          <w:highlight w:val="none"/>
        </w:rPr>
        <w:t>×</w:t>
      </w:r>
      <w:r>
        <w:rPr>
          <w:rFonts w:hint="eastAsia"/>
          <w:bCs/>
          <w:color w:val="auto"/>
          <w:sz w:val="24"/>
          <w:highlight w:val="none"/>
          <w:lang w:val="en-US" w:eastAsia="zh-CN"/>
        </w:rPr>
        <w:t>5</w:t>
      </w:r>
      <w:r>
        <w:rPr>
          <w:bCs/>
          <w:color w:val="auto"/>
          <w:sz w:val="24"/>
          <w:highlight w:val="none"/>
        </w:rPr>
        <w:t>m的样方</w:t>
      </w:r>
      <w:r>
        <w:rPr>
          <w:rFonts w:hint="eastAsia"/>
          <w:bCs/>
          <w:color w:val="auto"/>
          <w:sz w:val="24"/>
          <w:highlight w:val="none"/>
          <w:lang w:eastAsia="zh-CN"/>
        </w:rPr>
        <w:t>，</w:t>
      </w:r>
      <w:r>
        <w:rPr>
          <w:bCs/>
          <w:color w:val="auto"/>
          <w:sz w:val="24"/>
          <w:highlight w:val="none"/>
        </w:rPr>
        <w:t>共调查</w:t>
      </w:r>
      <w:r>
        <w:rPr>
          <w:rFonts w:hint="eastAsia"/>
          <w:bCs/>
          <w:color w:val="auto"/>
          <w:sz w:val="24"/>
          <w:highlight w:val="none"/>
          <w:lang w:val="en-US" w:eastAsia="zh-CN"/>
        </w:rPr>
        <w:t>18</w:t>
      </w:r>
      <w:r>
        <w:rPr>
          <w:bCs/>
          <w:color w:val="auto"/>
          <w:sz w:val="24"/>
          <w:highlight w:val="none"/>
        </w:rPr>
        <w:t>个</w:t>
      </w:r>
      <w:r>
        <w:rPr>
          <w:rFonts w:hint="eastAsia"/>
          <w:bCs/>
          <w:color w:val="auto"/>
          <w:sz w:val="24"/>
          <w:highlight w:val="none"/>
          <w:lang w:val="en-US" w:eastAsia="zh-CN"/>
        </w:rPr>
        <w:t>样方</w:t>
      </w:r>
      <w:r>
        <w:rPr>
          <w:bCs/>
          <w:color w:val="auto"/>
          <w:sz w:val="24"/>
          <w:highlight w:val="none"/>
        </w:rPr>
        <w:t>。</w:t>
      </w:r>
    </w:p>
    <w:p w14:paraId="52DC5ED7">
      <w:pPr>
        <w:spacing w:line="360" w:lineRule="auto"/>
        <w:ind w:firstLine="480" w:firstLineChars="200"/>
        <w:rPr>
          <w:color w:val="auto"/>
          <w:sz w:val="24"/>
          <w:highlight w:val="none"/>
        </w:rPr>
      </w:pPr>
      <w:r>
        <w:rPr>
          <w:color w:val="auto"/>
          <w:sz w:val="24"/>
          <w:highlight w:val="none"/>
        </w:rPr>
        <w:t>（1）乔木层调查</w:t>
      </w:r>
    </w:p>
    <w:p w14:paraId="1E24121B">
      <w:pPr>
        <w:spacing w:line="360" w:lineRule="auto"/>
        <w:ind w:firstLine="480" w:firstLineChars="200"/>
        <w:rPr>
          <w:color w:val="auto"/>
          <w:sz w:val="24"/>
          <w:highlight w:val="none"/>
        </w:rPr>
      </w:pPr>
      <w:r>
        <w:rPr>
          <w:color w:val="auto"/>
          <w:sz w:val="24"/>
          <w:highlight w:val="none"/>
        </w:rPr>
        <w:t>胸径大于5cm的木本植物（乔木、高大灌木）作为乔木层，对其进行包括胸径、树高、</w:t>
      </w:r>
      <w:r>
        <w:rPr>
          <w:rFonts w:hint="eastAsia"/>
          <w:color w:val="auto"/>
          <w:sz w:val="24"/>
          <w:highlight w:val="none"/>
          <w:lang w:val="en-US" w:eastAsia="zh-CN"/>
        </w:rPr>
        <w:t>冠幅</w:t>
      </w:r>
      <w:r>
        <w:rPr>
          <w:color w:val="auto"/>
          <w:sz w:val="24"/>
          <w:highlight w:val="none"/>
        </w:rPr>
        <w:t>等内容的调查。</w:t>
      </w:r>
    </w:p>
    <w:p w14:paraId="6A2ABD87">
      <w:pPr>
        <w:spacing w:line="360" w:lineRule="auto"/>
        <w:ind w:firstLine="480" w:firstLineChars="200"/>
        <w:rPr>
          <w:color w:val="auto"/>
          <w:sz w:val="24"/>
          <w:highlight w:val="none"/>
        </w:rPr>
      </w:pPr>
      <w:r>
        <w:rPr>
          <w:color w:val="auto"/>
          <w:sz w:val="24"/>
          <w:highlight w:val="none"/>
        </w:rPr>
        <w:t>（2）灌木层和草本层调查</w:t>
      </w:r>
    </w:p>
    <w:p w14:paraId="7D2B5754">
      <w:pPr>
        <w:spacing w:line="360" w:lineRule="auto"/>
        <w:ind w:firstLine="480" w:firstLineChars="200"/>
        <w:rPr>
          <w:color w:val="auto"/>
          <w:sz w:val="24"/>
          <w:highlight w:val="none"/>
        </w:rPr>
      </w:pPr>
      <w:r>
        <w:rPr>
          <w:color w:val="auto"/>
          <w:sz w:val="24"/>
          <w:highlight w:val="none"/>
        </w:rPr>
        <w:t>胸径小于5cm的乔木幼树和灌木，作为灌木层；草本植物作为草本层；层间植物包括附生植物、寄生植物、木质藤本和草质藤本。对灌木层、草本层和层间植物，主要调查其</w:t>
      </w:r>
      <w:r>
        <w:rPr>
          <w:rFonts w:hint="eastAsia"/>
          <w:color w:val="auto"/>
          <w:sz w:val="24"/>
          <w:highlight w:val="none"/>
          <w:lang w:val="en-US" w:eastAsia="zh-CN"/>
        </w:rPr>
        <w:t>多优度、群聚度</w:t>
      </w:r>
      <w:r>
        <w:rPr>
          <w:color w:val="auto"/>
          <w:sz w:val="24"/>
          <w:highlight w:val="none"/>
        </w:rPr>
        <w:t>等。</w:t>
      </w:r>
    </w:p>
    <w:p w14:paraId="5561EE10">
      <w:pPr>
        <w:spacing w:line="360" w:lineRule="auto"/>
        <w:ind w:firstLine="480" w:firstLineChars="200"/>
        <w:rPr>
          <w:color w:val="auto"/>
          <w:sz w:val="24"/>
          <w:highlight w:val="none"/>
        </w:rPr>
      </w:pPr>
      <w:r>
        <w:rPr>
          <w:color w:val="auto"/>
          <w:sz w:val="24"/>
          <w:highlight w:val="none"/>
        </w:rPr>
        <w:t>（3）统计分析</w:t>
      </w:r>
    </w:p>
    <w:p w14:paraId="3DBE99AA">
      <w:pPr>
        <w:spacing w:line="360" w:lineRule="auto"/>
        <w:ind w:firstLine="480" w:firstLineChars="200"/>
        <w:rPr>
          <w:color w:val="auto"/>
          <w:sz w:val="24"/>
          <w:highlight w:val="none"/>
        </w:rPr>
      </w:pPr>
      <w:r>
        <w:rPr>
          <w:color w:val="auto"/>
          <w:sz w:val="24"/>
          <w:highlight w:val="none"/>
        </w:rPr>
        <w:t>根据野外调查样方资料，分析样方数据。根据样地调查资料、野外照片资料及评价区卫星地图等，按照《云南植被》的分类体系，以及土地利用类型的分类体系，确定评价区植被类型体系和土地利用类型，统计各类型的面积。</w:t>
      </w:r>
    </w:p>
    <w:p w14:paraId="7F08D0F0">
      <w:pPr>
        <w:pStyle w:val="42"/>
        <w:bidi w:val="0"/>
        <w:rPr>
          <w:rFonts w:hint="default"/>
          <w:color w:val="auto"/>
          <w:lang w:val="en-US" w:eastAsia="zh-CN"/>
        </w:rPr>
      </w:pPr>
      <w:r>
        <w:rPr>
          <w:rFonts w:hint="eastAsia"/>
          <w:color w:val="auto"/>
          <w:lang w:val="en-US" w:eastAsia="zh-CN"/>
        </w:rPr>
        <w:t>表2-2  评价区植物调查样方一览表</w:t>
      </w:r>
    </w:p>
    <w:tbl>
      <w:tblPr>
        <w:tblStyle w:val="21"/>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565"/>
        <w:gridCol w:w="817"/>
        <w:gridCol w:w="1000"/>
        <w:gridCol w:w="1689"/>
        <w:gridCol w:w="853"/>
        <w:gridCol w:w="711"/>
        <w:gridCol w:w="776"/>
        <w:gridCol w:w="750"/>
        <w:gridCol w:w="836"/>
        <w:gridCol w:w="837"/>
      </w:tblGrid>
      <w:tr w14:paraId="06DA77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vAlign w:val="center"/>
          </w:tcPr>
          <w:p w14:paraId="39AA8333">
            <w:pPr>
              <w:pStyle w:val="34"/>
              <w:tabs>
                <w:tab w:val="left" w:pos="1389"/>
              </w:tabs>
              <w:bidi w:val="0"/>
              <w:rPr>
                <w:rFonts w:hint="default"/>
                <w:color w:val="auto"/>
                <w:lang w:val="en-US" w:eastAsia="zh-CN"/>
              </w:rPr>
            </w:pPr>
            <w:r>
              <w:rPr>
                <w:rFonts w:hint="default"/>
                <w:color w:val="auto"/>
                <w:lang w:val="en-US" w:eastAsia="zh-CN"/>
              </w:rPr>
              <w:t>序号</w:t>
            </w:r>
          </w:p>
        </w:tc>
        <w:tc>
          <w:tcPr>
            <w:tcW w:w="817" w:type="dxa"/>
            <w:tcBorders>
              <w:tl2br w:val="nil"/>
              <w:tr2bl w:val="nil"/>
            </w:tcBorders>
            <w:vAlign w:val="center"/>
          </w:tcPr>
          <w:p w14:paraId="6FCF6C17">
            <w:pPr>
              <w:pStyle w:val="34"/>
              <w:tabs>
                <w:tab w:val="left" w:pos="1389"/>
              </w:tabs>
              <w:bidi w:val="0"/>
              <w:rPr>
                <w:rFonts w:hint="default"/>
                <w:color w:val="auto"/>
                <w:lang w:val="en-US" w:eastAsia="zh-CN"/>
              </w:rPr>
            </w:pPr>
            <w:r>
              <w:rPr>
                <w:rFonts w:hint="default"/>
                <w:color w:val="auto"/>
                <w:lang w:val="en-US" w:eastAsia="zh-CN"/>
              </w:rPr>
              <w:t>植被群系</w:t>
            </w:r>
          </w:p>
        </w:tc>
        <w:tc>
          <w:tcPr>
            <w:tcW w:w="1000" w:type="dxa"/>
            <w:tcBorders>
              <w:tl2br w:val="nil"/>
              <w:tr2bl w:val="nil"/>
            </w:tcBorders>
            <w:vAlign w:val="center"/>
          </w:tcPr>
          <w:p w14:paraId="713331F8">
            <w:pPr>
              <w:pStyle w:val="34"/>
              <w:tabs>
                <w:tab w:val="left" w:pos="1389"/>
              </w:tabs>
              <w:bidi w:val="0"/>
              <w:rPr>
                <w:rFonts w:hint="default"/>
                <w:color w:val="auto"/>
                <w:lang w:val="en-US" w:eastAsia="zh-CN"/>
              </w:rPr>
            </w:pPr>
            <w:r>
              <w:rPr>
                <w:rFonts w:hint="default"/>
                <w:color w:val="auto"/>
                <w:lang w:val="en-US" w:eastAsia="zh-CN"/>
              </w:rPr>
              <w:t>工程</w:t>
            </w:r>
          </w:p>
          <w:p w14:paraId="39AC6BF1">
            <w:pPr>
              <w:pStyle w:val="34"/>
              <w:tabs>
                <w:tab w:val="left" w:pos="1389"/>
              </w:tabs>
              <w:bidi w:val="0"/>
              <w:rPr>
                <w:rFonts w:hint="default"/>
                <w:color w:val="auto"/>
                <w:lang w:val="en-US" w:eastAsia="zh-CN"/>
              </w:rPr>
            </w:pPr>
            <w:r>
              <w:rPr>
                <w:rFonts w:hint="default"/>
                <w:color w:val="auto"/>
                <w:lang w:val="en-US" w:eastAsia="zh-CN"/>
              </w:rPr>
              <w:t>位置</w:t>
            </w:r>
          </w:p>
        </w:tc>
        <w:tc>
          <w:tcPr>
            <w:tcW w:w="1689" w:type="dxa"/>
            <w:tcBorders>
              <w:tl2br w:val="nil"/>
              <w:tr2bl w:val="nil"/>
            </w:tcBorders>
            <w:vAlign w:val="center"/>
          </w:tcPr>
          <w:p w14:paraId="6CF16021">
            <w:pPr>
              <w:pStyle w:val="34"/>
              <w:tabs>
                <w:tab w:val="left" w:pos="1389"/>
              </w:tabs>
              <w:bidi w:val="0"/>
              <w:rPr>
                <w:rFonts w:hint="default"/>
                <w:color w:val="auto"/>
                <w:lang w:val="en-US" w:eastAsia="zh-CN"/>
              </w:rPr>
            </w:pPr>
            <w:r>
              <w:rPr>
                <w:rFonts w:hint="default"/>
                <w:color w:val="auto"/>
                <w:lang w:val="en-US" w:eastAsia="zh-CN"/>
              </w:rPr>
              <w:t>经纬度</w:t>
            </w:r>
          </w:p>
        </w:tc>
        <w:tc>
          <w:tcPr>
            <w:tcW w:w="853" w:type="dxa"/>
            <w:tcBorders>
              <w:tl2br w:val="nil"/>
              <w:tr2bl w:val="nil"/>
            </w:tcBorders>
            <w:vAlign w:val="center"/>
          </w:tcPr>
          <w:p w14:paraId="2C9BA79F">
            <w:pPr>
              <w:pStyle w:val="34"/>
              <w:tabs>
                <w:tab w:val="left" w:pos="1389"/>
              </w:tabs>
              <w:bidi w:val="0"/>
              <w:rPr>
                <w:rFonts w:hint="default"/>
                <w:color w:val="auto"/>
                <w:lang w:val="en-US" w:eastAsia="zh-CN"/>
              </w:rPr>
            </w:pPr>
            <w:r>
              <w:rPr>
                <w:rFonts w:hint="default"/>
                <w:color w:val="auto"/>
                <w:lang w:val="en-US" w:eastAsia="zh-CN"/>
              </w:rPr>
              <w:t>海拔</w:t>
            </w:r>
          </w:p>
          <w:p w14:paraId="63EC078E">
            <w:pPr>
              <w:pStyle w:val="34"/>
              <w:tabs>
                <w:tab w:val="left" w:pos="1389"/>
              </w:tabs>
              <w:bidi w:val="0"/>
              <w:rPr>
                <w:rFonts w:hint="default"/>
                <w:color w:val="auto"/>
                <w:lang w:val="en-US" w:eastAsia="zh-CN"/>
              </w:rPr>
            </w:pPr>
            <w:r>
              <w:rPr>
                <w:rFonts w:hint="default"/>
                <w:color w:val="auto"/>
                <w:lang w:val="en-US" w:eastAsia="zh-CN"/>
              </w:rPr>
              <w:t>m</w:t>
            </w:r>
          </w:p>
        </w:tc>
        <w:tc>
          <w:tcPr>
            <w:tcW w:w="711" w:type="dxa"/>
            <w:tcBorders>
              <w:tl2br w:val="nil"/>
              <w:tr2bl w:val="nil"/>
            </w:tcBorders>
            <w:vAlign w:val="center"/>
          </w:tcPr>
          <w:p w14:paraId="060214B0">
            <w:pPr>
              <w:pStyle w:val="34"/>
              <w:tabs>
                <w:tab w:val="left" w:pos="1389"/>
              </w:tabs>
              <w:bidi w:val="0"/>
              <w:rPr>
                <w:rFonts w:hint="default"/>
                <w:color w:val="auto"/>
                <w:lang w:val="en-US" w:eastAsia="zh-CN"/>
              </w:rPr>
            </w:pPr>
            <w:r>
              <w:rPr>
                <w:rFonts w:hint="default"/>
                <w:color w:val="auto"/>
                <w:lang w:val="en-US" w:eastAsia="zh-CN"/>
              </w:rPr>
              <w:t>地形</w:t>
            </w:r>
          </w:p>
        </w:tc>
        <w:tc>
          <w:tcPr>
            <w:tcW w:w="776" w:type="dxa"/>
            <w:tcBorders>
              <w:tl2br w:val="nil"/>
              <w:tr2bl w:val="nil"/>
            </w:tcBorders>
            <w:vAlign w:val="center"/>
          </w:tcPr>
          <w:p w14:paraId="05A87EBE">
            <w:pPr>
              <w:pStyle w:val="34"/>
              <w:tabs>
                <w:tab w:val="left" w:pos="1389"/>
              </w:tabs>
              <w:bidi w:val="0"/>
              <w:rPr>
                <w:rFonts w:hint="default"/>
                <w:color w:val="auto"/>
                <w:lang w:val="en-US" w:eastAsia="zh-CN"/>
              </w:rPr>
            </w:pPr>
            <w:r>
              <w:rPr>
                <w:rFonts w:hint="default"/>
                <w:color w:val="auto"/>
                <w:lang w:val="en-US" w:eastAsia="zh-CN"/>
              </w:rPr>
              <w:t>坡向</w:t>
            </w:r>
          </w:p>
        </w:tc>
        <w:tc>
          <w:tcPr>
            <w:tcW w:w="750" w:type="dxa"/>
            <w:tcBorders>
              <w:tl2br w:val="nil"/>
              <w:tr2bl w:val="nil"/>
            </w:tcBorders>
            <w:vAlign w:val="center"/>
          </w:tcPr>
          <w:p w14:paraId="3DD7751C">
            <w:pPr>
              <w:pStyle w:val="34"/>
              <w:tabs>
                <w:tab w:val="left" w:pos="1389"/>
              </w:tabs>
              <w:bidi w:val="0"/>
              <w:rPr>
                <w:rFonts w:hint="default"/>
                <w:color w:val="auto"/>
                <w:lang w:val="en-US" w:eastAsia="zh-CN"/>
              </w:rPr>
            </w:pPr>
            <w:r>
              <w:rPr>
                <w:rFonts w:hint="eastAsia"/>
                <w:color w:val="auto"/>
                <w:lang w:val="en-US" w:eastAsia="zh-CN"/>
              </w:rPr>
              <w:t>坡度</w:t>
            </w:r>
          </w:p>
        </w:tc>
        <w:tc>
          <w:tcPr>
            <w:tcW w:w="836" w:type="dxa"/>
            <w:tcBorders>
              <w:tl2br w:val="nil"/>
              <w:tr2bl w:val="nil"/>
            </w:tcBorders>
            <w:vAlign w:val="center"/>
          </w:tcPr>
          <w:p w14:paraId="5E9A8535">
            <w:pPr>
              <w:pStyle w:val="34"/>
              <w:tabs>
                <w:tab w:val="left" w:pos="1389"/>
              </w:tabs>
              <w:bidi w:val="0"/>
              <w:rPr>
                <w:rFonts w:hint="default"/>
                <w:color w:val="auto"/>
                <w:lang w:val="en-US" w:eastAsia="zh-CN"/>
              </w:rPr>
            </w:pPr>
            <w:r>
              <w:rPr>
                <w:rFonts w:hint="default"/>
                <w:color w:val="auto"/>
                <w:lang w:val="en-US" w:eastAsia="zh-CN"/>
              </w:rPr>
              <w:t>坡位</w:t>
            </w:r>
          </w:p>
        </w:tc>
        <w:tc>
          <w:tcPr>
            <w:tcW w:w="837" w:type="dxa"/>
            <w:tcBorders>
              <w:tl2br w:val="nil"/>
              <w:tr2bl w:val="nil"/>
            </w:tcBorders>
            <w:vAlign w:val="center"/>
          </w:tcPr>
          <w:p w14:paraId="7F61D724">
            <w:pPr>
              <w:pStyle w:val="34"/>
              <w:tabs>
                <w:tab w:val="left" w:pos="1389"/>
              </w:tabs>
              <w:bidi w:val="0"/>
              <w:rPr>
                <w:rFonts w:hint="default"/>
                <w:color w:val="auto"/>
                <w:lang w:val="en-US" w:eastAsia="zh-CN"/>
              </w:rPr>
            </w:pPr>
            <w:r>
              <w:rPr>
                <w:rFonts w:hint="default"/>
                <w:color w:val="auto"/>
                <w:lang w:val="en-US" w:eastAsia="zh-CN"/>
              </w:rPr>
              <w:t>样方面积</w:t>
            </w:r>
          </w:p>
        </w:tc>
      </w:tr>
      <w:tr w14:paraId="73F4FD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565" w:type="dxa"/>
            <w:tcBorders>
              <w:tl2br w:val="nil"/>
              <w:tr2bl w:val="nil"/>
            </w:tcBorders>
            <w:vAlign w:val="center"/>
          </w:tcPr>
          <w:p w14:paraId="57292B37">
            <w:pPr>
              <w:pStyle w:val="34"/>
              <w:tabs>
                <w:tab w:val="left" w:pos="1389"/>
              </w:tabs>
              <w:bidi w:val="0"/>
              <w:rPr>
                <w:rFonts w:hint="default"/>
                <w:color w:val="auto"/>
                <w:lang w:val="en-US" w:eastAsia="zh-CN"/>
              </w:rPr>
            </w:pPr>
            <w:r>
              <w:rPr>
                <w:rFonts w:hint="default"/>
                <w:color w:val="auto"/>
                <w:lang w:val="en-US" w:eastAsia="zh-CN"/>
              </w:rPr>
              <w:t>1</w:t>
            </w:r>
          </w:p>
        </w:tc>
        <w:tc>
          <w:tcPr>
            <w:tcW w:w="817" w:type="dxa"/>
            <w:tcBorders>
              <w:tl2br w:val="nil"/>
              <w:tr2bl w:val="nil"/>
            </w:tcBorders>
            <w:vAlign w:val="center"/>
          </w:tcPr>
          <w:p w14:paraId="0D5EBD81">
            <w:pPr>
              <w:pStyle w:val="34"/>
              <w:tabs>
                <w:tab w:val="left" w:pos="1389"/>
              </w:tabs>
              <w:bidi w:val="0"/>
              <w:rPr>
                <w:rFonts w:hint="default"/>
                <w:color w:val="auto"/>
                <w:lang w:val="en-US" w:eastAsia="zh-CN"/>
              </w:rPr>
            </w:pPr>
            <w:r>
              <w:rPr>
                <w:rFonts w:hint="default"/>
                <w:color w:val="auto"/>
                <w:lang w:val="en-US" w:eastAsia="zh-CN"/>
              </w:rPr>
              <w:t>华山松</w:t>
            </w:r>
            <w:r>
              <w:rPr>
                <w:rFonts w:hint="eastAsia"/>
                <w:color w:val="auto"/>
                <w:lang w:val="en-US" w:eastAsia="zh-CN"/>
              </w:rPr>
              <w:t>群落</w:t>
            </w:r>
          </w:p>
        </w:tc>
        <w:tc>
          <w:tcPr>
            <w:tcW w:w="1000" w:type="dxa"/>
            <w:tcBorders>
              <w:tl2br w:val="nil"/>
              <w:tr2bl w:val="nil"/>
            </w:tcBorders>
            <w:vAlign w:val="center"/>
          </w:tcPr>
          <w:p w14:paraId="3A137E65">
            <w:pPr>
              <w:pStyle w:val="34"/>
              <w:tabs>
                <w:tab w:val="left" w:pos="1389"/>
              </w:tabs>
              <w:bidi w:val="0"/>
              <w:rPr>
                <w:rFonts w:hint="default"/>
                <w:color w:val="auto"/>
                <w:lang w:val="en-US" w:eastAsia="zh-CN"/>
              </w:rPr>
            </w:pPr>
            <w:r>
              <w:rPr>
                <w:rFonts w:hint="eastAsia"/>
                <w:color w:val="auto"/>
                <w:lang w:val="en-US" w:eastAsia="zh-CN"/>
              </w:rPr>
              <w:t>XZB01西侧</w:t>
            </w:r>
          </w:p>
        </w:tc>
        <w:tc>
          <w:tcPr>
            <w:tcW w:w="1689" w:type="dxa"/>
            <w:tcBorders>
              <w:tl2br w:val="nil"/>
              <w:tr2bl w:val="nil"/>
            </w:tcBorders>
            <w:vAlign w:val="center"/>
          </w:tcPr>
          <w:p w14:paraId="01F3B111">
            <w:pPr>
              <w:pStyle w:val="34"/>
              <w:tabs>
                <w:tab w:val="left" w:pos="1389"/>
              </w:tabs>
              <w:bidi w:val="0"/>
              <w:rPr>
                <w:rFonts w:hint="default"/>
                <w:color w:val="auto"/>
              </w:rPr>
            </w:pPr>
            <w:r>
              <w:rPr>
                <w:rFonts w:hint="default"/>
                <w:color w:val="auto"/>
              </w:rPr>
              <w:t>103°43'55.185"E</w:t>
            </w:r>
          </w:p>
          <w:p w14:paraId="3623AEF3">
            <w:pPr>
              <w:pStyle w:val="34"/>
              <w:tabs>
                <w:tab w:val="left" w:pos="1389"/>
              </w:tabs>
              <w:bidi w:val="0"/>
              <w:rPr>
                <w:rFonts w:hint="eastAsia"/>
                <w:color w:val="auto"/>
                <w:lang w:val="en-US" w:eastAsia="zh-CN"/>
              </w:rPr>
            </w:pPr>
            <w:r>
              <w:rPr>
                <w:rFonts w:hint="default"/>
                <w:color w:val="auto"/>
              </w:rPr>
              <w:t>25°58'11.134"N</w:t>
            </w:r>
          </w:p>
        </w:tc>
        <w:tc>
          <w:tcPr>
            <w:tcW w:w="853" w:type="dxa"/>
            <w:tcBorders>
              <w:tl2br w:val="nil"/>
              <w:tr2bl w:val="nil"/>
            </w:tcBorders>
            <w:vAlign w:val="center"/>
          </w:tcPr>
          <w:p w14:paraId="330503CD">
            <w:pPr>
              <w:pStyle w:val="34"/>
              <w:tabs>
                <w:tab w:val="left" w:pos="1389"/>
              </w:tabs>
              <w:bidi w:val="0"/>
              <w:rPr>
                <w:rFonts w:hint="default"/>
                <w:color w:val="auto"/>
                <w:lang w:val="en-US" w:eastAsia="zh-CN"/>
              </w:rPr>
            </w:pPr>
            <w:r>
              <w:rPr>
                <w:rFonts w:hint="eastAsia"/>
                <w:color w:val="auto"/>
                <w:lang w:val="en-US" w:eastAsia="zh-CN"/>
              </w:rPr>
              <w:t>2323</w:t>
            </w:r>
          </w:p>
        </w:tc>
        <w:tc>
          <w:tcPr>
            <w:tcW w:w="711" w:type="dxa"/>
            <w:tcBorders>
              <w:tl2br w:val="nil"/>
              <w:tr2bl w:val="nil"/>
            </w:tcBorders>
            <w:vAlign w:val="center"/>
          </w:tcPr>
          <w:p w14:paraId="51159C82">
            <w:pPr>
              <w:pStyle w:val="34"/>
              <w:tabs>
                <w:tab w:val="left" w:pos="1389"/>
              </w:tabs>
              <w:bidi w:val="0"/>
              <w:rPr>
                <w:rFonts w:hint="default"/>
                <w:color w:val="auto"/>
                <w:lang w:val="en-US" w:eastAsia="zh-CN"/>
              </w:rPr>
            </w:pPr>
            <w:r>
              <w:rPr>
                <w:rFonts w:hint="eastAsia"/>
                <w:color w:val="auto"/>
                <w:lang w:val="en-US" w:eastAsia="zh-CN"/>
              </w:rPr>
              <w:t>缓坡</w:t>
            </w:r>
          </w:p>
        </w:tc>
        <w:tc>
          <w:tcPr>
            <w:tcW w:w="776" w:type="dxa"/>
            <w:tcBorders>
              <w:tl2br w:val="nil"/>
              <w:tr2bl w:val="nil"/>
            </w:tcBorders>
            <w:vAlign w:val="center"/>
          </w:tcPr>
          <w:p w14:paraId="23F647BF">
            <w:pPr>
              <w:pStyle w:val="34"/>
              <w:tabs>
                <w:tab w:val="left" w:pos="1389"/>
              </w:tabs>
              <w:bidi w:val="0"/>
              <w:rPr>
                <w:rFonts w:hint="default"/>
                <w:color w:val="auto"/>
                <w:lang w:val="en-US" w:eastAsia="zh-CN"/>
              </w:rPr>
            </w:pPr>
            <w:r>
              <w:rPr>
                <w:rFonts w:hint="eastAsia"/>
                <w:color w:val="auto"/>
                <w:lang w:val="en-US" w:eastAsia="zh-CN"/>
              </w:rPr>
              <w:t>145°</w:t>
            </w:r>
          </w:p>
        </w:tc>
        <w:tc>
          <w:tcPr>
            <w:tcW w:w="750" w:type="dxa"/>
            <w:tcBorders>
              <w:tl2br w:val="nil"/>
              <w:tr2bl w:val="nil"/>
            </w:tcBorders>
            <w:vAlign w:val="center"/>
          </w:tcPr>
          <w:p w14:paraId="424B9809">
            <w:pPr>
              <w:pStyle w:val="34"/>
              <w:tabs>
                <w:tab w:val="left" w:pos="1389"/>
              </w:tabs>
              <w:bidi w:val="0"/>
              <w:rPr>
                <w:rFonts w:hint="default"/>
                <w:color w:val="auto"/>
                <w:lang w:val="en-US" w:eastAsia="zh-CN"/>
              </w:rPr>
            </w:pPr>
            <w:r>
              <w:rPr>
                <w:rFonts w:hint="default"/>
                <w:color w:val="auto"/>
                <w:lang w:val="en-US" w:eastAsia="zh-CN"/>
              </w:rPr>
              <w:t>15</w:t>
            </w:r>
            <w:r>
              <w:rPr>
                <w:rFonts w:hint="eastAsia"/>
                <w:color w:val="auto"/>
                <w:lang w:val="en-US" w:eastAsia="zh-CN"/>
              </w:rPr>
              <w:t>°</w:t>
            </w:r>
          </w:p>
        </w:tc>
        <w:tc>
          <w:tcPr>
            <w:tcW w:w="836" w:type="dxa"/>
            <w:tcBorders>
              <w:tl2br w:val="nil"/>
              <w:tr2bl w:val="nil"/>
            </w:tcBorders>
            <w:vAlign w:val="center"/>
          </w:tcPr>
          <w:p w14:paraId="40CD7244">
            <w:pPr>
              <w:pStyle w:val="34"/>
              <w:tabs>
                <w:tab w:val="left" w:pos="1389"/>
              </w:tabs>
              <w:bidi w:val="0"/>
              <w:rPr>
                <w:rFonts w:hint="default"/>
                <w:color w:val="auto"/>
                <w:lang w:val="en-US" w:eastAsia="zh-CN"/>
              </w:rPr>
            </w:pPr>
            <w:r>
              <w:rPr>
                <w:rFonts w:hint="eastAsia"/>
                <w:color w:val="auto"/>
                <w:lang w:val="en-US" w:eastAsia="zh-CN"/>
              </w:rPr>
              <w:t>坡下部</w:t>
            </w:r>
          </w:p>
        </w:tc>
        <w:tc>
          <w:tcPr>
            <w:tcW w:w="837" w:type="dxa"/>
            <w:tcBorders>
              <w:tl2br w:val="nil"/>
              <w:tr2bl w:val="nil"/>
            </w:tcBorders>
            <w:vAlign w:val="center"/>
          </w:tcPr>
          <w:p w14:paraId="6FCF55FD">
            <w:pPr>
              <w:pStyle w:val="34"/>
              <w:tabs>
                <w:tab w:val="left" w:pos="1389"/>
              </w:tabs>
              <w:bidi w:val="0"/>
              <w:rPr>
                <w:rFonts w:hint="default"/>
                <w:color w:val="auto"/>
              </w:rPr>
            </w:pPr>
            <w:r>
              <w:rPr>
                <w:rFonts w:hint="default"/>
                <w:color w:val="auto"/>
              </w:rPr>
              <w:t>20m×20m</w:t>
            </w:r>
          </w:p>
        </w:tc>
      </w:tr>
      <w:tr w14:paraId="58C309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vAlign w:val="center"/>
          </w:tcPr>
          <w:p w14:paraId="4DAEA65F">
            <w:pPr>
              <w:pStyle w:val="34"/>
              <w:tabs>
                <w:tab w:val="left" w:pos="1389"/>
              </w:tabs>
              <w:bidi w:val="0"/>
              <w:rPr>
                <w:rFonts w:hint="default"/>
                <w:color w:val="auto"/>
                <w:lang w:val="en-US" w:eastAsia="zh-CN"/>
              </w:rPr>
            </w:pPr>
            <w:r>
              <w:rPr>
                <w:rFonts w:hint="default"/>
                <w:color w:val="auto"/>
                <w:lang w:val="en-US" w:eastAsia="zh-CN"/>
              </w:rPr>
              <w:t>2</w:t>
            </w:r>
          </w:p>
        </w:tc>
        <w:tc>
          <w:tcPr>
            <w:tcW w:w="817" w:type="dxa"/>
            <w:tcBorders>
              <w:tl2br w:val="nil"/>
              <w:tr2bl w:val="nil"/>
            </w:tcBorders>
            <w:vAlign w:val="center"/>
          </w:tcPr>
          <w:p w14:paraId="56FE4BF0">
            <w:pPr>
              <w:pStyle w:val="34"/>
              <w:tabs>
                <w:tab w:val="left" w:pos="1389"/>
              </w:tabs>
              <w:bidi w:val="0"/>
              <w:rPr>
                <w:rFonts w:hint="eastAsia"/>
                <w:color w:val="auto"/>
                <w:lang w:val="en-US" w:eastAsia="zh-CN"/>
              </w:rPr>
            </w:pPr>
            <w:r>
              <w:rPr>
                <w:rFonts w:hint="default"/>
                <w:color w:val="auto"/>
                <w:lang w:val="en-US" w:eastAsia="zh-CN"/>
              </w:rPr>
              <w:t>华山松</w:t>
            </w:r>
            <w:r>
              <w:rPr>
                <w:rFonts w:hint="eastAsia"/>
                <w:color w:val="auto"/>
                <w:lang w:val="en-US" w:eastAsia="zh-CN"/>
              </w:rPr>
              <w:t>群落</w:t>
            </w:r>
          </w:p>
        </w:tc>
        <w:tc>
          <w:tcPr>
            <w:tcW w:w="1000" w:type="dxa"/>
            <w:tcBorders>
              <w:tl2br w:val="nil"/>
              <w:tr2bl w:val="nil"/>
            </w:tcBorders>
            <w:vAlign w:val="center"/>
          </w:tcPr>
          <w:p w14:paraId="593FC8B5">
            <w:pPr>
              <w:pStyle w:val="34"/>
              <w:tabs>
                <w:tab w:val="left" w:pos="1389"/>
              </w:tabs>
              <w:bidi w:val="0"/>
              <w:rPr>
                <w:rFonts w:hint="eastAsia"/>
                <w:color w:val="auto"/>
                <w:lang w:val="en-US" w:eastAsia="zh-CN"/>
              </w:rPr>
            </w:pPr>
            <w:r>
              <w:rPr>
                <w:rFonts w:hint="eastAsia"/>
                <w:color w:val="auto"/>
                <w:lang w:val="en-US" w:eastAsia="zh-CN"/>
              </w:rPr>
              <w:t>XZB16南侧</w:t>
            </w:r>
          </w:p>
        </w:tc>
        <w:tc>
          <w:tcPr>
            <w:tcW w:w="1689" w:type="dxa"/>
            <w:tcBorders>
              <w:tl2br w:val="nil"/>
              <w:tr2bl w:val="nil"/>
            </w:tcBorders>
            <w:vAlign w:val="center"/>
          </w:tcPr>
          <w:p w14:paraId="5B9A0BC8">
            <w:pPr>
              <w:pStyle w:val="34"/>
              <w:tabs>
                <w:tab w:val="left" w:pos="1389"/>
              </w:tabs>
              <w:bidi w:val="0"/>
              <w:rPr>
                <w:rFonts w:hint="default"/>
                <w:color w:val="auto"/>
              </w:rPr>
            </w:pPr>
            <w:r>
              <w:rPr>
                <w:rFonts w:hint="default"/>
                <w:color w:val="auto"/>
              </w:rPr>
              <w:t>103°45'53.80</w:t>
            </w:r>
            <w:r>
              <w:rPr>
                <w:rFonts w:hint="eastAsia"/>
                <w:color w:val="auto"/>
                <w:lang w:val="en-US" w:eastAsia="zh-CN"/>
              </w:rPr>
              <w:t>8</w:t>
            </w:r>
            <w:r>
              <w:rPr>
                <w:rFonts w:hint="default"/>
                <w:color w:val="auto"/>
              </w:rPr>
              <w:t>"E</w:t>
            </w:r>
          </w:p>
          <w:p w14:paraId="057B9574">
            <w:pPr>
              <w:pStyle w:val="34"/>
              <w:tabs>
                <w:tab w:val="left" w:pos="1389"/>
              </w:tabs>
              <w:bidi w:val="0"/>
              <w:rPr>
                <w:rFonts w:hint="default"/>
                <w:color w:val="auto"/>
              </w:rPr>
            </w:pPr>
            <w:r>
              <w:rPr>
                <w:rFonts w:hint="default"/>
                <w:color w:val="auto"/>
              </w:rPr>
              <w:t>25°56'51.174"N</w:t>
            </w:r>
          </w:p>
        </w:tc>
        <w:tc>
          <w:tcPr>
            <w:tcW w:w="853" w:type="dxa"/>
            <w:tcBorders>
              <w:tl2br w:val="nil"/>
              <w:tr2bl w:val="nil"/>
            </w:tcBorders>
            <w:vAlign w:val="center"/>
          </w:tcPr>
          <w:p w14:paraId="4A89FA3C">
            <w:pPr>
              <w:pStyle w:val="34"/>
              <w:tabs>
                <w:tab w:val="left" w:pos="1389"/>
              </w:tabs>
              <w:bidi w:val="0"/>
              <w:rPr>
                <w:rFonts w:hint="default"/>
                <w:color w:val="auto"/>
                <w:lang w:val="en-US" w:eastAsia="zh-CN"/>
              </w:rPr>
            </w:pPr>
            <w:r>
              <w:rPr>
                <w:rFonts w:hint="eastAsia"/>
                <w:color w:val="auto"/>
                <w:lang w:val="en-US" w:eastAsia="zh-CN"/>
              </w:rPr>
              <w:t>2319</w:t>
            </w:r>
          </w:p>
        </w:tc>
        <w:tc>
          <w:tcPr>
            <w:tcW w:w="711" w:type="dxa"/>
            <w:tcBorders>
              <w:tl2br w:val="nil"/>
              <w:tr2bl w:val="nil"/>
            </w:tcBorders>
            <w:vAlign w:val="center"/>
          </w:tcPr>
          <w:p w14:paraId="04C100B2">
            <w:pPr>
              <w:pStyle w:val="34"/>
              <w:tabs>
                <w:tab w:val="left" w:pos="1389"/>
              </w:tabs>
              <w:bidi w:val="0"/>
              <w:rPr>
                <w:rFonts w:hint="eastAsia"/>
                <w:color w:val="auto"/>
                <w:lang w:val="en-US" w:eastAsia="zh-CN"/>
              </w:rPr>
            </w:pPr>
            <w:r>
              <w:rPr>
                <w:rFonts w:hint="eastAsia"/>
                <w:color w:val="auto"/>
                <w:lang w:val="en-US" w:eastAsia="zh-CN"/>
              </w:rPr>
              <w:t>缓坡</w:t>
            </w:r>
          </w:p>
        </w:tc>
        <w:tc>
          <w:tcPr>
            <w:tcW w:w="776" w:type="dxa"/>
            <w:tcBorders>
              <w:tl2br w:val="nil"/>
              <w:tr2bl w:val="nil"/>
            </w:tcBorders>
            <w:vAlign w:val="center"/>
          </w:tcPr>
          <w:p w14:paraId="164C7D1D">
            <w:pPr>
              <w:pStyle w:val="34"/>
              <w:tabs>
                <w:tab w:val="left" w:pos="1389"/>
              </w:tabs>
              <w:bidi w:val="0"/>
              <w:rPr>
                <w:rFonts w:hint="eastAsia"/>
                <w:color w:val="auto"/>
                <w:lang w:val="en-US" w:eastAsia="zh-CN"/>
              </w:rPr>
            </w:pPr>
            <w:r>
              <w:rPr>
                <w:rFonts w:hint="eastAsia"/>
                <w:color w:val="auto"/>
                <w:lang w:val="en-US" w:eastAsia="zh-CN"/>
              </w:rPr>
              <w:t>135°</w:t>
            </w:r>
          </w:p>
        </w:tc>
        <w:tc>
          <w:tcPr>
            <w:tcW w:w="750" w:type="dxa"/>
            <w:tcBorders>
              <w:tl2br w:val="nil"/>
              <w:tr2bl w:val="nil"/>
            </w:tcBorders>
            <w:vAlign w:val="center"/>
          </w:tcPr>
          <w:p w14:paraId="76AE8976">
            <w:pPr>
              <w:pStyle w:val="34"/>
              <w:tabs>
                <w:tab w:val="left" w:pos="1389"/>
              </w:tabs>
              <w:bidi w:val="0"/>
              <w:rPr>
                <w:rFonts w:hint="eastAsia"/>
                <w:color w:val="auto"/>
                <w:lang w:val="en-US" w:eastAsia="zh-CN"/>
              </w:rPr>
            </w:pPr>
            <w:r>
              <w:rPr>
                <w:rFonts w:hint="default"/>
                <w:color w:val="auto"/>
                <w:lang w:val="en-US" w:eastAsia="zh-CN"/>
              </w:rPr>
              <w:t>12</w:t>
            </w:r>
            <w:r>
              <w:rPr>
                <w:rFonts w:hint="eastAsia"/>
                <w:color w:val="auto"/>
                <w:lang w:val="en-US" w:eastAsia="zh-CN"/>
              </w:rPr>
              <w:t>°</w:t>
            </w:r>
          </w:p>
        </w:tc>
        <w:tc>
          <w:tcPr>
            <w:tcW w:w="836" w:type="dxa"/>
            <w:tcBorders>
              <w:tl2br w:val="nil"/>
              <w:tr2bl w:val="nil"/>
            </w:tcBorders>
            <w:vAlign w:val="center"/>
          </w:tcPr>
          <w:p w14:paraId="46BC70BE">
            <w:pPr>
              <w:pStyle w:val="34"/>
              <w:tabs>
                <w:tab w:val="left" w:pos="1389"/>
              </w:tabs>
              <w:bidi w:val="0"/>
              <w:rPr>
                <w:rFonts w:hint="eastAsia"/>
                <w:color w:val="auto"/>
                <w:lang w:val="en-US" w:eastAsia="zh-CN"/>
              </w:rPr>
            </w:pPr>
            <w:r>
              <w:rPr>
                <w:rFonts w:hint="eastAsia"/>
                <w:color w:val="auto"/>
                <w:lang w:val="en-US" w:eastAsia="zh-CN"/>
              </w:rPr>
              <w:t>坡下部</w:t>
            </w:r>
          </w:p>
        </w:tc>
        <w:tc>
          <w:tcPr>
            <w:tcW w:w="837" w:type="dxa"/>
            <w:tcBorders>
              <w:tl2br w:val="nil"/>
              <w:tr2bl w:val="nil"/>
            </w:tcBorders>
            <w:vAlign w:val="center"/>
          </w:tcPr>
          <w:p w14:paraId="31506118">
            <w:pPr>
              <w:pStyle w:val="34"/>
              <w:tabs>
                <w:tab w:val="left" w:pos="1389"/>
              </w:tabs>
              <w:bidi w:val="0"/>
              <w:rPr>
                <w:rFonts w:hint="default"/>
                <w:color w:val="auto"/>
              </w:rPr>
            </w:pPr>
            <w:r>
              <w:rPr>
                <w:rFonts w:hint="default"/>
                <w:color w:val="auto"/>
              </w:rPr>
              <w:t>20m×20m</w:t>
            </w:r>
          </w:p>
        </w:tc>
      </w:tr>
      <w:tr w14:paraId="470589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13D99238">
            <w:pPr>
              <w:pStyle w:val="34"/>
              <w:tabs>
                <w:tab w:val="left" w:pos="1389"/>
              </w:tabs>
              <w:bidi w:val="0"/>
              <w:rPr>
                <w:rFonts w:hint="default"/>
                <w:color w:val="auto"/>
                <w:lang w:val="en-US" w:eastAsia="zh-CN"/>
              </w:rPr>
            </w:pPr>
            <w:r>
              <w:rPr>
                <w:rFonts w:hint="default"/>
                <w:color w:val="auto"/>
                <w:lang w:val="en-US" w:eastAsia="zh-CN"/>
              </w:rPr>
              <w:t>3</w:t>
            </w:r>
          </w:p>
        </w:tc>
        <w:tc>
          <w:tcPr>
            <w:tcW w:w="817" w:type="dxa"/>
            <w:tcBorders>
              <w:tl2br w:val="nil"/>
              <w:tr2bl w:val="nil"/>
            </w:tcBorders>
            <w:vAlign w:val="center"/>
          </w:tcPr>
          <w:p w14:paraId="05C8CEFE">
            <w:pPr>
              <w:pStyle w:val="34"/>
              <w:tabs>
                <w:tab w:val="left" w:pos="1389"/>
              </w:tabs>
              <w:bidi w:val="0"/>
              <w:rPr>
                <w:rFonts w:hint="default"/>
                <w:color w:val="auto"/>
                <w:lang w:val="en-US" w:eastAsia="zh-CN"/>
              </w:rPr>
            </w:pPr>
            <w:r>
              <w:rPr>
                <w:rFonts w:hint="default"/>
                <w:color w:val="auto"/>
                <w:lang w:val="en-US" w:eastAsia="zh-CN"/>
              </w:rPr>
              <w:t>华山松</w:t>
            </w:r>
            <w:r>
              <w:rPr>
                <w:rFonts w:hint="eastAsia"/>
                <w:color w:val="auto"/>
                <w:lang w:val="en-US" w:eastAsia="zh-CN"/>
              </w:rPr>
              <w:t>群落</w:t>
            </w:r>
          </w:p>
        </w:tc>
        <w:tc>
          <w:tcPr>
            <w:tcW w:w="1000" w:type="dxa"/>
            <w:tcBorders>
              <w:tl2br w:val="nil"/>
              <w:tr2bl w:val="nil"/>
            </w:tcBorders>
            <w:vAlign w:val="center"/>
          </w:tcPr>
          <w:p w14:paraId="4CF36F5E">
            <w:pPr>
              <w:pStyle w:val="34"/>
              <w:tabs>
                <w:tab w:val="left" w:pos="1389"/>
              </w:tabs>
              <w:bidi w:val="0"/>
              <w:rPr>
                <w:rFonts w:hint="default"/>
                <w:color w:val="auto"/>
                <w:lang w:val="en-US"/>
              </w:rPr>
            </w:pPr>
            <w:r>
              <w:rPr>
                <w:rFonts w:hint="eastAsia"/>
                <w:color w:val="auto"/>
                <w:lang w:val="en-US" w:eastAsia="zh-CN"/>
              </w:rPr>
              <w:t>XZB16西北侧</w:t>
            </w:r>
          </w:p>
        </w:tc>
        <w:tc>
          <w:tcPr>
            <w:tcW w:w="1689" w:type="dxa"/>
            <w:tcBorders>
              <w:tl2br w:val="nil"/>
              <w:tr2bl w:val="nil"/>
            </w:tcBorders>
            <w:vAlign w:val="center"/>
          </w:tcPr>
          <w:p w14:paraId="3A3C07AF">
            <w:pPr>
              <w:pStyle w:val="34"/>
              <w:tabs>
                <w:tab w:val="left" w:pos="1389"/>
              </w:tabs>
              <w:bidi w:val="0"/>
              <w:rPr>
                <w:rFonts w:hint="default"/>
                <w:color w:val="auto"/>
              </w:rPr>
            </w:pPr>
            <w:r>
              <w:rPr>
                <w:rFonts w:hint="default"/>
                <w:color w:val="auto"/>
              </w:rPr>
              <w:t>103°45'56.832"E</w:t>
            </w:r>
          </w:p>
          <w:p w14:paraId="67806092">
            <w:pPr>
              <w:pStyle w:val="34"/>
              <w:tabs>
                <w:tab w:val="left" w:pos="1389"/>
              </w:tabs>
              <w:bidi w:val="0"/>
              <w:rPr>
                <w:rFonts w:hint="default"/>
                <w:color w:val="auto"/>
              </w:rPr>
            </w:pPr>
            <w:r>
              <w:rPr>
                <w:rFonts w:hint="default"/>
                <w:color w:val="auto"/>
              </w:rPr>
              <w:t>25°56'51.340"N</w:t>
            </w:r>
          </w:p>
        </w:tc>
        <w:tc>
          <w:tcPr>
            <w:tcW w:w="853" w:type="dxa"/>
            <w:tcBorders>
              <w:tl2br w:val="nil"/>
              <w:tr2bl w:val="nil"/>
            </w:tcBorders>
            <w:vAlign w:val="center"/>
          </w:tcPr>
          <w:p w14:paraId="2151E363">
            <w:pPr>
              <w:pStyle w:val="34"/>
              <w:tabs>
                <w:tab w:val="left" w:pos="1389"/>
              </w:tabs>
              <w:bidi w:val="0"/>
              <w:rPr>
                <w:rFonts w:hint="default"/>
                <w:color w:val="auto"/>
                <w:lang w:val="en-US" w:eastAsia="zh-CN"/>
              </w:rPr>
            </w:pPr>
            <w:r>
              <w:rPr>
                <w:rFonts w:hint="eastAsia"/>
                <w:color w:val="auto"/>
                <w:lang w:val="en-US" w:eastAsia="zh-CN"/>
              </w:rPr>
              <w:t>2141</w:t>
            </w:r>
          </w:p>
        </w:tc>
        <w:tc>
          <w:tcPr>
            <w:tcW w:w="711" w:type="dxa"/>
            <w:tcBorders>
              <w:tl2br w:val="nil"/>
              <w:tr2bl w:val="nil"/>
            </w:tcBorders>
            <w:vAlign w:val="center"/>
          </w:tcPr>
          <w:p w14:paraId="56C58FFF">
            <w:pPr>
              <w:pStyle w:val="34"/>
              <w:tabs>
                <w:tab w:val="left" w:pos="1389"/>
              </w:tabs>
              <w:bidi w:val="0"/>
              <w:rPr>
                <w:rFonts w:hint="eastAsia"/>
                <w:color w:val="auto"/>
                <w:lang w:val="en-US" w:eastAsia="zh-CN"/>
              </w:rPr>
            </w:pPr>
            <w:r>
              <w:rPr>
                <w:rFonts w:hint="eastAsia"/>
                <w:color w:val="auto"/>
                <w:lang w:val="en-US" w:eastAsia="zh-CN"/>
              </w:rPr>
              <w:t>缓坡</w:t>
            </w:r>
          </w:p>
        </w:tc>
        <w:tc>
          <w:tcPr>
            <w:tcW w:w="776" w:type="dxa"/>
            <w:tcBorders>
              <w:tl2br w:val="nil"/>
              <w:tr2bl w:val="nil"/>
            </w:tcBorders>
            <w:vAlign w:val="center"/>
          </w:tcPr>
          <w:p w14:paraId="675267FC">
            <w:pPr>
              <w:pStyle w:val="34"/>
              <w:tabs>
                <w:tab w:val="left" w:pos="1389"/>
              </w:tabs>
              <w:bidi w:val="0"/>
              <w:rPr>
                <w:rFonts w:hint="default"/>
                <w:color w:val="auto"/>
                <w:lang w:val="en-US" w:eastAsia="zh-CN"/>
              </w:rPr>
            </w:pPr>
            <w:r>
              <w:rPr>
                <w:rFonts w:hint="eastAsia"/>
                <w:color w:val="auto"/>
                <w:lang w:val="en-US" w:eastAsia="zh-CN"/>
              </w:rPr>
              <w:t>135°</w:t>
            </w:r>
          </w:p>
        </w:tc>
        <w:tc>
          <w:tcPr>
            <w:tcW w:w="750" w:type="dxa"/>
            <w:tcBorders>
              <w:tl2br w:val="nil"/>
              <w:tr2bl w:val="nil"/>
            </w:tcBorders>
            <w:vAlign w:val="center"/>
          </w:tcPr>
          <w:p w14:paraId="55C01A24">
            <w:pPr>
              <w:pStyle w:val="34"/>
              <w:tabs>
                <w:tab w:val="left" w:pos="1389"/>
              </w:tabs>
              <w:bidi w:val="0"/>
              <w:rPr>
                <w:rFonts w:hint="default"/>
                <w:color w:val="auto"/>
                <w:lang w:val="en-US" w:eastAsia="zh-CN"/>
              </w:rPr>
            </w:pPr>
            <w:r>
              <w:rPr>
                <w:rFonts w:hint="default"/>
                <w:color w:val="auto"/>
                <w:lang w:val="en-US" w:eastAsia="zh-CN"/>
              </w:rPr>
              <w:t>10</w:t>
            </w:r>
            <w:r>
              <w:rPr>
                <w:rFonts w:hint="eastAsia"/>
                <w:color w:val="auto"/>
                <w:lang w:val="en-US" w:eastAsia="zh-CN"/>
              </w:rPr>
              <w:t>°</w:t>
            </w:r>
          </w:p>
        </w:tc>
        <w:tc>
          <w:tcPr>
            <w:tcW w:w="836" w:type="dxa"/>
            <w:tcBorders>
              <w:tl2br w:val="nil"/>
              <w:tr2bl w:val="nil"/>
            </w:tcBorders>
            <w:vAlign w:val="center"/>
          </w:tcPr>
          <w:p w14:paraId="246D8415">
            <w:pPr>
              <w:pStyle w:val="34"/>
              <w:tabs>
                <w:tab w:val="left" w:pos="1389"/>
              </w:tabs>
              <w:bidi w:val="0"/>
              <w:rPr>
                <w:rFonts w:hint="eastAsia"/>
                <w:color w:val="auto"/>
                <w:lang w:val="en-US" w:eastAsia="zh-CN"/>
              </w:rPr>
            </w:pPr>
            <w:r>
              <w:rPr>
                <w:rFonts w:hint="eastAsia"/>
                <w:color w:val="auto"/>
                <w:lang w:val="en-US" w:eastAsia="zh-CN"/>
              </w:rPr>
              <w:t>坡下部</w:t>
            </w:r>
          </w:p>
        </w:tc>
        <w:tc>
          <w:tcPr>
            <w:tcW w:w="837" w:type="dxa"/>
            <w:tcBorders>
              <w:tl2br w:val="nil"/>
              <w:tr2bl w:val="nil"/>
            </w:tcBorders>
            <w:vAlign w:val="center"/>
          </w:tcPr>
          <w:p w14:paraId="00A1DB8D">
            <w:pPr>
              <w:pStyle w:val="34"/>
              <w:tabs>
                <w:tab w:val="left" w:pos="1389"/>
              </w:tabs>
              <w:bidi w:val="0"/>
              <w:rPr>
                <w:rFonts w:hint="default"/>
                <w:color w:val="auto"/>
              </w:rPr>
            </w:pPr>
            <w:r>
              <w:rPr>
                <w:rFonts w:hint="default"/>
                <w:color w:val="auto"/>
              </w:rPr>
              <w:t>20m×20m</w:t>
            </w:r>
          </w:p>
        </w:tc>
      </w:tr>
      <w:tr w14:paraId="322976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7D89E386">
            <w:pPr>
              <w:pStyle w:val="34"/>
              <w:tabs>
                <w:tab w:val="left" w:pos="1389"/>
              </w:tabs>
              <w:bidi w:val="0"/>
              <w:rPr>
                <w:rFonts w:hint="default"/>
                <w:color w:val="auto"/>
                <w:lang w:val="en-US" w:eastAsia="zh-CN"/>
              </w:rPr>
            </w:pPr>
            <w:r>
              <w:rPr>
                <w:rFonts w:hint="default"/>
                <w:color w:val="auto"/>
                <w:lang w:val="en-US" w:eastAsia="zh-CN"/>
              </w:rPr>
              <w:t>4</w:t>
            </w:r>
          </w:p>
        </w:tc>
        <w:tc>
          <w:tcPr>
            <w:tcW w:w="817" w:type="dxa"/>
            <w:tcBorders>
              <w:tl2br w:val="nil"/>
              <w:tr2bl w:val="nil"/>
            </w:tcBorders>
            <w:vAlign w:val="center"/>
          </w:tcPr>
          <w:p w14:paraId="04327E47">
            <w:pPr>
              <w:pStyle w:val="34"/>
              <w:tabs>
                <w:tab w:val="left" w:pos="1389"/>
              </w:tabs>
              <w:bidi w:val="0"/>
              <w:rPr>
                <w:rFonts w:hint="default"/>
                <w:color w:val="auto"/>
                <w:lang w:val="en-US" w:eastAsia="zh-CN"/>
              </w:rPr>
            </w:pPr>
            <w:r>
              <w:rPr>
                <w:rFonts w:hint="default"/>
                <w:color w:val="auto"/>
                <w:lang w:val="en-US" w:eastAsia="zh-CN"/>
              </w:rPr>
              <w:t>云南松</w:t>
            </w:r>
            <w:r>
              <w:rPr>
                <w:rFonts w:hint="eastAsia"/>
                <w:color w:val="auto"/>
                <w:lang w:val="en-US" w:eastAsia="zh-CN"/>
              </w:rPr>
              <w:t>群落</w:t>
            </w:r>
          </w:p>
        </w:tc>
        <w:tc>
          <w:tcPr>
            <w:tcW w:w="1000" w:type="dxa"/>
            <w:tcBorders>
              <w:tl2br w:val="nil"/>
              <w:tr2bl w:val="nil"/>
            </w:tcBorders>
            <w:vAlign w:val="center"/>
          </w:tcPr>
          <w:p w14:paraId="361717BB">
            <w:pPr>
              <w:pStyle w:val="34"/>
              <w:tabs>
                <w:tab w:val="left" w:pos="1389"/>
              </w:tabs>
              <w:bidi w:val="0"/>
              <w:rPr>
                <w:rFonts w:hint="default"/>
                <w:color w:val="auto"/>
                <w:lang w:val="en-US"/>
              </w:rPr>
            </w:pPr>
            <w:r>
              <w:rPr>
                <w:rFonts w:hint="eastAsia"/>
                <w:color w:val="auto"/>
                <w:lang w:val="en-US" w:eastAsia="zh-CN"/>
              </w:rPr>
              <w:t>XZB01西南侧</w:t>
            </w:r>
          </w:p>
        </w:tc>
        <w:tc>
          <w:tcPr>
            <w:tcW w:w="1689" w:type="dxa"/>
            <w:tcBorders>
              <w:tl2br w:val="nil"/>
              <w:tr2bl w:val="nil"/>
            </w:tcBorders>
            <w:vAlign w:val="center"/>
          </w:tcPr>
          <w:p w14:paraId="17D0FA79">
            <w:pPr>
              <w:pStyle w:val="34"/>
              <w:tabs>
                <w:tab w:val="left" w:pos="1389"/>
              </w:tabs>
              <w:bidi w:val="0"/>
              <w:rPr>
                <w:rFonts w:hint="default"/>
                <w:color w:val="auto"/>
              </w:rPr>
            </w:pPr>
            <w:r>
              <w:rPr>
                <w:rFonts w:hint="default"/>
                <w:color w:val="auto"/>
              </w:rPr>
              <w:t>103°43'42.278"E</w:t>
            </w:r>
          </w:p>
          <w:p w14:paraId="570FBBBF">
            <w:pPr>
              <w:pStyle w:val="34"/>
              <w:tabs>
                <w:tab w:val="left" w:pos="1389"/>
              </w:tabs>
              <w:bidi w:val="0"/>
              <w:rPr>
                <w:rFonts w:hint="default"/>
                <w:color w:val="auto"/>
              </w:rPr>
            </w:pPr>
            <w:r>
              <w:rPr>
                <w:rFonts w:hint="default"/>
                <w:color w:val="auto"/>
              </w:rPr>
              <w:t>25°58'07.097"N</w:t>
            </w:r>
          </w:p>
        </w:tc>
        <w:tc>
          <w:tcPr>
            <w:tcW w:w="853" w:type="dxa"/>
            <w:tcBorders>
              <w:tl2br w:val="nil"/>
              <w:tr2bl w:val="nil"/>
            </w:tcBorders>
            <w:vAlign w:val="center"/>
          </w:tcPr>
          <w:p w14:paraId="459F6FA9">
            <w:pPr>
              <w:pStyle w:val="34"/>
              <w:tabs>
                <w:tab w:val="left" w:pos="1389"/>
              </w:tabs>
              <w:bidi w:val="0"/>
              <w:rPr>
                <w:rFonts w:hint="default"/>
                <w:color w:val="auto"/>
                <w:lang w:val="en-US" w:eastAsia="zh-CN"/>
              </w:rPr>
            </w:pPr>
            <w:r>
              <w:rPr>
                <w:rFonts w:hint="eastAsia"/>
                <w:color w:val="auto"/>
                <w:lang w:val="en-US" w:eastAsia="zh-CN"/>
              </w:rPr>
              <w:t>2272</w:t>
            </w:r>
          </w:p>
        </w:tc>
        <w:tc>
          <w:tcPr>
            <w:tcW w:w="711" w:type="dxa"/>
            <w:tcBorders>
              <w:tl2br w:val="nil"/>
              <w:tr2bl w:val="nil"/>
            </w:tcBorders>
            <w:vAlign w:val="center"/>
          </w:tcPr>
          <w:p w14:paraId="4F722A1F">
            <w:pPr>
              <w:pStyle w:val="34"/>
              <w:tabs>
                <w:tab w:val="left" w:pos="1389"/>
              </w:tabs>
              <w:bidi w:val="0"/>
              <w:rPr>
                <w:rFonts w:hint="default"/>
                <w:color w:val="auto"/>
                <w:lang w:val="en-US" w:eastAsia="zh-CN"/>
              </w:rPr>
            </w:pPr>
            <w:r>
              <w:rPr>
                <w:rFonts w:hint="eastAsia"/>
                <w:color w:val="auto"/>
                <w:lang w:val="en-US" w:eastAsia="zh-CN"/>
              </w:rPr>
              <w:t>缓坡</w:t>
            </w:r>
          </w:p>
        </w:tc>
        <w:tc>
          <w:tcPr>
            <w:tcW w:w="776" w:type="dxa"/>
            <w:tcBorders>
              <w:tl2br w:val="nil"/>
              <w:tr2bl w:val="nil"/>
            </w:tcBorders>
            <w:vAlign w:val="center"/>
          </w:tcPr>
          <w:p w14:paraId="67035D6E">
            <w:pPr>
              <w:pStyle w:val="34"/>
              <w:tabs>
                <w:tab w:val="left" w:pos="1389"/>
              </w:tabs>
              <w:bidi w:val="0"/>
              <w:rPr>
                <w:rFonts w:hint="default"/>
                <w:color w:val="auto"/>
              </w:rPr>
            </w:pPr>
            <w:r>
              <w:rPr>
                <w:rFonts w:hint="eastAsia"/>
                <w:color w:val="auto"/>
                <w:lang w:val="en-US" w:eastAsia="zh-CN"/>
              </w:rPr>
              <w:t>260°</w:t>
            </w:r>
          </w:p>
        </w:tc>
        <w:tc>
          <w:tcPr>
            <w:tcW w:w="750" w:type="dxa"/>
            <w:tcBorders>
              <w:tl2br w:val="nil"/>
              <w:tr2bl w:val="nil"/>
            </w:tcBorders>
            <w:vAlign w:val="center"/>
          </w:tcPr>
          <w:p w14:paraId="7295BC30">
            <w:pPr>
              <w:pStyle w:val="34"/>
              <w:tabs>
                <w:tab w:val="left" w:pos="1389"/>
              </w:tabs>
              <w:bidi w:val="0"/>
              <w:rPr>
                <w:rFonts w:hint="default"/>
                <w:color w:val="auto"/>
                <w:lang w:val="en-US" w:eastAsia="zh-CN"/>
              </w:rPr>
            </w:pPr>
            <w:r>
              <w:rPr>
                <w:rFonts w:hint="default"/>
                <w:color w:val="auto"/>
                <w:lang w:val="en-US" w:eastAsia="zh-CN"/>
              </w:rPr>
              <w:t>8</w:t>
            </w:r>
            <w:r>
              <w:rPr>
                <w:rFonts w:hint="eastAsia"/>
                <w:color w:val="auto"/>
                <w:lang w:val="en-US" w:eastAsia="zh-CN"/>
              </w:rPr>
              <w:t>°</w:t>
            </w:r>
          </w:p>
        </w:tc>
        <w:tc>
          <w:tcPr>
            <w:tcW w:w="836" w:type="dxa"/>
            <w:tcBorders>
              <w:tl2br w:val="nil"/>
              <w:tr2bl w:val="nil"/>
            </w:tcBorders>
            <w:vAlign w:val="center"/>
          </w:tcPr>
          <w:p w14:paraId="4841593B">
            <w:pPr>
              <w:pStyle w:val="34"/>
              <w:tabs>
                <w:tab w:val="left" w:pos="1389"/>
              </w:tabs>
              <w:bidi w:val="0"/>
              <w:rPr>
                <w:rFonts w:hint="default"/>
                <w:color w:val="auto"/>
                <w:lang w:val="en-US" w:eastAsia="zh-CN"/>
              </w:rPr>
            </w:pPr>
            <w:r>
              <w:rPr>
                <w:rFonts w:hint="eastAsia"/>
                <w:color w:val="auto"/>
                <w:lang w:val="en-US" w:eastAsia="zh-CN"/>
              </w:rPr>
              <w:t>坡下部</w:t>
            </w:r>
          </w:p>
        </w:tc>
        <w:tc>
          <w:tcPr>
            <w:tcW w:w="837" w:type="dxa"/>
            <w:tcBorders>
              <w:tl2br w:val="nil"/>
              <w:tr2bl w:val="nil"/>
            </w:tcBorders>
            <w:vAlign w:val="center"/>
          </w:tcPr>
          <w:p w14:paraId="2E228F81">
            <w:pPr>
              <w:pStyle w:val="34"/>
              <w:tabs>
                <w:tab w:val="left" w:pos="1389"/>
              </w:tabs>
              <w:bidi w:val="0"/>
              <w:rPr>
                <w:rFonts w:hint="default"/>
                <w:color w:val="auto"/>
              </w:rPr>
            </w:pPr>
            <w:r>
              <w:rPr>
                <w:rFonts w:hint="default"/>
                <w:color w:val="auto"/>
              </w:rPr>
              <w:t>20m×20m</w:t>
            </w:r>
          </w:p>
        </w:tc>
      </w:tr>
      <w:tr w14:paraId="57E16C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5D2EFF31">
            <w:pPr>
              <w:pStyle w:val="34"/>
              <w:tabs>
                <w:tab w:val="left" w:pos="1389"/>
              </w:tabs>
              <w:bidi w:val="0"/>
              <w:rPr>
                <w:rFonts w:hint="default"/>
                <w:color w:val="auto"/>
                <w:lang w:val="en-US" w:eastAsia="zh-CN"/>
              </w:rPr>
            </w:pPr>
            <w:r>
              <w:rPr>
                <w:rFonts w:hint="eastAsia"/>
                <w:color w:val="auto"/>
                <w:lang w:val="en-US" w:eastAsia="zh-CN"/>
              </w:rPr>
              <w:t>5</w:t>
            </w:r>
          </w:p>
        </w:tc>
        <w:tc>
          <w:tcPr>
            <w:tcW w:w="817" w:type="dxa"/>
            <w:tcBorders>
              <w:tl2br w:val="nil"/>
              <w:tr2bl w:val="nil"/>
            </w:tcBorders>
            <w:vAlign w:val="center"/>
          </w:tcPr>
          <w:p w14:paraId="0F532D01">
            <w:pPr>
              <w:pStyle w:val="34"/>
              <w:tabs>
                <w:tab w:val="left" w:pos="1389"/>
              </w:tabs>
              <w:bidi w:val="0"/>
              <w:rPr>
                <w:rFonts w:hint="eastAsia"/>
                <w:color w:val="auto"/>
                <w:lang w:val="en-US" w:eastAsia="zh-CN"/>
              </w:rPr>
            </w:pPr>
            <w:r>
              <w:rPr>
                <w:rFonts w:hint="default"/>
                <w:color w:val="auto"/>
                <w:lang w:val="en-US" w:eastAsia="zh-CN"/>
              </w:rPr>
              <w:t>云南松</w:t>
            </w:r>
            <w:r>
              <w:rPr>
                <w:rFonts w:hint="eastAsia"/>
                <w:color w:val="auto"/>
                <w:lang w:val="en-US" w:eastAsia="zh-CN"/>
              </w:rPr>
              <w:t>群落</w:t>
            </w:r>
          </w:p>
        </w:tc>
        <w:tc>
          <w:tcPr>
            <w:tcW w:w="1000" w:type="dxa"/>
            <w:tcBorders>
              <w:tl2br w:val="nil"/>
              <w:tr2bl w:val="nil"/>
            </w:tcBorders>
            <w:vAlign w:val="center"/>
          </w:tcPr>
          <w:p w14:paraId="04801561">
            <w:pPr>
              <w:pStyle w:val="34"/>
              <w:tabs>
                <w:tab w:val="left" w:pos="1389"/>
              </w:tabs>
              <w:bidi w:val="0"/>
              <w:rPr>
                <w:rFonts w:hint="eastAsia"/>
                <w:color w:val="auto"/>
                <w:lang w:val="en-US" w:eastAsia="zh-CN"/>
              </w:rPr>
            </w:pPr>
            <w:r>
              <w:rPr>
                <w:rFonts w:hint="eastAsia"/>
                <w:color w:val="auto"/>
                <w:lang w:val="en-US" w:eastAsia="zh-CN"/>
              </w:rPr>
              <w:t>XZB01西侧</w:t>
            </w:r>
          </w:p>
        </w:tc>
        <w:tc>
          <w:tcPr>
            <w:tcW w:w="1689" w:type="dxa"/>
            <w:tcBorders>
              <w:tl2br w:val="nil"/>
              <w:tr2bl w:val="nil"/>
            </w:tcBorders>
            <w:vAlign w:val="center"/>
          </w:tcPr>
          <w:p w14:paraId="00021B1F">
            <w:pPr>
              <w:pStyle w:val="34"/>
              <w:tabs>
                <w:tab w:val="left" w:pos="1389"/>
              </w:tabs>
              <w:bidi w:val="0"/>
              <w:rPr>
                <w:rFonts w:hint="default"/>
                <w:color w:val="auto"/>
              </w:rPr>
            </w:pPr>
            <w:r>
              <w:rPr>
                <w:rFonts w:hint="default"/>
                <w:color w:val="auto"/>
              </w:rPr>
              <w:t>103°43'46.819"E</w:t>
            </w:r>
          </w:p>
          <w:p w14:paraId="058782F3">
            <w:pPr>
              <w:pStyle w:val="34"/>
              <w:tabs>
                <w:tab w:val="left" w:pos="1389"/>
              </w:tabs>
              <w:bidi w:val="0"/>
              <w:rPr>
                <w:rFonts w:hint="default"/>
                <w:color w:val="auto"/>
              </w:rPr>
            </w:pPr>
            <w:r>
              <w:rPr>
                <w:rFonts w:hint="default"/>
                <w:color w:val="auto"/>
              </w:rPr>
              <w:t>25°58'12.30</w:t>
            </w:r>
            <w:r>
              <w:rPr>
                <w:rFonts w:hint="eastAsia"/>
                <w:color w:val="auto"/>
                <w:lang w:val="en-US" w:eastAsia="zh-CN"/>
              </w:rPr>
              <w:t>1</w:t>
            </w:r>
            <w:r>
              <w:rPr>
                <w:rFonts w:hint="default"/>
                <w:color w:val="auto"/>
              </w:rPr>
              <w:t>"N</w:t>
            </w:r>
          </w:p>
        </w:tc>
        <w:tc>
          <w:tcPr>
            <w:tcW w:w="853" w:type="dxa"/>
            <w:tcBorders>
              <w:tl2br w:val="nil"/>
              <w:tr2bl w:val="nil"/>
            </w:tcBorders>
            <w:vAlign w:val="center"/>
          </w:tcPr>
          <w:p w14:paraId="14D05E94">
            <w:pPr>
              <w:pStyle w:val="34"/>
              <w:tabs>
                <w:tab w:val="left" w:pos="1389"/>
              </w:tabs>
              <w:bidi w:val="0"/>
              <w:rPr>
                <w:rFonts w:hint="default"/>
                <w:color w:val="auto"/>
                <w:lang w:val="en-US" w:eastAsia="zh-CN"/>
              </w:rPr>
            </w:pPr>
            <w:r>
              <w:rPr>
                <w:rFonts w:hint="eastAsia"/>
                <w:color w:val="auto"/>
                <w:lang w:val="en-US" w:eastAsia="zh-CN"/>
              </w:rPr>
              <w:t>2304</w:t>
            </w:r>
          </w:p>
        </w:tc>
        <w:tc>
          <w:tcPr>
            <w:tcW w:w="711" w:type="dxa"/>
            <w:tcBorders>
              <w:tl2br w:val="nil"/>
              <w:tr2bl w:val="nil"/>
            </w:tcBorders>
            <w:vAlign w:val="center"/>
          </w:tcPr>
          <w:p w14:paraId="1938EF85">
            <w:pPr>
              <w:pStyle w:val="34"/>
              <w:tabs>
                <w:tab w:val="left" w:pos="1389"/>
              </w:tabs>
              <w:bidi w:val="0"/>
              <w:rPr>
                <w:rFonts w:hint="eastAsia"/>
                <w:color w:val="auto"/>
                <w:lang w:val="en-US" w:eastAsia="zh-CN"/>
              </w:rPr>
            </w:pPr>
            <w:r>
              <w:rPr>
                <w:rFonts w:hint="eastAsia"/>
                <w:color w:val="auto"/>
                <w:lang w:val="en-US" w:eastAsia="zh-CN"/>
              </w:rPr>
              <w:t>缓坡</w:t>
            </w:r>
          </w:p>
        </w:tc>
        <w:tc>
          <w:tcPr>
            <w:tcW w:w="776" w:type="dxa"/>
            <w:tcBorders>
              <w:tl2br w:val="nil"/>
              <w:tr2bl w:val="nil"/>
            </w:tcBorders>
            <w:vAlign w:val="center"/>
          </w:tcPr>
          <w:p w14:paraId="68055B49">
            <w:pPr>
              <w:pStyle w:val="34"/>
              <w:tabs>
                <w:tab w:val="left" w:pos="1389"/>
              </w:tabs>
              <w:bidi w:val="0"/>
              <w:rPr>
                <w:rFonts w:hint="eastAsia"/>
                <w:color w:val="auto"/>
                <w:lang w:val="en-US" w:eastAsia="zh-CN"/>
              </w:rPr>
            </w:pPr>
            <w:r>
              <w:rPr>
                <w:rFonts w:hint="eastAsia"/>
                <w:color w:val="auto"/>
                <w:lang w:val="en-US" w:eastAsia="zh-CN"/>
              </w:rPr>
              <w:t>270°</w:t>
            </w:r>
          </w:p>
        </w:tc>
        <w:tc>
          <w:tcPr>
            <w:tcW w:w="750" w:type="dxa"/>
            <w:tcBorders>
              <w:tl2br w:val="nil"/>
              <w:tr2bl w:val="nil"/>
            </w:tcBorders>
            <w:vAlign w:val="center"/>
          </w:tcPr>
          <w:p w14:paraId="2596DF5D">
            <w:pPr>
              <w:pStyle w:val="34"/>
              <w:tabs>
                <w:tab w:val="left" w:pos="1389"/>
              </w:tabs>
              <w:bidi w:val="0"/>
              <w:rPr>
                <w:rFonts w:hint="eastAsia"/>
                <w:color w:val="auto"/>
                <w:lang w:val="en-US" w:eastAsia="zh-CN"/>
              </w:rPr>
            </w:pPr>
            <w:r>
              <w:rPr>
                <w:rFonts w:hint="eastAsia"/>
                <w:color w:val="auto"/>
                <w:lang w:val="en-US" w:eastAsia="zh-CN"/>
              </w:rPr>
              <w:t>10°</w:t>
            </w:r>
          </w:p>
        </w:tc>
        <w:tc>
          <w:tcPr>
            <w:tcW w:w="836" w:type="dxa"/>
            <w:tcBorders>
              <w:tl2br w:val="nil"/>
              <w:tr2bl w:val="nil"/>
            </w:tcBorders>
            <w:vAlign w:val="center"/>
          </w:tcPr>
          <w:p w14:paraId="7363F475">
            <w:pPr>
              <w:pStyle w:val="34"/>
              <w:tabs>
                <w:tab w:val="left" w:pos="1389"/>
              </w:tabs>
              <w:bidi w:val="0"/>
              <w:rPr>
                <w:rFonts w:hint="eastAsia"/>
                <w:color w:val="auto"/>
                <w:lang w:val="en-US" w:eastAsia="zh-CN"/>
              </w:rPr>
            </w:pPr>
            <w:r>
              <w:rPr>
                <w:rFonts w:hint="eastAsia"/>
                <w:color w:val="auto"/>
                <w:lang w:val="en-US" w:eastAsia="zh-CN"/>
              </w:rPr>
              <w:t>坡下部</w:t>
            </w:r>
          </w:p>
        </w:tc>
        <w:tc>
          <w:tcPr>
            <w:tcW w:w="837" w:type="dxa"/>
            <w:tcBorders>
              <w:tl2br w:val="nil"/>
              <w:tr2bl w:val="nil"/>
            </w:tcBorders>
            <w:vAlign w:val="center"/>
          </w:tcPr>
          <w:p w14:paraId="7117E946">
            <w:pPr>
              <w:pStyle w:val="34"/>
              <w:tabs>
                <w:tab w:val="left" w:pos="1389"/>
              </w:tabs>
              <w:bidi w:val="0"/>
              <w:rPr>
                <w:rFonts w:hint="eastAsia"/>
                <w:color w:val="auto"/>
                <w:lang w:val="en-US" w:eastAsia="zh-CN"/>
              </w:rPr>
            </w:pPr>
            <w:r>
              <w:rPr>
                <w:rFonts w:hint="default"/>
                <w:color w:val="auto"/>
              </w:rPr>
              <w:t>20m×20m</w:t>
            </w:r>
          </w:p>
        </w:tc>
      </w:tr>
      <w:tr w14:paraId="131A43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6900A006">
            <w:pPr>
              <w:pStyle w:val="34"/>
              <w:tabs>
                <w:tab w:val="left" w:pos="1389"/>
              </w:tabs>
              <w:bidi w:val="0"/>
              <w:rPr>
                <w:rFonts w:hint="default"/>
                <w:color w:val="auto"/>
                <w:lang w:val="en-US" w:eastAsia="zh-CN"/>
              </w:rPr>
            </w:pPr>
            <w:r>
              <w:rPr>
                <w:rFonts w:hint="default"/>
                <w:color w:val="auto"/>
                <w:lang w:val="en-US" w:eastAsia="zh-CN"/>
              </w:rPr>
              <w:t>6</w:t>
            </w:r>
          </w:p>
        </w:tc>
        <w:tc>
          <w:tcPr>
            <w:tcW w:w="817" w:type="dxa"/>
            <w:tcBorders>
              <w:tl2br w:val="nil"/>
              <w:tr2bl w:val="nil"/>
            </w:tcBorders>
            <w:vAlign w:val="center"/>
          </w:tcPr>
          <w:p w14:paraId="0643106B">
            <w:pPr>
              <w:pStyle w:val="34"/>
              <w:tabs>
                <w:tab w:val="left" w:pos="1389"/>
              </w:tabs>
              <w:bidi w:val="0"/>
              <w:rPr>
                <w:rFonts w:hint="default"/>
                <w:color w:val="auto"/>
                <w:lang w:val="en-US" w:eastAsia="zh-CN"/>
              </w:rPr>
            </w:pPr>
            <w:r>
              <w:rPr>
                <w:rFonts w:hint="default"/>
                <w:color w:val="auto"/>
                <w:lang w:val="en-US" w:eastAsia="zh-CN"/>
              </w:rPr>
              <w:t>云南松</w:t>
            </w:r>
            <w:r>
              <w:rPr>
                <w:rFonts w:hint="eastAsia"/>
                <w:color w:val="auto"/>
                <w:lang w:val="en-US" w:eastAsia="zh-CN"/>
              </w:rPr>
              <w:t>群落</w:t>
            </w:r>
          </w:p>
        </w:tc>
        <w:tc>
          <w:tcPr>
            <w:tcW w:w="1000" w:type="dxa"/>
            <w:tcBorders>
              <w:tl2br w:val="nil"/>
              <w:tr2bl w:val="nil"/>
            </w:tcBorders>
            <w:vAlign w:val="center"/>
          </w:tcPr>
          <w:p w14:paraId="29FE8FF2">
            <w:pPr>
              <w:pStyle w:val="34"/>
              <w:tabs>
                <w:tab w:val="left" w:pos="1389"/>
              </w:tabs>
              <w:bidi w:val="0"/>
              <w:rPr>
                <w:rFonts w:hint="eastAsia"/>
                <w:color w:val="auto"/>
                <w:lang w:val="en-US" w:eastAsia="zh-CN"/>
              </w:rPr>
            </w:pPr>
            <w:r>
              <w:rPr>
                <w:rFonts w:hint="eastAsia"/>
                <w:color w:val="auto"/>
                <w:lang w:val="en-US" w:eastAsia="zh-CN"/>
              </w:rPr>
              <w:t>XZB16东北侧</w:t>
            </w:r>
          </w:p>
        </w:tc>
        <w:tc>
          <w:tcPr>
            <w:tcW w:w="1689" w:type="dxa"/>
            <w:tcBorders>
              <w:tl2br w:val="nil"/>
              <w:tr2bl w:val="nil"/>
            </w:tcBorders>
            <w:vAlign w:val="center"/>
          </w:tcPr>
          <w:p w14:paraId="5DFCCAFB">
            <w:pPr>
              <w:pStyle w:val="34"/>
              <w:tabs>
                <w:tab w:val="left" w:pos="1389"/>
              </w:tabs>
              <w:bidi w:val="0"/>
              <w:rPr>
                <w:rFonts w:hint="default"/>
                <w:color w:val="auto"/>
              </w:rPr>
            </w:pPr>
            <w:r>
              <w:rPr>
                <w:rFonts w:hint="default"/>
                <w:color w:val="auto"/>
              </w:rPr>
              <w:t>103°46'02.284"E</w:t>
            </w:r>
          </w:p>
          <w:p w14:paraId="2463CD26">
            <w:pPr>
              <w:pStyle w:val="34"/>
              <w:tabs>
                <w:tab w:val="left" w:pos="1389"/>
              </w:tabs>
              <w:bidi w:val="0"/>
              <w:rPr>
                <w:rFonts w:hint="default"/>
                <w:color w:val="auto"/>
              </w:rPr>
            </w:pPr>
            <w:r>
              <w:rPr>
                <w:rFonts w:hint="default"/>
                <w:color w:val="auto"/>
              </w:rPr>
              <w:t>25°56'56.05</w:t>
            </w:r>
            <w:r>
              <w:rPr>
                <w:rFonts w:hint="eastAsia"/>
                <w:color w:val="auto"/>
                <w:lang w:val="en-US" w:eastAsia="zh-CN"/>
              </w:rPr>
              <w:t>6</w:t>
            </w:r>
            <w:r>
              <w:rPr>
                <w:rFonts w:hint="default"/>
                <w:color w:val="auto"/>
              </w:rPr>
              <w:t>"N</w:t>
            </w:r>
          </w:p>
        </w:tc>
        <w:tc>
          <w:tcPr>
            <w:tcW w:w="853" w:type="dxa"/>
            <w:tcBorders>
              <w:tl2br w:val="nil"/>
              <w:tr2bl w:val="nil"/>
            </w:tcBorders>
            <w:vAlign w:val="center"/>
          </w:tcPr>
          <w:p w14:paraId="1B32388B">
            <w:pPr>
              <w:pStyle w:val="34"/>
              <w:tabs>
                <w:tab w:val="left" w:pos="1389"/>
              </w:tabs>
              <w:bidi w:val="0"/>
              <w:rPr>
                <w:rFonts w:hint="default"/>
                <w:color w:val="auto"/>
                <w:lang w:val="en-US" w:eastAsia="zh-CN"/>
              </w:rPr>
            </w:pPr>
            <w:r>
              <w:rPr>
                <w:rFonts w:hint="eastAsia"/>
                <w:color w:val="auto"/>
                <w:lang w:val="en-US" w:eastAsia="zh-CN"/>
              </w:rPr>
              <w:t>2278</w:t>
            </w:r>
          </w:p>
        </w:tc>
        <w:tc>
          <w:tcPr>
            <w:tcW w:w="711" w:type="dxa"/>
            <w:tcBorders>
              <w:tl2br w:val="nil"/>
              <w:tr2bl w:val="nil"/>
            </w:tcBorders>
            <w:vAlign w:val="center"/>
          </w:tcPr>
          <w:p w14:paraId="60084217">
            <w:pPr>
              <w:pStyle w:val="34"/>
              <w:tabs>
                <w:tab w:val="left" w:pos="1389"/>
              </w:tabs>
              <w:bidi w:val="0"/>
              <w:rPr>
                <w:rFonts w:hint="default"/>
                <w:color w:val="auto"/>
              </w:rPr>
            </w:pPr>
            <w:r>
              <w:rPr>
                <w:rFonts w:hint="eastAsia"/>
                <w:color w:val="auto"/>
                <w:lang w:val="en-US" w:eastAsia="zh-CN"/>
              </w:rPr>
              <w:t>缓坡</w:t>
            </w:r>
          </w:p>
        </w:tc>
        <w:tc>
          <w:tcPr>
            <w:tcW w:w="776" w:type="dxa"/>
            <w:tcBorders>
              <w:tl2br w:val="nil"/>
              <w:tr2bl w:val="nil"/>
            </w:tcBorders>
            <w:vAlign w:val="center"/>
          </w:tcPr>
          <w:p w14:paraId="4A244DE4">
            <w:pPr>
              <w:pStyle w:val="34"/>
              <w:tabs>
                <w:tab w:val="left" w:pos="1389"/>
              </w:tabs>
              <w:bidi w:val="0"/>
              <w:rPr>
                <w:rFonts w:hint="default"/>
                <w:color w:val="auto"/>
              </w:rPr>
            </w:pPr>
            <w:r>
              <w:rPr>
                <w:rFonts w:hint="eastAsia"/>
                <w:color w:val="auto"/>
                <w:lang w:val="en-US" w:eastAsia="zh-CN"/>
              </w:rPr>
              <w:t>142°</w:t>
            </w:r>
          </w:p>
        </w:tc>
        <w:tc>
          <w:tcPr>
            <w:tcW w:w="750" w:type="dxa"/>
            <w:tcBorders>
              <w:tl2br w:val="nil"/>
              <w:tr2bl w:val="nil"/>
            </w:tcBorders>
            <w:vAlign w:val="center"/>
          </w:tcPr>
          <w:p w14:paraId="3292D1E6">
            <w:pPr>
              <w:pStyle w:val="34"/>
              <w:tabs>
                <w:tab w:val="left" w:pos="1389"/>
              </w:tabs>
              <w:bidi w:val="0"/>
              <w:rPr>
                <w:rFonts w:hint="default"/>
                <w:color w:val="auto"/>
              </w:rPr>
            </w:pPr>
            <w:r>
              <w:rPr>
                <w:rFonts w:hint="eastAsia"/>
                <w:color w:val="auto"/>
                <w:lang w:val="en-US" w:eastAsia="zh-CN"/>
              </w:rPr>
              <w:t>18°</w:t>
            </w:r>
          </w:p>
        </w:tc>
        <w:tc>
          <w:tcPr>
            <w:tcW w:w="836" w:type="dxa"/>
            <w:tcBorders>
              <w:tl2br w:val="nil"/>
              <w:tr2bl w:val="nil"/>
            </w:tcBorders>
            <w:vAlign w:val="center"/>
          </w:tcPr>
          <w:p w14:paraId="62FB7C49">
            <w:pPr>
              <w:pStyle w:val="34"/>
              <w:tabs>
                <w:tab w:val="left" w:pos="1389"/>
              </w:tabs>
              <w:bidi w:val="0"/>
              <w:rPr>
                <w:rFonts w:hint="default"/>
                <w:color w:val="auto"/>
              </w:rPr>
            </w:pPr>
            <w:r>
              <w:rPr>
                <w:rFonts w:hint="eastAsia"/>
                <w:color w:val="auto"/>
                <w:lang w:val="en-US" w:eastAsia="zh-CN"/>
              </w:rPr>
              <w:t>坡下部</w:t>
            </w:r>
          </w:p>
        </w:tc>
        <w:tc>
          <w:tcPr>
            <w:tcW w:w="837" w:type="dxa"/>
            <w:tcBorders>
              <w:tl2br w:val="nil"/>
              <w:tr2bl w:val="nil"/>
            </w:tcBorders>
            <w:vAlign w:val="center"/>
          </w:tcPr>
          <w:p w14:paraId="7E98011E">
            <w:pPr>
              <w:pStyle w:val="34"/>
              <w:tabs>
                <w:tab w:val="left" w:pos="1389"/>
              </w:tabs>
              <w:bidi w:val="0"/>
              <w:rPr>
                <w:rFonts w:hint="default"/>
                <w:color w:val="auto"/>
              </w:rPr>
            </w:pPr>
            <w:r>
              <w:rPr>
                <w:rFonts w:hint="default"/>
                <w:color w:val="auto"/>
              </w:rPr>
              <w:t>20m×20m</w:t>
            </w:r>
          </w:p>
        </w:tc>
      </w:tr>
      <w:tr w14:paraId="1AAAE1B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2FFBBA8A">
            <w:pPr>
              <w:pStyle w:val="34"/>
              <w:tabs>
                <w:tab w:val="left" w:pos="1389"/>
              </w:tabs>
              <w:bidi w:val="0"/>
              <w:rPr>
                <w:rFonts w:hint="default"/>
                <w:color w:val="auto"/>
                <w:lang w:val="en-US" w:eastAsia="zh-CN"/>
              </w:rPr>
            </w:pPr>
            <w:r>
              <w:rPr>
                <w:rFonts w:hint="default"/>
                <w:color w:val="auto"/>
                <w:lang w:val="en-US" w:eastAsia="zh-CN"/>
              </w:rPr>
              <w:t>7</w:t>
            </w:r>
          </w:p>
        </w:tc>
        <w:tc>
          <w:tcPr>
            <w:tcW w:w="817" w:type="dxa"/>
            <w:tcBorders>
              <w:tl2br w:val="nil"/>
              <w:tr2bl w:val="nil"/>
            </w:tcBorders>
            <w:vAlign w:val="center"/>
          </w:tcPr>
          <w:p w14:paraId="28F7B0BD">
            <w:pPr>
              <w:pStyle w:val="34"/>
              <w:tabs>
                <w:tab w:val="left" w:pos="1389"/>
              </w:tabs>
              <w:bidi w:val="0"/>
              <w:rPr>
                <w:rFonts w:hint="default"/>
                <w:color w:val="auto"/>
                <w:lang w:val="en-US" w:eastAsia="zh-CN"/>
              </w:rPr>
            </w:pPr>
            <w:r>
              <w:rPr>
                <w:rFonts w:hint="eastAsia"/>
                <w:color w:val="auto"/>
                <w:lang w:val="en-US" w:eastAsia="zh-CN"/>
              </w:rPr>
              <w:t>粉叶小檗-栒子群落</w:t>
            </w:r>
          </w:p>
        </w:tc>
        <w:tc>
          <w:tcPr>
            <w:tcW w:w="1000" w:type="dxa"/>
            <w:tcBorders>
              <w:tl2br w:val="nil"/>
              <w:tr2bl w:val="nil"/>
            </w:tcBorders>
            <w:vAlign w:val="center"/>
          </w:tcPr>
          <w:p w14:paraId="47BBEE6E">
            <w:pPr>
              <w:pStyle w:val="34"/>
              <w:tabs>
                <w:tab w:val="left" w:pos="1389"/>
              </w:tabs>
              <w:bidi w:val="0"/>
              <w:rPr>
                <w:rFonts w:hint="eastAsia"/>
                <w:color w:val="auto"/>
                <w:lang w:val="en-US" w:eastAsia="zh-CN"/>
              </w:rPr>
            </w:pPr>
            <w:r>
              <w:rPr>
                <w:rFonts w:hint="eastAsia"/>
                <w:color w:val="auto"/>
                <w:lang w:val="en-US" w:eastAsia="zh-CN"/>
              </w:rPr>
              <w:t>XZB01北侧</w:t>
            </w:r>
          </w:p>
        </w:tc>
        <w:tc>
          <w:tcPr>
            <w:tcW w:w="1689" w:type="dxa"/>
            <w:tcBorders>
              <w:tl2br w:val="nil"/>
              <w:tr2bl w:val="nil"/>
            </w:tcBorders>
            <w:vAlign w:val="center"/>
          </w:tcPr>
          <w:p w14:paraId="22B1DFBD">
            <w:pPr>
              <w:pStyle w:val="34"/>
              <w:tabs>
                <w:tab w:val="left" w:pos="1389"/>
              </w:tabs>
              <w:bidi w:val="0"/>
              <w:rPr>
                <w:rFonts w:hint="default"/>
                <w:color w:val="auto"/>
              </w:rPr>
            </w:pPr>
            <w:r>
              <w:rPr>
                <w:rFonts w:hint="default"/>
                <w:color w:val="auto"/>
              </w:rPr>
              <w:t>103°43'52.918"E</w:t>
            </w:r>
          </w:p>
          <w:p w14:paraId="5A94D2E3">
            <w:pPr>
              <w:pStyle w:val="34"/>
              <w:tabs>
                <w:tab w:val="left" w:pos="1389"/>
              </w:tabs>
              <w:bidi w:val="0"/>
              <w:rPr>
                <w:rFonts w:hint="default"/>
                <w:color w:val="auto"/>
              </w:rPr>
            </w:pPr>
            <w:r>
              <w:rPr>
                <w:rFonts w:hint="default"/>
                <w:color w:val="auto"/>
              </w:rPr>
              <w:t>25°58'14.92</w:t>
            </w:r>
            <w:r>
              <w:rPr>
                <w:rFonts w:hint="eastAsia"/>
                <w:color w:val="auto"/>
                <w:lang w:val="en-US" w:eastAsia="zh-CN"/>
              </w:rPr>
              <w:t>4</w:t>
            </w:r>
            <w:r>
              <w:rPr>
                <w:rFonts w:hint="default"/>
                <w:color w:val="auto"/>
              </w:rPr>
              <w:t>"N</w:t>
            </w:r>
          </w:p>
        </w:tc>
        <w:tc>
          <w:tcPr>
            <w:tcW w:w="853" w:type="dxa"/>
            <w:tcBorders>
              <w:tl2br w:val="nil"/>
              <w:tr2bl w:val="nil"/>
            </w:tcBorders>
            <w:vAlign w:val="center"/>
          </w:tcPr>
          <w:p w14:paraId="26645EA2">
            <w:pPr>
              <w:pStyle w:val="34"/>
              <w:tabs>
                <w:tab w:val="left" w:pos="1389"/>
              </w:tabs>
              <w:bidi w:val="0"/>
              <w:rPr>
                <w:rFonts w:hint="default"/>
                <w:color w:val="auto"/>
                <w:lang w:val="en-US" w:eastAsia="zh-CN"/>
              </w:rPr>
            </w:pPr>
            <w:r>
              <w:rPr>
                <w:rFonts w:hint="eastAsia"/>
                <w:color w:val="auto"/>
                <w:lang w:val="en-US" w:eastAsia="zh-CN"/>
              </w:rPr>
              <w:t>2296</w:t>
            </w:r>
          </w:p>
        </w:tc>
        <w:tc>
          <w:tcPr>
            <w:tcW w:w="711" w:type="dxa"/>
            <w:tcBorders>
              <w:tl2br w:val="nil"/>
              <w:tr2bl w:val="nil"/>
            </w:tcBorders>
            <w:vAlign w:val="center"/>
          </w:tcPr>
          <w:p w14:paraId="06577ABC">
            <w:pPr>
              <w:pStyle w:val="34"/>
              <w:tabs>
                <w:tab w:val="left" w:pos="1389"/>
              </w:tabs>
              <w:bidi w:val="0"/>
              <w:rPr>
                <w:rFonts w:hint="default"/>
                <w:color w:val="auto"/>
              </w:rPr>
            </w:pPr>
            <w:r>
              <w:rPr>
                <w:rFonts w:hint="eastAsia"/>
                <w:color w:val="auto"/>
                <w:lang w:val="en-US" w:eastAsia="zh-CN"/>
              </w:rPr>
              <w:t>缓坡</w:t>
            </w:r>
          </w:p>
        </w:tc>
        <w:tc>
          <w:tcPr>
            <w:tcW w:w="776" w:type="dxa"/>
            <w:tcBorders>
              <w:tl2br w:val="nil"/>
              <w:tr2bl w:val="nil"/>
            </w:tcBorders>
            <w:vAlign w:val="center"/>
          </w:tcPr>
          <w:p w14:paraId="2F157723">
            <w:pPr>
              <w:pStyle w:val="34"/>
              <w:tabs>
                <w:tab w:val="left" w:pos="1389"/>
              </w:tabs>
              <w:bidi w:val="0"/>
              <w:rPr>
                <w:rFonts w:hint="default"/>
                <w:color w:val="auto"/>
                <w:lang w:val="en-US" w:eastAsia="zh-CN"/>
              </w:rPr>
            </w:pPr>
            <w:r>
              <w:rPr>
                <w:rFonts w:hint="eastAsia"/>
                <w:color w:val="auto"/>
                <w:lang w:val="en-US" w:eastAsia="zh-CN"/>
              </w:rPr>
              <w:t>170°</w:t>
            </w:r>
          </w:p>
        </w:tc>
        <w:tc>
          <w:tcPr>
            <w:tcW w:w="750" w:type="dxa"/>
            <w:tcBorders>
              <w:tl2br w:val="nil"/>
              <w:tr2bl w:val="nil"/>
            </w:tcBorders>
            <w:vAlign w:val="center"/>
          </w:tcPr>
          <w:p w14:paraId="616465D6">
            <w:pPr>
              <w:pStyle w:val="34"/>
              <w:tabs>
                <w:tab w:val="left" w:pos="1389"/>
              </w:tabs>
              <w:bidi w:val="0"/>
              <w:rPr>
                <w:rFonts w:hint="default"/>
                <w:color w:val="auto"/>
              </w:rPr>
            </w:pPr>
            <w:r>
              <w:rPr>
                <w:rFonts w:hint="eastAsia"/>
                <w:color w:val="auto"/>
                <w:lang w:val="en-US" w:eastAsia="zh-CN"/>
              </w:rPr>
              <w:t>13°</w:t>
            </w:r>
          </w:p>
        </w:tc>
        <w:tc>
          <w:tcPr>
            <w:tcW w:w="836" w:type="dxa"/>
            <w:tcBorders>
              <w:tl2br w:val="nil"/>
              <w:tr2bl w:val="nil"/>
            </w:tcBorders>
            <w:vAlign w:val="center"/>
          </w:tcPr>
          <w:p w14:paraId="745384AA">
            <w:pPr>
              <w:pStyle w:val="34"/>
              <w:tabs>
                <w:tab w:val="left" w:pos="1389"/>
              </w:tabs>
              <w:bidi w:val="0"/>
              <w:rPr>
                <w:rFonts w:hint="default"/>
                <w:color w:val="auto"/>
                <w:lang w:val="en-US" w:eastAsia="zh-CN"/>
              </w:rPr>
            </w:pPr>
            <w:r>
              <w:rPr>
                <w:rFonts w:hint="eastAsia"/>
                <w:color w:val="auto"/>
                <w:lang w:val="en-US" w:eastAsia="zh-CN"/>
              </w:rPr>
              <w:t>坡下部</w:t>
            </w:r>
          </w:p>
        </w:tc>
        <w:tc>
          <w:tcPr>
            <w:tcW w:w="837" w:type="dxa"/>
            <w:tcBorders>
              <w:tl2br w:val="nil"/>
              <w:tr2bl w:val="nil"/>
            </w:tcBorders>
            <w:vAlign w:val="center"/>
          </w:tcPr>
          <w:p w14:paraId="2A46066D">
            <w:pPr>
              <w:pStyle w:val="34"/>
              <w:tabs>
                <w:tab w:val="left" w:pos="1389"/>
              </w:tabs>
              <w:bidi w:val="0"/>
              <w:rPr>
                <w:rFonts w:hint="default"/>
                <w:color w:val="auto"/>
              </w:rPr>
            </w:pPr>
            <w:r>
              <w:rPr>
                <w:rFonts w:hint="eastAsia"/>
                <w:color w:val="auto"/>
                <w:lang w:val="en-US" w:eastAsia="zh-CN"/>
              </w:rPr>
              <w:t>1</w:t>
            </w:r>
            <w:r>
              <w:rPr>
                <w:rFonts w:hint="default"/>
                <w:color w:val="auto"/>
              </w:rPr>
              <w:t>0m×</w:t>
            </w:r>
            <w:r>
              <w:rPr>
                <w:rFonts w:hint="eastAsia"/>
                <w:color w:val="auto"/>
                <w:lang w:val="en-US" w:eastAsia="zh-CN"/>
              </w:rPr>
              <w:t>1</w:t>
            </w:r>
            <w:r>
              <w:rPr>
                <w:rFonts w:hint="default"/>
                <w:color w:val="auto"/>
              </w:rPr>
              <w:t>0m</w:t>
            </w:r>
          </w:p>
        </w:tc>
      </w:tr>
      <w:tr w14:paraId="340029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79BE960E">
            <w:pPr>
              <w:pStyle w:val="34"/>
              <w:tabs>
                <w:tab w:val="left" w:pos="1389"/>
              </w:tabs>
              <w:bidi w:val="0"/>
              <w:rPr>
                <w:rFonts w:hint="default"/>
                <w:color w:val="auto"/>
                <w:lang w:val="en-US" w:eastAsia="zh-CN"/>
              </w:rPr>
            </w:pPr>
            <w:r>
              <w:rPr>
                <w:rFonts w:hint="default"/>
                <w:color w:val="auto"/>
                <w:lang w:val="en-US" w:eastAsia="zh-CN"/>
              </w:rPr>
              <w:t>8</w:t>
            </w:r>
          </w:p>
        </w:tc>
        <w:tc>
          <w:tcPr>
            <w:tcW w:w="817" w:type="dxa"/>
            <w:tcBorders>
              <w:tl2br w:val="nil"/>
              <w:tr2bl w:val="nil"/>
            </w:tcBorders>
            <w:vAlign w:val="center"/>
          </w:tcPr>
          <w:p w14:paraId="2E4DBDB4">
            <w:pPr>
              <w:pStyle w:val="34"/>
              <w:tabs>
                <w:tab w:val="left" w:pos="1389"/>
              </w:tabs>
              <w:bidi w:val="0"/>
              <w:rPr>
                <w:rFonts w:hint="default"/>
                <w:color w:val="auto"/>
              </w:rPr>
            </w:pPr>
            <w:r>
              <w:rPr>
                <w:rFonts w:hint="eastAsia"/>
                <w:color w:val="auto"/>
                <w:lang w:val="en-US" w:eastAsia="zh-CN"/>
              </w:rPr>
              <w:t>粉叶小檗-栒子群落</w:t>
            </w:r>
          </w:p>
        </w:tc>
        <w:tc>
          <w:tcPr>
            <w:tcW w:w="1000" w:type="dxa"/>
            <w:tcBorders>
              <w:tl2br w:val="nil"/>
              <w:tr2bl w:val="nil"/>
            </w:tcBorders>
            <w:vAlign w:val="center"/>
          </w:tcPr>
          <w:p w14:paraId="0DD69681">
            <w:pPr>
              <w:pStyle w:val="34"/>
              <w:tabs>
                <w:tab w:val="left" w:pos="1389"/>
              </w:tabs>
              <w:bidi w:val="0"/>
              <w:rPr>
                <w:rFonts w:hint="default"/>
                <w:color w:val="auto"/>
                <w:lang w:val="en-US" w:eastAsia="zh-CN"/>
              </w:rPr>
            </w:pPr>
            <w:r>
              <w:rPr>
                <w:rFonts w:hint="eastAsia"/>
                <w:color w:val="auto"/>
                <w:lang w:val="en-US" w:eastAsia="zh-CN"/>
              </w:rPr>
              <w:t>XZB01北侧</w:t>
            </w:r>
          </w:p>
        </w:tc>
        <w:tc>
          <w:tcPr>
            <w:tcW w:w="1689" w:type="dxa"/>
            <w:tcBorders>
              <w:tl2br w:val="nil"/>
              <w:tr2bl w:val="nil"/>
            </w:tcBorders>
            <w:vAlign w:val="center"/>
          </w:tcPr>
          <w:p w14:paraId="7DAFF3E9">
            <w:pPr>
              <w:pStyle w:val="34"/>
              <w:tabs>
                <w:tab w:val="left" w:pos="1389"/>
              </w:tabs>
              <w:bidi w:val="0"/>
              <w:rPr>
                <w:rFonts w:hint="default"/>
                <w:color w:val="auto"/>
              </w:rPr>
            </w:pPr>
            <w:r>
              <w:rPr>
                <w:rFonts w:hint="default"/>
                <w:color w:val="auto"/>
              </w:rPr>
              <w:t>103°43'53.954"E</w:t>
            </w:r>
          </w:p>
          <w:p w14:paraId="29E8757F">
            <w:pPr>
              <w:pStyle w:val="34"/>
              <w:tabs>
                <w:tab w:val="left" w:pos="1389"/>
              </w:tabs>
              <w:bidi w:val="0"/>
              <w:rPr>
                <w:rFonts w:hint="default"/>
                <w:color w:val="auto"/>
              </w:rPr>
            </w:pPr>
            <w:r>
              <w:rPr>
                <w:rFonts w:hint="default"/>
                <w:color w:val="auto"/>
              </w:rPr>
              <w:t>25°58'15.104"N</w:t>
            </w:r>
          </w:p>
        </w:tc>
        <w:tc>
          <w:tcPr>
            <w:tcW w:w="853" w:type="dxa"/>
            <w:tcBorders>
              <w:tl2br w:val="nil"/>
              <w:tr2bl w:val="nil"/>
            </w:tcBorders>
            <w:vAlign w:val="center"/>
          </w:tcPr>
          <w:p w14:paraId="70259BD4">
            <w:pPr>
              <w:pStyle w:val="34"/>
              <w:tabs>
                <w:tab w:val="left" w:pos="1389"/>
              </w:tabs>
              <w:bidi w:val="0"/>
              <w:rPr>
                <w:rFonts w:hint="default"/>
                <w:color w:val="auto"/>
                <w:lang w:val="en-US" w:eastAsia="zh-CN"/>
              </w:rPr>
            </w:pPr>
            <w:r>
              <w:rPr>
                <w:rFonts w:hint="eastAsia"/>
                <w:color w:val="auto"/>
                <w:lang w:val="en-US" w:eastAsia="zh-CN"/>
              </w:rPr>
              <w:t>2294</w:t>
            </w:r>
          </w:p>
        </w:tc>
        <w:tc>
          <w:tcPr>
            <w:tcW w:w="711" w:type="dxa"/>
            <w:tcBorders>
              <w:tl2br w:val="nil"/>
              <w:tr2bl w:val="nil"/>
            </w:tcBorders>
            <w:vAlign w:val="center"/>
          </w:tcPr>
          <w:p w14:paraId="43F87FDE">
            <w:pPr>
              <w:pStyle w:val="34"/>
              <w:tabs>
                <w:tab w:val="left" w:pos="1389"/>
              </w:tabs>
              <w:bidi w:val="0"/>
              <w:rPr>
                <w:rFonts w:hint="default"/>
                <w:color w:val="auto"/>
              </w:rPr>
            </w:pPr>
            <w:r>
              <w:rPr>
                <w:rFonts w:hint="eastAsia"/>
                <w:color w:val="auto"/>
                <w:lang w:val="en-US" w:eastAsia="zh-CN"/>
              </w:rPr>
              <w:t>缓坡</w:t>
            </w:r>
          </w:p>
        </w:tc>
        <w:tc>
          <w:tcPr>
            <w:tcW w:w="776" w:type="dxa"/>
            <w:tcBorders>
              <w:tl2br w:val="nil"/>
              <w:tr2bl w:val="nil"/>
            </w:tcBorders>
            <w:vAlign w:val="center"/>
          </w:tcPr>
          <w:p w14:paraId="126AEA05">
            <w:pPr>
              <w:pStyle w:val="34"/>
              <w:tabs>
                <w:tab w:val="left" w:pos="1389"/>
              </w:tabs>
              <w:bidi w:val="0"/>
              <w:rPr>
                <w:rFonts w:hint="default"/>
                <w:color w:val="auto"/>
              </w:rPr>
            </w:pPr>
            <w:r>
              <w:rPr>
                <w:rFonts w:hint="eastAsia"/>
                <w:color w:val="auto"/>
                <w:lang w:val="en-US" w:eastAsia="zh-CN"/>
              </w:rPr>
              <w:t>115°</w:t>
            </w:r>
          </w:p>
        </w:tc>
        <w:tc>
          <w:tcPr>
            <w:tcW w:w="750" w:type="dxa"/>
            <w:tcBorders>
              <w:tl2br w:val="nil"/>
              <w:tr2bl w:val="nil"/>
            </w:tcBorders>
            <w:vAlign w:val="center"/>
          </w:tcPr>
          <w:p w14:paraId="78E9BEAF">
            <w:pPr>
              <w:pStyle w:val="34"/>
              <w:tabs>
                <w:tab w:val="left" w:pos="1389"/>
              </w:tabs>
              <w:bidi w:val="0"/>
              <w:rPr>
                <w:rFonts w:hint="default"/>
                <w:color w:val="auto"/>
              </w:rPr>
            </w:pPr>
            <w:r>
              <w:rPr>
                <w:rFonts w:hint="eastAsia"/>
                <w:color w:val="auto"/>
                <w:lang w:val="en-US" w:eastAsia="zh-CN"/>
              </w:rPr>
              <w:t>13°</w:t>
            </w:r>
          </w:p>
        </w:tc>
        <w:tc>
          <w:tcPr>
            <w:tcW w:w="836" w:type="dxa"/>
            <w:tcBorders>
              <w:tl2br w:val="nil"/>
              <w:tr2bl w:val="nil"/>
            </w:tcBorders>
            <w:vAlign w:val="center"/>
          </w:tcPr>
          <w:p w14:paraId="0FC94471">
            <w:pPr>
              <w:pStyle w:val="34"/>
              <w:tabs>
                <w:tab w:val="left" w:pos="1389"/>
              </w:tabs>
              <w:bidi w:val="0"/>
              <w:rPr>
                <w:rFonts w:hint="default"/>
                <w:color w:val="auto"/>
              </w:rPr>
            </w:pPr>
            <w:r>
              <w:rPr>
                <w:rFonts w:hint="eastAsia"/>
                <w:color w:val="auto"/>
                <w:lang w:val="en-US" w:eastAsia="zh-CN"/>
              </w:rPr>
              <w:t>坡下部</w:t>
            </w:r>
          </w:p>
        </w:tc>
        <w:tc>
          <w:tcPr>
            <w:tcW w:w="837" w:type="dxa"/>
            <w:tcBorders>
              <w:tl2br w:val="nil"/>
              <w:tr2bl w:val="nil"/>
            </w:tcBorders>
            <w:vAlign w:val="center"/>
          </w:tcPr>
          <w:p w14:paraId="73CC309C">
            <w:pPr>
              <w:pStyle w:val="34"/>
              <w:tabs>
                <w:tab w:val="left" w:pos="1389"/>
              </w:tabs>
              <w:bidi w:val="0"/>
              <w:rPr>
                <w:rFonts w:hint="eastAsia"/>
                <w:color w:val="auto"/>
                <w:lang w:val="en-US" w:eastAsia="zh-CN"/>
              </w:rPr>
            </w:pPr>
            <w:r>
              <w:rPr>
                <w:rFonts w:hint="eastAsia"/>
                <w:color w:val="auto"/>
                <w:lang w:val="en-US" w:eastAsia="zh-CN"/>
              </w:rPr>
              <w:t>1</w:t>
            </w:r>
            <w:r>
              <w:rPr>
                <w:rFonts w:hint="default"/>
                <w:color w:val="auto"/>
              </w:rPr>
              <w:t>0m×</w:t>
            </w:r>
            <w:r>
              <w:rPr>
                <w:rFonts w:hint="eastAsia"/>
                <w:color w:val="auto"/>
                <w:lang w:val="en-US" w:eastAsia="zh-CN"/>
              </w:rPr>
              <w:t>1</w:t>
            </w:r>
            <w:r>
              <w:rPr>
                <w:rFonts w:hint="default"/>
                <w:color w:val="auto"/>
              </w:rPr>
              <w:t>0m</w:t>
            </w:r>
          </w:p>
        </w:tc>
      </w:tr>
      <w:tr w14:paraId="34DDED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6383D397">
            <w:pPr>
              <w:pStyle w:val="34"/>
              <w:tabs>
                <w:tab w:val="left" w:pos="1389"/>
              </w:tabs>
              <w:bidi w:val="0"/>
              <w:rPr>
                <w:rFonts w:hint="default"/>
                <w:color w:val="auto"/>
                <w:lang w:val="en-US" w:eastAsia="zh-CN"/>
              </w:rPr>
            </w:pPr>
            <w:r>
              <w:rPr>
                <w:rFonts w:hint="default"/>
                <w:color w:val="auto"/>
                <w:lang w:val="en-US" w:eastAsia="zh-CN"/>
              </w:rPr>
              <w:t>9</w:t>
            </w:r>
          </w:p>
        </w:tc>
        <w:tc>
          <w:tcPr>
            <w:tcW w:w="817" w:type="dxa"/>
            <w:tcBorders>
              <w:tl2br w:val="nil"/>
              <w:tr2bl w:val="nil"/>
            </w:tcBorders>
            <w:vAlign w:val="center"/>
          </w:tcPr>
          <w:p w14:paraId="2C7BBF0B">
            <w:pPr>
              <w:pStyle w:val="34"/>
              <w:tabs>
                <w:tab w:val="left" w:pos="1389"/>
              </w:tabs>
              <w:bidi w:val="0"/>
              <w:rPr>
                <w:rFonts w:hint="default"/>
                <w:color w:val="auto"/>
                <w:lang w:val="en-US" w:eastAsia="zh-CN"/>
              </w:rPr>
            </w:pPr>
            <w:r>
              <w:rPr>
                <w:rFonts w:hint="eastAsia"/>
                <w:color w:val="auto"/>
                <w:lang w:val="en-US" w:eastAsia="zh-CN"/>
              </w:rPr>
              <w:t>粉叶小檗-栒子群落</w:t>
            </w:r>
          </w:p>
        </w:tc>
        <w:tc>
          <w:tcPr>
            <w:tcW w:w="1000" w:type="dxa"/>
            <w:tcBorders>
              <w:tl2br w:val="nil"/>
              <w:tr2bl w:val="nil"/>
            </w:tcBorders>
            <w:shd w:val="clear" w:color="auto" w:fill="auto"/>
            <w:vAlign w:val="center"/>
          </w:tcPr>
          <w:p w14:paraId="322FA890">
            <w:pPr>
              <w:pStyle w:val="34"/>
              <w:tabs>
                <w:tab w:val="left" w:pos="1389"/>
              </w:tabs>
              <w:bidi w:val="0"/>
              <w:rPr>
                <w:rFonts w:hint="default"/>
                <w:color w:val="auto"/>
                <w:lang w:val="en-US" w:eastAsia="zh-CN"/>
              </w:rPr>
            </w:pPr>
            <w:r>
              <w:rPr>
                <w:rFonts w:hint="eastAsia"/>
                <w:color w:val="auto"/>
                <w:lang w:val="en-US" w:eastAsia="zh-CN"/>
              </w:rPr>
              <w:t>集电线路南侧</w:t>
            </w:r>
          </w:p>
        </w:tc>
        <w:tc>
          <w:tcPr>
            <w:tcW w:w="1689" w:type="dxa"/>
            <w:tcBorders>
              <w:tl2br w:val="nil"/>
              <w:tr2bl w:val="nil"/>
            </w:tcBorders>
            <w:vAlign w:val="center"/>
          </w:tcPr>
          <w:p w14:paraId="0AF01D5A">
            <w:pPr>
              <w:pStyle w:val="34"/>
              <w:tabs>
                <w:tab w:val="left" w:pos="1389"/>
              </w:tabs>
              <w:bidi w:val="0"/>
              <w:rPr>
                <w:rFonts w:hint="default"/>
                <w:color w:val="auto"/>
              </w:rPr>
            </w:pPr>
            <w:r>
              <w:rPr>
                <w:rFonts w:hint="default"/>
                <w:color w:val="auto"/>
              </w:rPr>
              <w:t>103°43'53.538"E</w:t>
            </w:r>
          </w:p>
          <w:p w14:paraId="67F1CF9F">
            <w:pPr>
              <w:pStyle w:val="34"/>
              <w:tabs>
                <w:tab w:val="left" w:pos="1389"/>
              </w:tabs>
              <w:bidi w:val="0"/>
              <w:rPr>
                <w:rFonts w:hint="default"/>
                <w:color w:val="auto"/>
              </w:rPr>
            </w:pPr>
            <w:r>
              <w:rPr>
                <w:rFonts w:hint="default"/>
                <w:color w:val="auto"/>
              </w:rPr>
              <w:t>25°58'14.562"N</w:t>
            </w:r>
          </w:p>
        </w:tc>
        <w:tc>
          <w:tcPr>
            <w:tcW w:w="853" w:type="dxa"/>
            <w:tcBorders>
              <w:tl2br w:val="nil"/>
              <w:tr2bl w:val="nil"/>
            </w:tcBorders>
            <w:vAlign w:val="center"/>
          </w:tcPr>
          <w:p w14:paraId="082F6150">
            <w:pPr>
              <w:pStyle w:val="34"/>
              <w:tabs>
                <w:tab w:val="left" w:pos="1389"/>
              </w:tabs>
              <w:bidi w:val="0"/>
              <w:rPr>
                <w:rFonts w:hint="default"/>
                <w:color w:val="auto"/>
                <w:lang w:val="en-US" w:eastAsia="zh-CN"/>
              </w:rPr>
            </w:pPr>
            <w:r>
              <w:rPr>
                <w:rFonts w:hint="eastAsia"/>
                <w:color w:val="auto"/>
                <w:lang w:val="en-US" w:eastAsia="zh-CN"/>
              </w:rPr>
              <w:t>2366</w:t>
            </w:r>
          </w:p>
        </w:tc>
        <w:tc>
          <w:tcPr>
            <w:tcW w:w="711" w:type="dxa"/>
            <w:tcBorders>
              <w:tl2br w:val="nil"/>
              <w:tr2bl w:val="nil"/>
            </w:tcBorders>
            <w:vAlign w:val="center"/>
          </w:tcPr>
          <w:p w14:paraId="091E41F1">
            <w:pPr>
              <w:pStyle w:val="34"/>
              <w:tabs>
                <w:tab w:val="left" w:pos="1389"/>
              </w:tabs>
              <w:bidi w:val="0"/>
              <w:rPr>
                <w:rFonts w:hint="default"/>
                <w:color w:val="auto"/>
              </w:rPr>
            </w:pPr>
            <w:r>
              <w:rPr>
                <w:rFonts w:hint="eastAsia"/>
                <w:color w:val="auto"/>
                <w:lang w:val="en-US" w:eastAsia="zh-CN"/>
              </w:rPr>
              <w:t>缓坡</w:t>
            </w:r>
          </w:p>
        </w:tc>
        <w:tc>
          <w:tcPr>
            <w:tcW w:w="776" w:type="dxa"/>
            <w:tcBorders>
              <w:tl2br w:val="nil"/>
              <w:tr2bl w:val="nil"/>
            </w:tcBorders>
            <w:vAlign w:val="center"/>
          </w:tcPr>
          <w:p w14:paraId="737A5365">
            <w:pPr>
              <w:pStyle w:val="34"/>
              <w:tabs>
                <w:tab w:val="left" w:pos="1389"/>
              </w:tabs>
              <w:bidi w:val="0"/>
              <w:rPr>
                <w:rFonts w:hint="default"/>
                <w:color w:val="auto"/>
              </w:rPr>
            </w:pPr>
            <w:r>
              <w:rPr>
                <w:rFonts w:hint="eastAsia"/>
                <w:color w:val="auto"/>
                <w:lang w:val="en-US" w:eastAsia="zh-CN"/>
              </w:rPr>
              <w:t>205°</w:t>
            </w:r>
          </w:p>
        </w:tc>
        <w:tc>
          <w:tcPr>
            <w:tcW w:w="750" w:type="dxa"/>
            <w:tcBorders>
              <w:tl2br w:val="nil"/>
              <w:tr2bl w:val="nil"/>
            </w:tcBorders>
            <w:vAlign w:val="center"/>
          </w:tcPr>
          <w:p w14:paraId="642049DE">
            <w:pPr>
              <w:pStyle w:val="34"/>
              <w:tabs>
                <w:tab w:val="left" w:pos="1389"/>
              </w:tabs>
              <w:bidi w:val="0"/>
              <w:rPr>
                <w:rFonts w:hint="default"/>
                <w:color w:val="auto"/>
              </w:rPr>
            </w:pPr>
            <w:r>
              <w:rPr>
                <w:rFonts w:hint="eastAsia"/>
                <w:color w:val="auto"/>
                <w:lang w:val="en-US" w:eastAsia="zh-CN"/>
              </w:rPr>
              <w:t>8°</w:t>
            </w:r>
          </w:p>
        </w:tc>
        <w:tc>
          <w:tcPr>
            <w:tcW w:w="836" w:type="dxa"/>
            <w:tcBorders>
              <w:tl2br w:val="nil"/>
              <w:tr2bl w:val="nil"/>
            </w:tcBorders>
            <w:vAlign w:val="center"/>
          </w:tcPr>
          <w:p w14:paraId="433F047C">
            <w:pPr>
              <w:pStyle w:val="34"/>
              <w:tabs>
                <w:tab w:val="left" w:pos="1389"/>
              </w:tabs>
              <w:bidi w:val="0"/>
              <w:rPr>
                <w:rFonts w:hint="default"/>
                <w:color w:val="auto"/>
              </w:rPr>
            </w:pPr>
            <w:r>
              <w:rPr>
                <w:rFonts w:hint="eastAsia"/>
                <w:color w:val="auto"/>
                <w:lang w:val="en-US" w:eastAsia="zh-CN"/>
              </w:rPr>
              <w:t>坡下部</w:t>
            </w:r>
          </w:p>
        </w:tc>
        <w:tc>
          <w:tcPr>
            <w:tcW w:w="837" w:type="dxa"/>
            <w:tcBorders>
              <w:tl2br w:val="nil"/>
              <w:tr2bl w:val="nil"/>
            </w:tcBorders>
            <w:vAlign w:val="center"/>
          </w:tcPr>
          <w:p w14:paraId="34BBBC1A">
            <w:pPr>
              <w:pStyle w:val="34"/>
              <w:tabs>
                <w:tab w:val="left" w:pos="1389"/>
              </w:tabs>
              <w:bidi w:val="0"/>
              <w:rPr>
                <w:rFonts w:hint="default"/>
                <w:color w:val="auto"/>
              </w:rPr>
            </w:pPr>
            <w:r>
              <w:rPr>
                <w:rFonts w:hint="eastAsia"/>
                <w:color w:val="auto"/>
                <w:lang w:val="en-US" w:eastAsia="zh-CN"/>
              </w:rPr>
              <w:t>1</w:t>
            </w:r>
            <w:r>
              <w:rPr>
                <w:rFonts w:hint="default"/>
                <w:color w:val="auto"/>
              </w:rPr>
              <w:t>0m×</w:t>
            </w:r>
            <w:r>
              <w:rPr>
                <w:rFonts w:hint="eastAsia"/>
                <w:color w:val="auto"/>
                <w:lang w:val="en-US" w:eastAsia="zh-CN"/>
              </w:rPr>
              <w:t>1</w:t>
            </w:r>
            <w:r>
              <w:rPr>
                <w:rFonts w:hint="default"/>
                <w:color w:val="auto"/>
              </w:rPr>
              <w:t>0m</w:t>
            </w:r>
          </w:p>
        </w:tc>
      </w:tr>
      <w:tr w14:paraId="39D99B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6C7CC1C2">
            <w:pPr>
              <w:pStyle w:val="34"/>
              <w:tabs>
                <w:tab w:val="left" w:pos="1389"/>
              </w:tabs>
              <w:bidi w:val="0"/>
              <w:rPr>
                <w:rFonts w:hint="default"/>
                <w:color w:val="auto"/>
                <w:lang w:val="en-US" w:eastAsia="zh-CN"/>
              </w:rPr>
            </w:pPr>
            <w:r>
              <w:rPr>
                <w:rFonts w:hint="eastAsia"/>
                <w:color w:val="auto"/>
                <w:lang w:val="en-US" w:eastAsia="zh-CN"/>
              </w:rPr>
              <w:t>10</w:t>
            </w:r>
          </w:p>
        </w:tc>
        <w:tc>
          <w:tcPr>
            <w:tcW w:w="817" w:type="dxa"/>
            <w:tcBorders>
              <w:tl2br w:val="nil"/>
              <w:tr2bl w:val="nil"/>
            </w:tcBorders>
            <w:vAlign w:val="center"/>
          </w:tcPr>
          <w:p w14:paraId="176A1E37">
            <w:pPr>
              <w:pStyle w:val="34"/>
              <w:tabs>
                <w:tab w:val="left" w:pos="1389"/>
              </w:tabs>
              <w:bidi w:val="0"/>
              <w:rPr>
                <w:rFonts w:hint="default"/>
                <w:color w:val="auto"/>
                <w:lang w:val="en-US" w:eastAsia="zh-CN"/>
              </w:rPr>
            </w:pPr>
            <w:r>
              <w:rPr>
                <w:rFonts w:hint="default"/>
                <w:color w:val="auto"/>
                <w:lang w:val="en-US" w:eastAsia="zh-CN"/>
              </w:rPr>
              <w:t>旱冬瓜群落</w:t>
            </w:r>
          </w:p>
        </w:tc>
        <w:tc>
          <w:tcPr>
            <w:tcW w:w="1000" w:type="dxa"/>
            <w:tcBorders>
              <w:tl2br w:val="nil"/>
              <w:tr2bl w:val="nil"/>
            </w:tcBorders>
            <w:vAlign w:val="center"/>
          </w:tcPr>
          <w:p w14:paraId="2CE3222B">
            <w:pPr>
              <w:pStyle w:val="34"/>
              <w:tabs>
                <w:tab w:val="left" w:pos="1389"/>
              </w:tabs>
              <w:bidi w:val="0"/>
              <w:rPr>
                <w:rFonts w:hint="default"/>
                <w:color w:val="auto"/>
                <w:lang w:val="en-US"/>
              </w:rPr>
            </w:pPr>
            <w:r>
              <w:rPr>
                <w:rFonts w:hint="eastAsia"/>
                <w:color w:val="auto"/>
                <w:lang w:val="en-US" w:eastAsia="zh-CN"/>
              </w:rPr>
              <w:t>XZB01南侧</w:t>
            </w:r>
          </w:p>
        </w:tc>
        <w:tc>
          <w:tcPr>
            <w:tcW w:w="1689" w:type="dxa"/>
            <w:tcBorders>
              <w:tl2br w:val="nil"/>
              <w:tr2bl w:val="nil"/>
            </w:tcBorders>
            <w:shd w:val="clear" w:color="auto" w:fill="auto"/>
            <w:vAlign w:val="center"/>
          </w:tcPr>
          <w:p w14:paraId="4D6C9878">
            <w:pPr>
              <w:pStyle w:val="34"/>
              <w:tabs>
                <w:tab w:val="left" w:pos="1389"/>
              </w:tabs>
              <w:bidi w:val="0"/>
              <w:rPr>
                <w:rFonts w:hint="default"/>
                <w:color w:val="auto"/>
              </w:rPr>
            </w:pPr>
            <w:r>
              <w:rPr>
                <w:rFonts w:hint="default"/>
                <w:color w:val="auto"/>
              </w:rPr>
              <w:t>103°43'53.346"E</w:t>
            </w:r>
          </w:p>
          <w:p w14:paraId="059D8191">
            <w:pPr>
              <w:pStyle w:val="34"/>
              <w:tabs>
                <w:tab w:val="left" w:pos="1389"/>
              </w:tabs>
              <w:bidi w:val="0"/>
              <w:rPr>
                <w:rFonts w:hint="default"/>
                <w:color w:val="auto"/>
                <w:lang w:val="en-US" w:eastAsia="zh-CN"/>
              </w:rPr>
            </w:pPr>
            <w:r>
              <w:rPr>
                <w:rFonts w:hint="default"/>
                <w:color w:val="auto"/>
              </w:rPr>
              <w:t>25°58'10.18</w:t>
            </w:r>
            <w:r>
              <w:rPr>
                <w:rFonts w:hint="eastAsia"/>
                <w:color w:val="auto"/>
                <w:lang w:val="en-US" w:eastAsia="zh-CN"/>
              </w:rPr>
              <w:t>5</w:t>
            </w:r>
            <w:r>
              <w:rPr>
                <w:rFonts w:hint="default"/>
                <w:color w:val="auto"/>
              </w:rPr>
              <w:t>"N</w:t>
            </w:r>
          </w:p>
        </w:tc>
        <w:tc>
          <w:tcPr>
            <w:tcW w:w="853" w:type="dxa"/>
            <w:tcBorders>
              <w:tl2br w:val="nil"/>
              <w:tr2bl w:val="nil"/>
            </w:tcBorders>
            <w:shd w:val="clear" w:color="auto" w:fill="auto"/>
            <w:vAlign w:val="center"/>
          </w:tcPr>
          <w:p w14:paraId="39B106BE">
            <w:pPr>
              <w:pStyle w:val="34"/>
              <w:tabs>
                <w:tab w:val="left" w:pos="1389"/>
              </w:tabs>
              <w:bidi w:val="0"/>
              <w:rPr>
                <w:rFonts w:hint="default"/>
                <w:color w:val="auto"/>
                <w:lang w:val="en-US" w:eastAsia="zh-CN"/>
              </w:rPr>
            </w:pPr>
            <w:r>
              <w:rPr>
                <w:rFonts w:hint="eastAsia"/>
                <w:color w:val="auto"/>
                <w:lang w:val="en-US" w:eastAsia="zh-CN"/>
              </w:rPr>
              <w:t>2336</w:t>
            </w:r>
          </w:p>
        </w:tc>
        <w:tc>
          <w:tcPr>
            <w:tcW w:w="711" w:type="dxa"/>
            <w:tcBorders>
              <w:tl2br w:val="nil"/>
              <w:tr2bl w:val="nil"/>
            </w:tcBorders>
            <w:vAlign w:val="center"/>
          </w:tcPr>
          <w:p w14:paraId="3A6BF8BC">
            <w:pPr>
              <w:pStyle w:val="34"/>
              <w:tabs>
                <w:tab w:val="left" w:pos="1389"/>
              </w:tabs>
              <w:bidi w:val="0"/>
              <w:rPr>
                <w:rFonts w:hint="default"/>
                <w:color w:val="auto"/>
                <w:lang w:val="en-US" w:eastAsia="zh-CN"/>
              </w:rPr>
            </w:pPr>
            <w:r>
              <w:rPr>
                <w:rFonts w:hint="eastAsia"/>
                <w:color w:val="auto"/>
                <w:lang w:val="en-US" w:eastAsia="zh-CN"/>
              </w:rPr>
              <w:t>缓坡</w:t>
            </w:r>
          </w:p>
        </w:tc>
        <w:tc>
          <w:tcPr>
            <w:tcW w:w="776" w:type="dxa"/>
            <w:tcBorders>
              <w:tl2br w:val="nil"/>
              <w:tr2bl w:val="nil"/>
            </w:tcBorders>
            <w:vAlign w:val="center"/>
          </w:tcPr>
          <w:p w14:paraId="0866C641">
            <w:pPr>
              <w:pStyle w:val="34"/>
              <w:tabs>
                <w:tab w:val="left" w:pos="1389"/>
              </w:tabs>
              <w:bidi w:val="0"/>
              <w:rPr>
                <w:rFonts w:hint="default"/>
                <w:color w:val="auto"/>
              </w:rPr>
            </w:pPr>
            <w:r>
              <w:rPr>
                <w:rFonts w:hint="eastAsia"/>
                <w:color w:val="auto"/>
                <w:lang w:val="en-US" w:eastAsia="zh-CN"/>
              </w:rPr>
              <w:t>195°</w:t>
            </w:r>
          </w:p>
        </w:tc>
        <w:tc>
          <w:tcPr>
            <w:tcW w:w="750" w:type="dxa"/>
            <w:tcBorders>
              <w:tl2br w:val="nil"/>
              <w:tr2bl w:val="nil"/>
            </w:tcBorders>
            <w:vAlign w:val="center"/>
          </w:tcPr>
          <w:p w14:paraId="514D8D5B">
            <w:pPr>
              <w:pStyle w:val="34"/>
              <w:tabs>
                <w:tab w:val="left" w:pos="1389"/>
              </w:tabs>
              <w:bidi w:val="0"/>
              <w:rPr>
                <w:rFonts w:hint="default"/>
                <w:color w:val="auto"/>
              </w:rPr>
            </w:pPr>
            <w:r>
              <w:rPr>
                <w:rFonts w:hint="eastAsia"/>
                <w:color w:val="auto"/>
                <w:lang w:val="en-US" w:eastAsia="zh-CN"/>
              </w:rPr>
              <w:t>8°</w:t>
            </w:r>
          </w:p>
        </w:tc>
        <w:tc>
          <w:tcPr>
            <w:tcW w:w="836" w:type="dxa"/>
            <w:tcBorders>
              <w:tl2br w:val="nil"/>
              <w:tr2bl w:val="nil"/>
            </w:tcBorders>
            <w:vAlign w:val="center"/>
          </w:tcPr>
          <w:p w14:paraId="2718D6E7">
            <w:pPr>
              <w:pStyle w:val="34"/>
              <w:tabs>
                <w:tab w:val="left" w:pos="1389"/>
              </w:tabs>
              <w:bidi w:val="0"/>
              <w:rPr>
                <w:rFonts w:hint="default"/>
                <w:color w:val="auto"/>
                <w:lang w:val="en-US" w:eastAsia="zh-CN"/>
              </w:rPr>
            </w:pPr>
            <w:r>
              <w:rPr>
                <w:rFonts w:hint="eastAsia"/>
                <w:color w:val="auto"/>
                <w:lang w:val="en-US" w:eastAsia="zh-CN"/>
              </w:rPr>
              <w:t>坡下部</w:t>
            </w:r>
          </w:p>
        </w:tc>
        <w:tc>
          <w:tcPr>
            <w:tcW w:w="837" w:type="dxa"/>
            <w:tcBorders>
              <w:tl2br w:val="nil"/>
              <w:tr2bl w:val="nil"/>
            </w:tcBorders>
            <w:vAlign w:val="center"/>
          </w:tcPr>
          <w:p w14:paraId="6B2FF017">
            <w:pPr>
              <w:pStyle w:val="34"/>
              <w:tabs>
                <w:tab w:val="left" w:pos="1389"/>
              </w:tabs>
              <w:bidi w:val="0"/>
              <w:rPr>
                <w:rFonts w:hint="default"/>
                <w:color w:val="auto"/>
              </w:rPr>
            </w:pPr>
            <w:r>
              <w:rPr>
                <w:rFonts w:hint="default"/>
                <w:color w:val="auto"/>
              </w:rPr>
              <w:t>20m×20m</w:t>
            </w:r>
          </w:p>
        </w:tc>
      </w:tr>
      <w:tr w14:paraId="4F7B9EE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7D9EF015">
            <w:pPr>
              <w:pStyle w:val="34"/>
              <w:tabs>
                <w:tab w:val="left" w:pos="1389"/>
              </w:tabs>
              <w:bidi w:val="0"/>
              <w:rPr>
                <w:rFonts w:hint="default"/>
                <w:color w:val="auto"/>
                <w:lang w:val="en-US" w:eastAsia="zh-CN"/>
              </w:rPr>
            </w:pPr>
            <w:r>
              <w:rPr>
                <w:rFonts w:hint="eastAsia"/>
                <w:color w:val="auto"/>
                <w:lang w:val="en-US" w:eastAsia="zh-CN"/>
              </w:rPr>
              <w:t>11</w:t>
            </w:r>
          </w:p>
        </w:tc>
        <w:tc>
          <w:tcPr>
            <w:tcW w:w="817" w:type="dxa"/>
            <w:tcBorders>
              <w:tl2br w:val="nil"/>
              <w:tr2bl w:val="nil"/>
            </w:tcBorders>
            <w:vAlign w:val="center"/>
          </w:tcPr>
          <w:p w14:paraId="0202AA8D">
            <w:pPr>
              <w:pStyle w:val="34"/>
              <w:tabs>
                <w:tab w:val="left" w:pos="1389"/>
              </w:tabs>
              <w:bidi w:val="0"/>
              <w:rPr>
                <w:rFonts w:hint="default"/>
                <w:color w:val="auto"/>
              </w:rPr>
            </w:pPr>
            <w:r>
              <w:rPr>
                <w:rFonts w:hint="default"/>
                <w:color w:val="auto"/>
                <w:lang w:val="en-US" w:eastAsia="zh-CN"/>
              </w:rPr>
              <w:t>旱冬瓜群落</w:t>
            </w:r>
          </w:p>
        </w:tc>
        <w:tc>
          <w:tcPr>
            <w:tcW w:w="1000" w:type="dxa"/>
            <w:tcBorders>
              <w:tl2br w:val="nil"/>
              <w:tr2bl w:val="nil"/>
            </w:tcBorders>
            <w:shd w:val="clear" w:color="auto" w:fill="auto"/>
            <w:vAlign w:val="center"/>
          </w:tcPr>
          <w:p w14:paraId="5CE6E181">
            <w:pPr>
              <w:pStyle w:val="34"/>
              <w:tabs>
                <w:tab w:val="left" w:pos="1389"/>
              </w:tabs>
              <w:bidi w:val="0"/>
              <w:rPr>
                <w:rFonts w:hint="default"/>
                <w:color w:val="auto"/>
                <w:lang w:val="en-US" w:eastAsia="zh-CN"/>
              </w:rPr>
            </w:pPr>
            <w:r>
              <w:rPr>
                <w:rFonts w:hint="eastAsia"/>
                <w:color w:val="auto"/>
                <w:lang w:val="en-US" w:eastAsia="zh-CN"/>
              </w:rPr>
              <w:t>XZB01东南侧</w:t>
            </w:r>
          </w:p>
        </w:tc>
        <w:tc>
          <w:tcPr>
            <w:tcW w:w="1689" w:type="dxa"/>
            <w:tcBorders>
              <w:tl2br w:val="nil"/>
              <w:tr2bl w:val="nil"/>
            </w:tcBorders>
            <w:vAlign w:val="center"/>
          </w:tcPr>
          <w:p w14:paraId="0518447E">
            <w:pPr>
              <w:pStyle w:val="34"/>
              <w:tabs>
                <w:tab w:val="left" w:pos="1389"/>
              </w:tabs>
              <w:bidi w:val="0"/>
              <w:rPr>
                <w:rFonts w:hint="default"/>
                <w:color w:val="auto"/>
              </w:rPr>
            </w:pPr>
            <w:r>
              <w:rPr>
                <w:rFonts w:hint="default"/>
                <w:color w:val="auto"/>
              </w:rPr>
              <w:t>103°43'54.707"E</w:t>
            </w:r>
          </w:p>
          <w:p w14:paraId="5AE83050">
            <w:pPr>
              <w:pStyle w:val="34"/>
              <w:tabs>
                <w:tab w:val="left" w:pos="1389"/>
              </w:tabs>
              <w:bidi w:val="0"/>
              <w:rPr>
                <w:rFonts w:hint="default"/>
                <w:color w:val="auto"/>
              </w:rPr>
            </w:pPr>
            <w:r>
              <w:rPr>
                <w:rFonts w:hint="default"/>
                <w:color w:val="auto"/>
              </w:rPr>
              <w:t>25°58'07.310"N</w:t>
            </w:r>
          </w:p>
        </w:tc>
        <w:tc>
          <w:tcPr>
            <w:tcW w:w="853" w:type="dxa"/>
            <w:tcBorders>
              <w:tl2br w:val="nil"/>
              <w:tr2bl w:val="nil"/>
            </w:tcBorders>
            <w:vAlign w:val="center"/>
          </w:tcPr>
          <w:p w14:paraId="347F8E14">
            <w:pPr>
              <w:pStyle w:val="34"/>
              <w:tabs>
                <w:tab w:val="left" w:pos="1389"/>
              </w:tabs>
              <w:bidi w:val="0"/>
              <w:rPr>
                <w:rFonts w:hint="default"/>
                <w:color w:val="auto"/>
                <w:lang w:val="en-US" w:eastAsia="zh-CN"/>
              </w:rPr>
            </w:pPr>
            <w:r>
              <w:rPr>
                <w:rFonts w:hint="eastAsia"/>
                <w:color w:val="auto"/>
                <w:lang w:val="en-US" w:eastAsia="zh-CN"/>
              </w:rPr>
              <w:t>2329</w:t>
            </w:r>
          </w:p>
        </w:tc>
        <w:tc>
          <w:tcPr>
            <w:tcW w:w="711" w:type="dxa"/>
            <w:tcBorders>
              <w:tl2br w:val="nil"/>
              <w:tr2bl w:val="nil"/>
            </w:tcBorders>
            <w:vAlign w:val="center"/>
          </w:tcPr>
          <w:p w14:paraId="1FB7C48F">
            <w:pPr>
              <w:pStyle w:val="34"/>
              <w:tabs>
                <w:tab w:val="left" w:pos="1389"/>
              </w:tabs>
              <w:bidi w:val="0"/>
              <w:rPr>
                <w:rFonts w:hint="default"/>
                <w:color w:val="auto"/>
              </w:rPr>
            </w:pPr>
            <w:r>
              <w:rPr>
                <w:rFonts w:hint="eastAsia"/>
                <w:color w:val="auto"/>
                <w:lang w:val="en-US" w:eastAsia="zh-CN"/>
              </w:rPr>
              <w:t>缓坡</w:t>
            </w:r>
          </w:p>
        </w:tc>
        <w:tc>
          <w:tcPr>
            <w:tcW w:w="776" w:type="dxa"/>
            <w:tcBorders>
              <w:tl2br w:val="nil"/>
              <w:tr2bl w:val="nil"/>
            </w:tcBorders>
            <w:vAlign w:val="center"/>
          </w:tcPr>
          <w:p w14:paraId="0A0925F7">
            <w:pPr>
              <w:pStyle w:val="34"/>
              <w:tabs>
                <w:tab w:val="left" w:pos="1389"/>
              </w:tabs>
              <w:bidi w:val="0"/>
              <w:rPr>
                <w:rFonts w:hint="default"/>
                <w:color w:val="auto"/>
              </w:rPr>
            </w:pPr>
            <w:r>
              <w:rPr>
                <w:rFonts w:hint="eastAsia"/>
                <w:color w:val="auto"/>
                <w:lang w:val="en-US" w:eastAsia="zh-CN"/>
              </w:rPr>
              <w:t>215°</w:t>
            </w:r>
          </w:p>
        </w:tc>
        <w:tc>
          <w:tcPr>
            <w:tcW w:w="750" w:type="dxa"/>
            <w:tcBorders>
              <w:tl2br w:val="nil"/>
              <w:tr2bl w:val="nil"/>
            </w:tcBorders>
            <w:vAlign w:val="center"/>
          </w:tcPr>
          <w:p w14:paraId="0080CB73">
            <w:pPr>
              <w:pStyle w:val="34"/>
              <w:tabs>
                <w:tab w:val="left" w:pos="1389"/>
              </w:tabs>
              <w:bidi w:val="0"/>
              <w:rPr>
                <w:rFonts w:hint="default"/>
                <w:color w:val="auto"/>
              </w:rPr>
            </w:pPr>
            <w:r>
              <w:rPr>
                <w:rFonts w:hint="eastAsia"/>
                <w:color w:val="auto"/>
                <w:lang w:val="en-US" w:eastAsia="zh-CN"/>
              </w:rPr>
              <w:t>13°</w:t>
            </w:r>
          </w:p>
        </w:tc>
        <w:tc>
          <w:tcPr>
            <w:tcW w:w="836" w:type="dxa"/>
            <w:tcBorders>
              <w:tl2br w:val="nil"/>
              <w:tr2bl w:val="nil"/>
            </w:tcBorders>
            <w:vAlign w:val="center"/>
          </w:tcPr>
          <w:p w14:paraId="3606DD8B">
            <w:pPr>
              <w:pStyle w:val="34"/>
              <w:tabs>
                <w:tab w:val="left" w:pos="1389"/>
              </w:tabs>
              <w:bidi w:val="0"/>
              <w:rPr>
                <w:rFonts w:hint="default"/>
                <w:color w:val="auto"/>
              </w:rPr>
            </w:pPr>
            <w:r>
              <w:rPr>
                <w:rFonts w:hint="eastAsia"/>
                <w:color w:val="auto"/>
                <w:lang w:val="en-US" w:eastAsia="zh-CN"/>
              </w:rPr>
              <w:t>坡下部</w:t>
            </w:r>
          </w:p>
        </w:tc>
        <w:tc>
          <w:tcPr>
            <w:tcW w:w="837" w:type="dxa"/>
            <w:tcBorders>
              <w:tl2br w:val="nil"/>
              <w:tr2bl w:val="nil"/>
            </w:tcBorders>
            <w:vAlign w:val="center"/>
          </w:tcPr>
          <w:p w14:paraId="53C2A7DF">
            <w:pPr>
              <w:pStyle w:val="34"/>
              <w:tabs>
                <w:tab w:val="left" w:pos="1389"/>
              </w:tabs>
              <w:bidi w:val="0"/>
              <w:rPr>
                <w:rFonts w:hint="default"/>
                <w:color w:val="auto"/>
              </w:rPr>
            </w:pPr>
            <w:r>
              <w:rPr>
                <w:rFonts w:hint="default"/>
                <w:color w:val="auto"/>
              </w:rPr>
              <w:t>20m×20m</w:t>
            </w:r>
          </w:p>
        </w:tc>
      </w:tr>
      <w:tr w14:paraId="42CB40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521D3EB2">
            <w:pPr>
              <w:pStyle w:val="34"/>
              <w:tabs>
                <w:tab w:val="left" w:pos="1389"/>
              </w:tabs>
              <w:bidi w:val="0"/>
              <w:rPr>
                <w:rFonts w:hint="default"/>
                <w:color w:val="auto"/>
                <w:lang w:val="en-US" w:eastAsia="zh-CN"/>
              </w:rPr>
            </w:pPr>
            <w:r>
              <w:rPr>
                <w:rFonts w:hint="eastAsia"/>
                <w:color w:val="auto"/>
                <w:lang w:val="en-US" w:eastAsia="zh-CN"/>
              </w:rPr>
              <w:t>12</w:t>
            </w:r>
          </w:p>
        </w:tc>
        <w:tc>
          <w:tcPr>
            <w:tcW w:w="817" w:type="dxa"/>
            <w:tcBorders>
              <w:tl2br w:val="nil"/>
              <w:tr2bl w:val="nil"/>
            </w:tcBorders>
            <w:vAlign w:val="center"/>
          </w:tcPr>
          <w:p w14:paraId="5321226D">
            <w:pPr>
              <w:pStyle w:val="34"/>
              <w:tabs>
                <w:tab w:val="left" w:pos="1389"/>
              </w:tabs>
              <w:bidi w:val="0"/>
              <w:rPr>
                <w:rFonts w:hint="eastAsia"/>
                <w:color w:val="auto"/>
                <w:lang w:val="en-US" w:eastAsia="zh-CN"/>
              </w:rPr>
            </w:pPr>
            <w:r>
              <w:rPr>
                <w:rFonts w:hint="default"/>
                <w:color w:val="auto"/>
                <w:lang w:val="en-US" w:eastAsia="zh-CN"/>
              </w:rPr>
              <w:t>旱冬瓜群落</w:t>
            </w:r>
          </w:p>
        </w:tc>
        <w:tc>
          <w:tcPr>
            <w:tcW w:w="1000" w:type="dxa"/>
            <w:tcBorders>
              <w:tl2br w:val="nil"/>
              <w:tr2bl w:val="nil"/>
            </w:tcBorders>
            <w:shd w:val="clear" w:color="auto" w:fill="auto"/>
            <w:vAlign w:val="center"/>
          </w:tcPr>
          <w:p w14:paraId="600DE02D">
            <w:pPr>
              <w:pStyle w:val="34"/>
              <w:tabs>
                <w:tab w:val="left" w:pos="1389"/>
              </w:tabs>
              <w:bidi w:val="0"/>
              <w:rPr>
                <w:rFonts w:hint="eastAsia"/>
                <w:color w:val="auto"/>
                <w:lang w:val="en-US" w:eastAsia="zh-CN"/>
              </w:rPr>
            </w:pPr>
            <w:r>
              <w:rPr>
                <w:rFonts w:hint="eastAsia"/>
                <w:color w:val="auto"/>
                <w:lang w:val="en-US" w:eastAsia="zh-CN"/>
              </w:rPr>
              <w:t>XZB04东南侧</w:t>
            </w:r>
          </w:p>
        </w:tc>
        <w:tc>
          <w:tcPr>
            <w:tcW w:w="1689" w:type="dxa"/>
            <w:tcBorders>
              <w:tl2br w:val="nil"/>
              <w:tr2bl w:val="nil"/>
            </w:tcBorders>
            <w:vAlign w:val="center"/>
          </w:tcPr>
          <w:p w14:paraId="04C6548B">
            <w:pPr>
              <w:pStyle w:val="34"/>
              <w:tabs>
                <w:tab w:val="left" w:pos="1389"/>
              </w:tabs>
              <w:bidi w:val="0"/>
              <w:rPr>
                <w:rFonts w:hint="default"/>
                <w:color w:val="auto"/>
              </w:rPr>
            </w:pPr>
            <w:r>
              <w:rPr>
                <w:rFonts w:hint="default"/>
                <w:color w:val="auto"/>
              </w:rPr>
              <w:t>103°44'11.853"E</w:t>
            </w:r>
          </w:p>
          <w:p w14:paraId="3E37E22B">
            <w:pPr>
              <w:pStyle w:val="34"/>
              <w:tabs>
                <w:tab w:val="left" w:pos="1389"/>
              </w:tabs>
              <w:bidi w:val="0"/>
              <w:rPr>
                <w:rFonts w:hint="default"/>
                <w:color w:val="auto"/>
              </w:rPr>
            </w:pPr>
            <w:r>
              <w:rPr>
                <w:rFonts w:hint="default"/>
                <w:color w:val="auto"/>
              </w:rPr>
              <w:t>25°57'51.490"N</w:t>
            </w:r>
          </w:p>
        </w:tc>
        <w:tc>
          <w:tcPr>
            <w:tcW w:w="853" w:type="dxa"/>
            <w:tcBorders>
              <w:tl2br w:val="nil"/>
              <w:tr2bl w:val="nil"/>
            </w:tcBorders>
            <w:vAlign w:val="center"/>
          </w:tcPr>
          <w:p w14:paraId="1DCEAB6D">
            <w:pPr>
              <w:pStyle w:val="34"/>
              <w:tabs>
                <w:tab w:val="left" w:pos="1389"/>
              </w:tabs>
              <w:bidi w:val="0"/>
              <w:rPr>
                <w:rFonts w:hint="eastAsia"/>
                <w:color w:val="auto"/>
                <w:lang w:val="en-US" w:eastAsia="zh-CN"/>
              </w:rPr>
            </w:pPr>
            <w:r>
              <w:rPr>
                <w:rFonts w:hint="eastAsia"/>
                <w:color w:val="auto"/>
                <w:lang w:val="en-US" w:eastAsia="zh-CN"/>
              </w:rPr>
              <w:t>2363</w:t>
            </w:r>
          </w:p>
        </w:tc>
        <w:tc>
          <w:tcPr>
            <w:tcW w:w="711" w:type="dxa"/>
            <w:tcBorders>
              <w:tl2br w:val="nil"/>
              <w:tr2bl w:val="nil"/>
            </w:tcBorders>
            <w:vAlign w:val="center"/>
          </w:tcPr>
          <w:p w14:paraId="1E16271D">
            <w:pPr>
              <w:pStyle w:val="34"/>
              <w:tabs>
                <w:tab w:val="left" w:pos="1389"/>
              </w:tabs>
              <w:bidi w:val="0"/>
              <w:rPr>
                <w:rFonts w:hint="eastAsia"/>
                <w:color w:val="auto"/>
                <w:lang w:val="en-US" w:eastAsia="zh-CN"/>
              </w:rPr>
            </w:pPr>
            <w:r>
              <w:rPr>
                <w:rFonts w:hint="eastAsia"/>
                <w:color w:val="auto"/>
                <w:lang w:val="en-US" w:eastAsia="zh-CN"/>
              </w:rPr>
              <w:t>缓坡</w:t>
            </w:r>
          </w:p>
        </w:tc>
        <w:tc>
          <w:tcPr>
            <w:tcW w:w="776" w:type="dxa"/>
            <w:tcBorders>
              <w:tl2br w:val="nil"/>
              <w:tr2bl w:val="nil"/>
            </w:tcBorders>
            <w:vAlign w:val="center"/>
          </w:tcPr>
          <w:p w14:paraId="6009049E">
            <w:pPr>
              <w:pStyle w:val="34"/>
              <w:tabs>
                <w:tab w:val="left" w:pos="1389"/>
              </w:tabs>
              <w:bidi w:val="0"/>
              <w:rPr>
                <w:rFonts w:hint="eastAsia"/>
                <w:color w:val="auto"/>
                <w:lang w:val="en-US" w:eastAsia="zh-CN"/>
              </w:rPr>
            </w:pPr>
            <w:r>
              <w:rPr>
                <w:rFonts w:hint="eastAsia"/>
                <w:color w:val="auto"/>
                <w:lang w:val="en-US" w:eastAsia="zh-CN"/>
              </w:rPr>
              <w:t>152°</w:t>
            </w:r>
          </w:p>
        </w:tc>
        <w:tc>
          <w:tcPr>
            <w:tcW w:w="750" w:type="dxa"/>
            <w:tcBorders>
              <w:tl2br w:val="nil"/>
              <w:tr2bl w:val="nil"/>
            </w:tcBorders>
            <w:vAlign w:val="center"/>
          </w:tcPr>
          <w:p w14:paraId="590D0C6B">
            <w:pPr>
              <w:pStyle w:val="34"/>
              <w:tabs>
                <w:tab w:val="left" w:pos="1389"/>
              </w:tabs>
              <w:bidi w:val="0"/>
              <w:rPr>
                <w:rFonts w:hint="eastAsia"/>
                <w:color w:val="auto"/>
                <w:lang w:val="en-US" w:eastAsia="zh-CN"/>
              </w:rPr>
            </w:pPr>
            <w:r>
              <w:rPr>
                <w:rFonts w:hint="eastAsia"/>
                <w:color w:val="auto"/>
                <w:lang w:val="en-US" w:eastAsia="zh-CN"/>
              </w:rPr>
              <w:t>17°</w:t>
            </w:r>
          </w:p>
        </w:tc>
        <w:tc>
          <w:tcPr>
            <w:tcW w:w="836" w:type="dxa"/>
            <w:tcBorders>
              <w:tl2br w:val="nil"/>
              <w:tr2bl w:val="nil"/>
            </w:tcBorders>
            <w:vAlign w:val="center"/>
          </w:tcPr>
          <w:p w14:paraId="51E113A9">
            <w:pPr>
              <w:pStyle w:val="34"/>
              <w:tabs>
                <w:tab w:val="left" w:pos="1389"/>
              </w:tabs>
              <w:bidi w:val="0"/>
              <w:rPr>
                <w:rFonts w:hint="eastAsia"/>
                <w:color w:val="auto"/>
                <w:lang w:val="en-US" w:eastAsia="zh-CN"/>
              </w:rPr>
            </w:pPr>
            <w:r>
              <w:rPr>
                <w:rFonts w:hint="eastAsia"/>
                <w:color w:val="auto"/>
                <w:lang w:val="en-US" w:eastAsia="zh-CN"/>
              </w:rPr>
              <w:t>坡下部</w:t>
            </w:r>
          </w:p>
        </w:tc>
        <w:tc>
          <w:tcPr>
            <w:tcW w:w="837" w:type="dxa"/>
            <w:tcBorders>
              <w:tl2br w:val="nil"/>
              <w:tr2bl w:val="nil"/>
            </w:tcBorders>
            <w:vAlign w:val="center"/>
          </w:tcPr>
          <w:p w14:paraId="51F30C6F">
            <w:pPr>
              <w:pStyle w:val="34"/>
              <w:tabs>
                <w:tab w:val="left" w:pos="1389"/>
              </w:tabs>
              <w:bidi w:val="0"/>
              <w:rPr>
                <w:rFonts w:hint="default"/>
                <w:color w:val="auto"/>
              </w:rPr>
            </w:pPr>
            <w:r>
              <w:rPr>
                <w:rFonts w:hint="default"/>
                <w:color w:val="auto"/>
              </w:rPr>
              <w:t>20m×20m</w:t>
            </w:r>
          </w:p>
        </w:tc>
      </w:tr>
      <w:tr w14:paraId="7B41A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07F63C8B">
            <w:pPr>
              <w:pStyle w:val="34"/>
              <w:tabs>
                <w:tab w:val="left" w:pos="1389"/>
              </w:tabs>
              <w:bidi w:val="0"/>
              <w:rPr>
                <w:rFonts w:hint="default"/>
                <w:color w:val="auto"/>
                <w:lang w:val="en-US" w:eastAsia="zh-CN"/>
              </w:rPr>
            </w:pPr>
            <w:r>
              <w:rPr>
                <w:rFonts w:hint="eastAsia"/>
                <w:color w:val="auto"/>
                <w:lang w:val="en-US" w:eastAsia="zh-CN"/>
              </w:rPr>
              <w:t>13</w:t>
            </w:r>
          </w:p>
        </w:tc>
        <w:tc>
          <w:tcPr>
            <w:tcW w:w="817" w:type="dxa"/>
            <w:tcBorders>
              <w:tl2br w:val="nil"/>
              <w:tr2bl w:val="nil"/>
            </w:tcBorders>
            <w:vAlign w:val="center"/>
          </w:tcPr>
          <w:p w14:paraId="0E5EB3F4">
            <w:pPr>
              <w:pStyle w:val="34"/>
              <w:tabs>
                <w:tab w:val="left" w:pos="1389"/>
              </w:tabs>
              <w:bidi w:val="0"/>
              <w:rPr>
                <w:rFonts w:hint="eastAsia"/>
                <w:color w:val="auto"/>
                <w:lang w:val="en-US" w:eastAsia="zh-CN"/>
              </w:rPr>
            </w:pPr>
            <w:r>
              <w:rPr>
                <w:rFonts w:hint="default"/>
                <w:color w:val="auto"/>
                <w:lang w:val="en-US" w:eastAsia="zh-CN"/>
              </w:rPr>
              <w:t>滇青冈—滇石栎群落</w:t>
            </w:r>
          </w:p>
        </w:tc>
        <w:tc>
          <w:tcPr>
            <w:tcW w:w="1000" w:type="dxa"/>
            <w:tcBorders>
              <w:tl2br w:val="nil"/>
              <w:tr2bl w:val="nil"/>
            </w:tcBorders>
            <w:shd w:val="clear" w:color="auto" w:fill="auto"/>
            <w:vAlign w:val="center"/>
          </w:tcPr>
          <w:p w14:paraId="28035E50">
            <w:pPr>
              <w:pStyle w:val="34"/>
              <w:tabs>
                <w:tab w:val="left" w:pos="1389"/>
              </w:tabs>
              <w:bidi w:val="0"/>
              <w:rPr>
                <w:rFonts w:hint="eastAsia"/>
                <w:color w:val="auto"/>
                <w:lang w:val="en-US" w:eastAsia="zh-CN"/>
              </w:rPr>
            </w:pPr>
            <w:r>
              <w:rPr>
                <w:rFonts w:hint="eastAsia"/>
                <w:color w:val="auto"/>
                <w:lang w:val="en-US" w:eastAsia="zh-CN"/>
              </w:rPr>
              <w:t>XZB01北侧</w:t>
            </w:r>
          </w:p>
        </w:tc>
        <w:tc>
          <w:tcPr>
            <w:tcW w:w="1689" w:type="dxa"/>
            <w:tcBorders>
              <w:tl2br w:val="nil"/>
              <w:tr2bl w:val="nil"/>
            </w:tcBorders>
            <w:vAlign w:val="center"/>
          </w:tcPr>
          <w:p w14:paraId="35E39A64">
            <w:pPr>
              <w:pStyle w:val="34"/>
              <w:tabs>
                <w:tab w:val="left" w:pos="1389"/>
              </w:tabs>
              <w:bidi w:val="0"/>
              <w:rPr>
                <w:rFonts w:hint="default"/>
                <w:color w:val="auto"/>
              </w:rPr>
            </w:pPr>
            <w:r>
              <w:rPr>
                <w:rFonts w:hint="default"/>
                <w:color w:val="auto"/>
              </w:rPr>
              <w:t>103°43'54.108"E</w:t>
            </w:r>
          </w:p>
          <w:p w14:paraId="115EA506">
            <w:pPr>
              <w:pStyle w:val="34"/>
              <w:tabs>
                <w:tab w:val="left" w:pos="1389"/>
              </w:tabs>
              <w:bidi w:val="0"/>
              <w:rPr>
                <w:rFonts w:hint="default"/>
                <w:color w:val="auto"/>
              </w:rPr>
            </w:pPr>
            <w:r>
              <w:rPr>
                <w:rFonts w:hint="default"/>
                <w:color w:val="auto"/>
              </w:rPr>
              <w:t>25°58'13.98</w:t>
            </w:r>
            <w:r>
              <w:rPr>
                <w:rFonts w:hint="eastAsia"/>
                <w:color w:val="auto"/>
                <w:lang w:val="en-US" w:eastAsia="zh-CN"/>
              </w:rPr>
              <w:t>1</w:t>
            </w:r>
            <w:r>
              <w:rPr>
                <w:rFonts w:hint="default"/>
                <w:color w:val="auto"/>
              </w:rPr>
              <w:t>"N</w:t>
            </w:r>
          </w:p>
        </w:tc>
        <w:tc>
          <w:tcPr>
            <w:tcW w:w="853" w:type="dxa"/>
            <w:tcBorders>
              <w:tl2br w:val="nil"/>
              <w:tr2bl w:val="nil"/>
            </w:tcBorders>
            <w:vAlign w:val="center"/>
          </w:tcPr>
          <w:p w14:paraId="70CA0DE7">
            <w:pPr>
              <w:pStyle w:val="34"/>
              <w:tabs>
                <w:tab w:val="left" w:pos="1389"/>
              </w:tabs>
              <w:bidi w:val="0"/>
              <w:rPr>
                <w:rFonts w:hint="eastAsia"/>
                <w:color w:val="auto"/>
                <w:lang w:val="en-US" w:eastAsia="zh-CN"/>
              </w:rPr>
            </w:pPr>
            <w:r>
              <w:rPr>
                <w:rFonts w:hint="eastAsia"/>
                <w:color w:val="auto"/>
                <w:lang w:val="en-US" w:eastAsia="zh-CN"/>
              </w:rPr>
              <w:t>2303</w:t>
            </w:r>
          </w:p>
        </w:tc>
        <w:tc>
          <w:tcPr>
            <w:tcW w:w="711" w:type="dxa"/>
            <w:tcBorders>
              <w:tl2br w:val="nil"/>
              <w:tr2bl w:val="nil"/>
            </w:tcBorders>
            <w:vAlign w:val="center"/>
          </w:tcPr>
          <w:p w14:paraId="154ED543">
            <w:pPr>
              <w:pStyle w:val="34"/>
              <w:tabs>
                <w:tab w:val="left" w:pos="1389"/>
              </w:tabs>
              <w:bidi w:val="0"/>
              <w:rPr>
                <w:rFonts w:hint="eastAsia"/>
                <w:color w:val="auto"/>
                <w:lang w:val="en-US" w:eastAsia="zh-CN"/>
              </w:rPr>
            </w:pPr>
            <w:r>
              <w:rPr>
                <w:rFonts w:hint="eastAsia"/>
                <w:color w:val="auto"/>
                <w:lang w:val="en-US" w:eastAsia="zh-CN"/>
              </w:rPr>
              <w:t>缓坡</w:t>
            </w:r>
          </w:p>
        </w:tc>
        <w:tc>
          <w:tcPr>
            <w:tcW w:w="776" w:type="dxa"/>
            <w:tcBorders>
              <w:tl2br w:val="nil"/>
              <w:tr2bl w:val="nil"/>
            </w:tcBorders>
            <w:vAlign w:val="center"/>
          </w:tcPr>
          <w:p w14:paraId="6A826640">
            <w:pPr>
              <w:pStyle w:val="34"/>
              <w:tabs>
                <w:tab w:val="left" w:pos="1389"/>
              </w:tabs>
              <w:bidi w:val="0"/>
              <w:rPr>
                <w:rFonts w:hint="eastAsia"/>
                <w:color w:val="auto"/>
                <w:lang w:val="en-US" w:eastAsia="zh-CN"/>
              </w:rPr>
            </w:pPr>
            <w:r>
              <w:rPr>
                <w:rFonts w:hint="eastAsia"/>
                <w:color w:val="auto"/>
                <w:lang w:val="en-US" w:eastAsia="zh-CN"/>
              </w:rPr>
              <w:t>165°</w:t>
            </w:r>
          </w:p>
        </w:tc>
        <w:tc>
          <w:tcPr>
            <w:tcW w:w="750" w:type="dxa"/>
            <w:tcBorders>
              <w:tl2br w:val="nil"/>
              <w:tr2bl w:val="nil"/>
            </w:tcBorders>
            <w:vAlign w:val="center"/>
          </w:tcPr>
          <w:p w14:paraId="3C4FF787">
            <w:pPr>
              <w:pStyle w:val="34"/>
              <w:tabs>
                <w:tab w:val="left" w:pos="1389"/>
              </w:tabs>
              <w:bidi w:val="0"/>
              <w:rPr>
                <w:rFonts w:hint="eastAsia"/>
                <w:color w:val="auto"/>
                <w:lang w:val="en-US" w:eastAsia="zh-CN"/>
              </w:rPr>
            </w:pPr>
            <w:r>
              <w:rPr>
                <w:rFonts w:hint="eastAsia"/>
                <w:color w:val="auto"/>
                <w:lang w:val="en-US" w:eastAsia="zh-CN"/>
              </w:rPr>
              <w:t>12°</w:t>
            </w:r>
          </w:p>
        </w:tc>
        <w:tc>
          <w:tcPr>
            <w:tcW w:w="836" w:type="dxa"/>
            <w:tcBorders>
              <w:tl2br w:val="nil"/>
              <w:tr2bl w:val="nil"/>
            </w:tcBorders>
            <w:vAlign w:val="center"/>
          </w:tcPr>
          <w:p w14:paraId="37030FCC">
            <w:pPr>
              <w:pStyle w:val="34"/>
              <w:tabs>
                <w:tab w:val="left" w:pos="1389"/>
              </w:tabs>
              <w:bidi w:val="0"/>
              <w:rPr>
                <w:rFonts w:hint="eastAsia"/>
                <w:color w:val="auto"/>
                <w:lang w:val="en-US" w:eastAsia="zh-CN"/>
              </w:rPr>
            </w:pPr>
            <w:r>
              <w:rPr>
                <w:rFonts w:hint="eastAsia"/>
                <w:color w:val="auto"/>
                <w:lang w:val="en-US" w:eastAsia="zh-CN"/>
              </w:rPr>
              <w:t>坡下部</w:t>
            </w:r>
          </w:p>
        </w:tc>
        <w:tc>
          <w:tcPr>
            <w:tcW w:w="837" w:type="dxa"/>
            <w:tcBorders>
              <w:tl2br w:val="nil"/>
              <w:tr2bl w:val="nil"/>
            </w:tcBorders>
            <w:vAlign w:val="center"/>
          </w:tcPr>
          <w:p w14:paraId="58DEFACF">
            <w:pPr>
              <w:pStyle w:val="34"/>
              <w:tabs>
                <w:tab w:val="left" w:pos="1389"/>
              </w:tabs>
              <w:bidi w:val="0"/>
              <w:rPr>
                <w:rFonts w:hint="default"/>
                <w:color w:val="auto"/>
              </w:rPr>
            </w:pPr>
            <w:r>
              <w:rPr>
                <w:rFonts w:hint="default"/>
                <w:color w:val="auto"/>
              </w:rPr>
              <w:t>20m×20m</w:t>
            </w:r>
          </w:p>
        </w:tc>
      </w:tr>
      <w:tr w14:paraId="5F22F7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1D704BAC">
            <w:pPr>
              <w:pStyle w:val="34"/>
              <w:tabs>
                <w:tab w:val="left" w:pos="1389"/>
              </w:tabs>
              <w:bidi w:val="0"/>
              <w:rPr>
                <w:rFonts w:hint="default"/>
                <w:color w:val="auto"/>
                <w:lang w:val="en-US" w:eastAsia="zh-CN"/>
              </w:rPr>
            </w:pPr>
            <w:r>
              <w:rPr>
                <w:rFonts w:hint="eastAsia"/>
                <w:color w:val="auto"/>
                <w:lang w:val="en-US" w:eastAsia="zh-CN"/>
              </w:rPr>
              <w:t>14</w:t>
            </w:r>
          </w:p>
        </w:tc>
        <w:tc>
          <w:tcPr>
            <w:tcW w:w="817" w:type="dxa"/>
            <w:tcBorders>
              <w:tl2br w:val="nil"/>
              <w:tr2bl w:val="nil"/>
            </w:tcBorders>
            <w:vAlign w:val="center"/>
          </w:tcPr>
          <w:p w14:paraId="1507F048">
            <w:pPr>
              <w:pStyle w:val="34"/>
              <w:tabs>
                <w:tab w:val="left" w:pos="1389"/>
              </w:tabs>
              <w:bidi w:val="0"/>
              <w:rPr>
                <w:rFonts w:hint="eastAsia"/>
                <w:color w:val="auto"/>
                <w:lang w:val="en-US" w:eastAsia="zh-CN"/>
              </w:rPr>
            </w:pPr>
            <w:r>
              <w:rPr>
                <w:rFonts w:hint="default"/>
                <w:color w:val="auto"/>
                <w:lang w:val="en-US" w:eastAsia="zh-CN"/>
              </w:rPr>
              <w:t>滇青冈—滇石栎群落</w:t>
            </w:r>
          </w:p>
        </w:tc>
        <w:tc>
          <w:tcPr>
            <w:tcW w:w="1000" w:type="dxa"/>
            <w:tcBorders>
              <w:tl2br w:val="nil"/>
              <w:tr2bl w:val="nil"/>
            </w:tcBorders>
            <w:shd w:val="clear" w:color="auto" w:fill="auto"/>
            <w:vAlign w:val="center"/>
          </w:tcPr>
          <w:p w14:paraId="4D2CE355">
            <w:pPr>
              <w:pStyle w:val="34"/>
              <w:tabs>
                <w:tab w:val="left" w:pos="1389"/>
              </w:tabs>
              <w:bidi w:val="0"/>
              <w:rPr>
                <w:rFonts w:hint="eastAsia"/>
                <w:color w:val="auto"/>
                <w:lang w:val="en-US" w:eastAsia="zh-CN"/>
              </w:rPr>
            </w:pPr>
            <w:r>
              <w:rPr>
                <w:rFonts w:hint="eastAsia"/>
                <w:color w:val="auto"/>
                <w:lang w:val="en-US" w:eastAsia="zh-CN"/>
              </w:rPr>
              <w:t>地埋电缆北侧</w:t>
            </w:r>
          </w:p>
        </w:tc>
        <w:tc>
          <w:tcPr>
            <w:tcW w:w="1689" w:type="dxa"/>
            <w:tcBorders>
              <w:tl2br w:val="nil"/>
              <w:tr2bl w:val="nil"/>
            </w:tcBorders>
            <w:vAlign w:val="center"/>
          </w:tcPr>
          <w:p w14:paraId="084911F4">
            <w:pPr>
              <w:pStyle w:val="34"/>
              <w:tabs>
                <w:tab w:val="left" w:pos="1389"/>
              </w:tabs>
              <w:bidi w:val="0"/>
              <w:rPr>
                <w:rFonts w:hint="default"/>
                <w:color w:val="auto"/>
              </w:rPr>
            </w:pPr>
            <w:r>
              <w:rPr>
                <w:rFonts w:hint="default"/>
                <w:color w:val="auto"/>
              </w:rPr>
              <w:t>103°45'27.761"E</w:t>
            </w:r>
          </w:p>
          <w:p w14:paraId="32FCCC44">
            <w:pPr>
              <w:pStyle w:val="34"/>
              <w:tabs>
                <w:tab w:val="left" w:pos="1389"/>
              </w:tabs>
              <w:bidi w:val="0"/>
              <w:rPr>
                <w:rFonts w:hint="default"/>
                <w:color w:val="auto"/>
              </w:rPr>
            </w:pPr>
            <w:r>
              <w:rPr>
                <w:rFonts w:hint="default"/>
                <w:color w:val="auto"/>
              </w:rPr>
              <w:t>25°57'13.84</w:t>
            </w:r>
            <w:r>
              <w:rPr>
                <w:rFonts w:hint="eastAsia"/>
                <w:color w:val="auto"/>
                <w:lang w:val="en-US" w:eastAsia="zh-CN"/>
              </w:rPr>
              <w:t>5</w:t>
            </w:r>
            <w:r>
              <w:rPr>
                <w:rFonts w:hint="default"/>
                <w:color w:val="auto"/>
              </w:rPr>
              <w:t>"N</w:t>
            </w:r>
          </w:p>
        </w:tc>
        <w:tc>
          <w:tcPr>
            <w:tcW w:w="853" w:type="dxa"/>
            <w:tcBorders>
              <w:tl2br w:val="nil"/>
              <w:tr2bl w:val="nil"/>
            </w:tcBorders>
            <w:vAlign w:val="center"/>
          </w:tcPr>
          <w:p w14:paraId="1B598F56">
            <w:pPr>
              <w:pStyle w:val="34"/>
              <w:tabs>
                <w:tab w:val="left" w:pos="1389"/>
              </w:tabs>
              <w:bidi w:val="0"/>
              <w:rPr>
                <w:rFonts w:hint="eastAsia"/>
                <w:color w:val="auto"/>
                <w:lang w:val="en-US" w:eastAsia="zh-CN"/>
              </w:rPr>
            </w:pPr>
            <w:r>
              <w:rPr>
                <w:rFonts w:hint="eastAsia"/>
                <w:color w:val="auto"/>
                <w:lang w:val="en-US" w:eastAsia="zh-CN"/>
              </w:rPr>
              <w:t>2359</w:t>
            </w:r>
          </w:p>
        </w:tc>
        <w:tc>
          <w:tcPr>
            <w:tcW w:w="711" w:type="dxa"/>
            <w:tcBorders>
              <w:tl2br w:val="nil"/>
              <w:tr2bl w:val="nil"/>
            </w:tcBorders>
            <w:vAlign w:val="center"/>
          </w:tcPr>
          <w:p w14:paraId="6AAC7A2C">
            <w:pPr>
              <w:pStyle w:val="34"/>
              <w:tabs>
                <w:tab w:val="left" w:pos="1389"/>
              </w:tabs>
              <w:bidi w:val="0"/>
              <w:rPr>
                <w:rFonts w:hint="eastAsia"/>
                <w:color w:val="auto"/>
                <w:lang w:val="en-US" w:eastAsia="zh-CN"/>
              </w:rPr>
            </w:pPr>
            <w:r>
              <w:rPr>
                <w:rFonts w:hint="eastAsia"/>
                <w:color w:val="auto"/>
                <w:lang w:val="en-US" w:eastAsia="zh-CN"/>
              </w:rPr>
              <w:t>缓坡</w:t>
            </w:r>
          </w:p>
        </w:tc>
        <w:tc>
          <w:tcPr>
            <w:tcW w:w="776" w:type="dxa"/>
            <w:tcBorders>
              <w:tl2br w:val="nil"/>
              <w:tr2bl w:val="nil"/>
            </w:tcBorders>
            <w:vAlign w:val="center"/>
          </w:tcPr>
          <w:p w14:paraId="34E7C1E5">
            <w:pPr>
              <w:pStyle w:val="34"/>
              <w:tabs>
                <w:tab w:val="left" w:pos="1389"/>
              </w:tabs>
              <w:bidi w:val="0"/>
              <w:rPr>
                <w:rFonts w:hint="eastAsia"/>
                <w:color w:val="auto"/>
                <w:lang w:val="en-US" w:eastAsia="zh-CN"/>
              </w:rPr>
            </w:pPr>
            <w:r>
              <w:rPr>
                <w:rFonts w:hint="eastAsia"/>
                <w:color w:val="auto"/>
                <w:lang w:val="en-US" w:eastAsia="zh-CN"/>
              </w:rPr>
              <w:t>225°</w:t>
            </w:r>
          </w:p>
        </w:tc>
        <w:tc>
          <w:tcPr>
            <w:tcW w:w="750" w:type="dxa"/>
            <w:tcBorders>
              <w:tl2br w:val="nil"/>
              <w:tr2bl w:val="nil"/>
            </w:tcBorders>
            <w:vAlign w:val="center"/>
          </w:tcPr>
          <w:p w14:paraId="422C297B">
            <w:pPr>
              <w:pStyle w:val="34"/>
              <w:tabs>
                <w:tab w:val="left" w:pos="1389"/>
              </w:tabs>
              <w:bidi w:val="0"/>
              <w:rPr>
                <w:rFonts w:hint="eastAsia"/>
                <w:color w:val="auto"/>
                <w:lang w:val="en-US" w:eastAsia="zh-CN"/>
              </w:rPr>
            </w:pPr>
            <w:r>
              <w:rPr>
                <w:rFonts w:hint="eastAsia"/>
                <w:color w:val="auto"/>
                <w:lang w:val="en-US" w:eastAsia="zh-CN"/>
              </w:rPr>
              <w:t>10°</w:t>
            </w:r>
          </w:p>
        </w:tc>
        <w:tc>
          <w:tcPr>
            <w:tcW w:w="836" w:type="dxa"/>
            <w:tcBorders>
              <w:tl2br w:val="nil"/>
              <w:tr2bl w:val="nil"/>
            </w:tcBorders>
            <w:vAlign w:val="center"/>
          </w:tcPr>
          <w:p w14:paraId="20D5E65F">
            <w:pPr>
              <w:pStyle w:val="34"/>
              <w:tabs>
                <w:tab w:val="left" w:pos="1389"/>
              </w:tabs>
              <w:bidi w:val="0"/>
              <w:rPr>
                <w:rFonts w:hint="eastAsia"/>
                <w:color w:val="auto"/>
                <w:lang w:val="en-US" w:eastAsia="zh-CN"/>
              </w:rPr>
            </w:pPr>
            <w:r>
              <w:rPr>
                <w:rFonts w:hint="eastAsia"/>
                <w:color w:val="auto"/>
                <w:lang w:val="en-US" w:eastAsia="zh-CN"/>
              </w:rPr>
              <w:t>坡下部</w:t>
            </w:r>
          </w:p>
        </w:tc>
        <w:tc>
          <w:tcPr>
            <w:tcW w:w="837" w:type="dxa"/>
            <w:tcBorders>
              <w:tl2br w:val="nil"/>
              <w:tr2bl w:val="nil"/>
            </w:tcBorders>
            <w:vAlign w:val="center"/>
          </w:tcPr>
          <w:p w14:paraId="0FCD7FA0">
            <w:pPr>
              <w:pStyle w:val="34"/>
              <w:tabs>
                <w:tab w:val="left" w:pos="1389"/>
              </w:tabs>
              <w:bidi w:val="0"/>
              <w:rPr>
                <w:rFonts w:hint="default"/>
                <w:color w:val="auto"/>
              </w:rPr>
            </w:pPr>
            <w:r>
              <w:rPr>
                <w:rFonts w:hint="default"/>
                <w:color w:val="auto"/>
              </w:rPr>
              <w:t>20m×20m</w:t>
            </w:r>
          </w:p>
        </w:tc>
      </w:tr>
      <w:tr w14:paraId="7E2FAE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03639A46">
            <w:pPr>
              <w:pStyle w:val="34"/>
              <w:tabs>
                <w:tab w:val="left" w:pos="1389"/>
              </w:tabs>
              <w:bidi w:val="0"/>
              <w:rPr>
                <w:rFonts w:hint="default"/>
                <w:color w:val="auto"/>
                <w:lang w:val="en-US" w:eastAsia="zh-CN"/>
              </w:rPr>
            </w:pPr>
            <w:r>
              <w:rPr>
                <w:rFonts w:hint="eastAsia"/>
                <w:color w:val="auto"/>
                <w:lang w:val="en-US" w:eastAsia="zh-CN"/>
              </w:rPr>
              <w:t>15</w:t>
            </w:r>
          </w:p>
        </w:tc>
        <w:tc>
          <w:tcPr>
            <w:tcW w:w="817" w:type="dxa"/>
            <w:tcBorders>
              <w:tl2br w:val="nil"/>
              <w:tr2bl w:val="nil"/>
            </w:tcBorders>
            <w:vAlign w:val="center"/>
          </w:tcPr>
          <w:p w14:paraId="3117B925">
            <w:pPr>
              <w:pStyle w:val="34"/>
              <w:tabs>
                <w:tab w:val="left" w:pos="1389"/>
              </w:tabs>
              <w:bidi w:val="0"/>
              <w:rPr>
                <w:rFonts w:hint="eastAsia"/>
                <w:color w:val="auto"/>
                <w:lang w:val="en-US" w:eastAsia="zh-CN"/>
              </w:rPr>
            </w:pPr>
            <w:r>
              <w:rPr>
                <w:rFonts w:hint="default"/>
                <w:color w:val="auto"/>
                <w:lang w:val="en-US" w:eastAsia="zh-CN"/>
              </w:rPr>
              <w:t>滇青冈—滇石栎群落</w:t>
            </w:r>
          </w:p>
        </w:tc>
        <w:tc>
          <w:tcPr>
            <w:tcW w:w="1000" w:type="dxa"/>
            <w:tcBorders>
              <w:tl2br w:val="nil"/>
              <w:tr2bl w:val="nil"/>
            </w:tcBorders>
            <w:shd w:val="clear" w:color="auto" w:fill="auto"/>
            <w:vAlign w:val="center"/>
          </w:tcPr>
          <w:p w14:paraId="7B54C690">
            <w:pPr>
              <w:pStyle w:val="34"/>
              <w:tabs>
                <w:tab w:val="left" w:pos="1389"/>
              </w:tabs>
              <w:bidi w:val="0"/>
              <w:rPr>
                <w:rFonts w:hint="eastAsia"/>
                <w:color w:val="auto"/>
                <w:lang w:val="en-US" w:eastAsia="zh-CN"/>
              </w:rPr>
            </w:pPr>
            <w:r>
              <w:rPr>
                <w:rFonts w:hint="eastAsia"/>
                <w:color w:val="auto"/>
                <w:lang w:val="en-US" w:eastAsia="zh-CN"/>
              </w:rPr>
              <w:t>XZB16东南侧</w:t>
            </w:r>
          </w:p>
        </w:tc>
        <w:tc>
          <w:tcPr>
            <w:tcW w:w="1689" w:type="dxa"/>
            <w:tcBorders>
              <w:tl2br w:val="nil"/>
              <w:tr2bl w:val="nil"/>
            </w:tcBorders>
            <w:vAlign w:val="center"/>
          </w:tcPr>
          <w:p w14:paraId="0972922A">
            <w:pPr>
              <w:pStyle w:val="34"/>
              <w:tabs>
                <w:tab w:val="left" w:pos="1389"/>
              </w:tabs>
              <w:bidi w:val="0"/>
              <w:rPr>
                <w:rFonts w:hint="default"/>
                <w:color w:val="auto"/>
              </w:rPr>
            </w:pPr>
            <w:r>
              <w:rPr>
                <w:rFonts w:hint="default"/>
                <w:color w:val="auto"/>
              </w:rPr>
              <w:t>103°46'05.1</w:t>
            </w:r>
            <w:r>
              <w:rPr>
                <w:rFonts w:hint="eastAsia"/>
                <w:color w:val="auto"/>
                <w:lang w:val="en-US" w:eastAsia="zh-CN"/>
              </w:rPr>
              <w:t>40</w:t>
            </w:r>
            <w:r>
              <w:rPr>
                <w:rFonts w:hint="default"/>
                <w:color w:val="auto"/>
              </w:rPr>
              <w:t>"E</w:t>
            </w:r>
          </w:p>
          <w:p w14:paraId="71554B46">
            <w:pPr>
              <w:pStyle w:val="34"/>
              <w:tabs>
                <w:tab w:val="left" w:pos="1389"/>
              </w:tabs>
              <w:bidi w:val="0"/>
              <w:rPr>
                <w:rFonts w:hint="default"/>
                <w:color w:val="auto"/>
              </w:rPr>
            </w:pPr>
            <w:r>
              <w:rPr>
                <w:rFonts w:hint="default"/>
                <w:color w:val="auto"/>
              </w:rPr>
              <w:t>25°56'51.411"N</w:t>
            </w:r>
          </w:p>
        </w:tc>
        <w:tc>
          <w:tcPr>
            <w:tcW w:w="853" w:type="dxa"/>
            <w:tcBorders>
              <w:tl2br w:val="nil"/>
              <w:tr2bl w:val="nil"/>
            </w:tcBorders>
            <w:vAlign w:val="center"/>
          </w:tcPr>
          <w:p w14:paraId="6E859130">
            <w:pPr>
              <w:pStyle w:val="34"/>
              <w:tabs>
                <w:tab w:val="left" w:pos="1389"/>
              </w:tabs>
              <w:bidi w:val="0"/>
              <w:rPr>
                <w:rFonts w:hint="eastAsia"/>
                <w:color w:val="auto"/>
                <w:lang w:val="en-US" w:eastAsia="zh-CN"/>
              </w:rPr>
            </w:pPr>
            <w:r>
              <w:rPr>
                <w:rFonts w:hint="eastAsia"/>
                <w:color w:val="auto"/>
                <w:lang w:val="en-US" w:eastAsia="zh-CN"/>
              </w:rPr>
              <w:t>2265</w:t>
            </w:r>
          </w:p>
        </w:tc>
        <w:tc>
          <w:tcPr>
            <w:tcW w:w="711" w:type="dxa"/>
            <w:tcBorders>
              <w:tl2br w:val="nil"/>
              <w:tr2bl w:val="nil"/>
            </w:tcBorders>
            <w:vAlign w:val="center"/>
          </w:tcPr>
          <w:p w14:paraId="3B05480D">
            <w:pPr>
              <w:pStyle w:val="34"/>
              <w:tabs>
                <w:tab w:val="left" w:pos="1389"/>
              </w:tabs>
              <w:bidi w:val="0"/>
              <w:rPr>
                <w:rFonts w:hint="eastAsia"/>
                <w:color w:val="auto"/>
                <w:lang w:val="en-US" w:eastAsia="zh-CN"/>
              </w:rPr>
            </w:pPr>
            <w:r>
              <w:rPr>
                <w:rFonts w:hint="eastAsia"/>
                <w:color w:val="auto"/>
                <w:lang w:val="en-US" w:eastAsia="zh-CN"/>
              </w:rPr>
              <w:t>缓坡</w:t>
            </w:r>
          </w:p>
        </w:tc>
        <w:tc>
          <w:tcPr>
            <w:tcW w:w="776" w:type="dxa"/>
            <w:tcBorders>
              <w:tl2br w:val="nil"/>
              <w:tr2bl w:val="nil"/>
            </w:tcBorders>
            <w:vAlign w:val="center"/>
          </w:tcPr>
          <w:p w14:paraId="738FF923">
            <w:pPr>
              <w:pStyle w:val="34"/>
              <w:tabs>
                <w:tab w:val="left" w:pos="1389"/>
              </w:tabs>
              <w:bidi w:val="0"/>
              <w:rPr>
                <w:rFonts w:hint="eastAsia"/>
                <w:color w:val="auto"/>
                <w:lang w:val="en-US" w:eastAsia="zh-CN"/>
              </w:rPr>
            </w:pPr>
            <w:r>
              <w:rPr>
                <w:rFonts w:hint="eastAsia"/>
                <w:color w:val="auto"/>
                <w:lang w:val="en-US" w:eastAsia="zh-CN"/>
              </w:rPr>
              <w:t>145°</w:t>
            </w:r>
          </w:p>
        </w:tc>
        <w:tc>
          <w:tcPr>
            <w:tcW w:w="750" w:type="dxa"/>
            <w:tcBorders>
              <w:tl2br w:val="nil"/>
              <w:tr2bl w:val="nil"/>
            </w:tcBorders>
            <w:vAlign w:val="center"/>
          </w:tcPr>
          <w:p w14:paraId="7159A64F">
            <w:pPr>
              <w:pStyle w:val="34"/>
              <w:tabs>
                <w:tab w:val="left" w:pos="1389"/>
              </w:tabs>
              <w:bidi w:val="0"/>
              <w:rPr>
                <w:rFonts w:hint="eastAsia"/>
                <w:color w:val="auto"/>
                <w:lang w:val="en-US" w:eastAsia="zh-CN"/>
              </w:rPr>
            </w:pPr>
            <w:r>
              <w:rPr>
                <w:rFonts w:hint="eastAsia"/>
                <w:color w:val="auto"/>
                <w:lang w:val="en-US" w:eastAsia="zh-CN"/>
              </w:rPr>
              <w:t>18°</w:t>
            </w:r>
          </w:p>
        </w:tc>
        <w:tc>
          <w:tcPr>
            <w:tcW w:w="836" w:type="dxa"/>
            <w:tcBorders>
              <w:tl2br w:val="nil"/>
              <w:tr2bl w:val="nil"/>
            </w:tcBorders>
            <w:vAlign w:val="center"/>
          </w:tcPr>
          <w:p w14:paraId="13263D8B">
            <w:pPr>
              <w:pStyle w:val="34"/>
              <w:tabs>
                <w:tab w:val="left" w:pos="1389"/>
              </w:tabs>
              <w:bidi w:val="0"/>
              <w:rPr>
                <w:rFonts w:hint="eastAsia"/>
                <w:color w:val="auto"/>
                <w:lang w:val="en-US" w:eastAsia="zh-CN"/>
              </w:rPr>
            </w:pPr>
            <w:r>
              <w:rPr>
                <w:rFonts w:hint="eastAsia"/>
                <w:color w:val="auto"/>
                <w:lang w:val="en-US" w:eastAsia="zh-CN"/>
              </w:rPr>
              <w:t>坡下部</w:t>
            </w:r>
          </w:p>
        </w:tc>
        <w:tc>
          <w:tcPr>
            <w:tcW w:w="837" w:type="dxa"/>
            <w:tcBorders>
              <w:tl2br w:val="nil"/>
              <w:tr2bl w:val="nil"/>
            </w:tcBorders>
            <w:vAlign w:val="center"/>
          </w:tcPr>
          <w:p w14:paraId="2BD045B2">
            <w:pPr>
              <w:pStyle w:val="34"/>
              <w:tabs>
                <w:tab w:val="left" w:pos="1389"/>
              </w:tabs>
              <w:bidi w:val="0"/>
              <w:rPr>
                <w:rFonts w:hint="default"/>
                <w:color w:val="auto"/>
              </w:rPr>
            </w:pPr>
            <w:r>
              <w:rPr>
                <w:rFonts w:hint="default"/>
                <w:color w:val="auto"/>
              </w:rPr>
              <w:t>20m×20m</w:t>
            </w:r>
          </w:p>
        </w:tc>
      </w:tr>
      <w:tr w14:paraId="7B34177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47A9B4B5">
            <w:pPr>
              <w:pStyle w:val="34"/>
              <w:tabs>
                <w:tab w:val="left" w:pos="1389"/>
              </w:tabs>
              <w:bidi w:val="0"/>
              <w:rPr>
                <w:rFonts w:hint="default"/>
                <w:color w:val="auto"/>
                <w:lang w:val="en-US" w:eastAsia="zh-CN"/>
              </w:rPr>
            </w:pPr>
            <w:r>
              <w:rPr>
                <w:rFonts w:hint="eastAsia"/>
                <w:color w:val="auto"/>
                <w:lang w:val="en-US" w:eastAsia="zh-CN"/>
              </w:rPr>
              <w:t>16</w:t>
            </w:r>
          </w:p>
        </w:tc>
        <w:tc>
          <w:tcPr>
            <w:tcW w:w="817" w:type="dxa"/>
            <w:tcBorders>
              <w:tl2br w:val="nil"/>
              <w:tr2bl w:val="nil"/>
            </w:tcBorders>
            <w:vAlign w:val="center"/>
          </w:tcPr>
          <w:p w14:paraId="55174754">
            <w:pPr>
              <w:pStyle w:val="34"/>
              <w:tabs>
                <w:tab w:val="left" w:pos="1389"/>
              </w:tabs>
              <w:bidi w:val="0"/>
              <w:rPr>
                <w:rFonts w:hint="eastAsia"/>
                <w:color w:val="auto"/>
                <w:lang w:val="en-US" w:eastAsia="zh-CN"/>
              </w:rPr>
            </w:pPr>
            <w:r>
              <w:rPr>
                <w:rFonts w:hint="eastAsia"/>
                <w:color w:val="auto"/>
                <w:lang w:val="en-US" w:eastAsia="zh-CN"/>
              </w:rPr>
              <w:t>禾草草丛</w:t>
            </w:r>
          </w:p>
        </w:tc>
        <w:tc>
          <w:tcPr>
            <w:tcW w:w="1000" w:type="dxa"/>
            <w:tcBorders>
              <w:tl2br w:val="nil"/>
              <w:tr2bl w:val="nil"/>
            </w:tcBorders>
            <w:shd w:val="clear" w:color="auto" w:fill="auto"/>
            <w:vAlign w:val="center"/>
          </w:tcPr>
          <w:p w14:paraId="6AABD058">
            <w:pPr>
              <w:pStyle w:val="34"/>
              <w:tabs>
                <w:tab w:val="left" w:pos="1389"/>
              </w:tabs>
              <w:bidi w:val="0"/>
              <w:rPr>
                <w:rFonts w:hint="eastAsia"/>
                <w:color w:val="auto"/>
                <w:lang w:val="en-US" w:eastAsia="zh-CN"/>
              </w:rPr>
            </w:pPr>
            <w:r>
              <w:rPr>
                <w:rFonts w:hint="eastAsia"/>
                <w:color w:val="auto"/>
                <w:lang w:val="en-US" w:eastAsia="zh-CN"/>
              </w:rPr>
              <w:t>ZB02地界内</w:t>
            </w:r>
          </w:p>
        </w:tc>
        <w:tc>
          <w:tcPr>
            <w:tcW w:w="1689" w:type="dxa"/>
            <w:tcBorders>
              <w:tl2br w:val="nil"/>
              <w:tr2bl w:val="nil"/>
            </w:tcBorders>
            <w:vAlign w:val="center"/>
          </w:tcPr>
          <w:p w14:paraId="77EC2EF2">
            <w:pPr>
              <w:pStyle w:val="34"/>
              <w:tabs>
                <w:tab w:val="left" w:pos="1389"/>
              </w:tabs>
              <w:bidi w:val="0"/>
              <w:rPr>
                <w:rFonts w:hint="default"/>
                <w:color w:val="auto"/>
              </w:rPr>
            </w:pPr>
            <w:r>
              <w:rPr>
                <w:rFonts w:hint="default"/>
                <w:color w:val="auto"/>
              </w:rPr>
              <w:t>103°43'53.538"E</w:t>
            </w:r>
          </w:p>
          <w:p w14:paraId="3DB04CD4">
            <w:pPr>
              <w:pStyle w:val="34"/>
              <w:tabs>
                <w:tab w:val="left" w:pos="1389"/>
              </w:tabs>
              <w:bidi w:val="0"/>
              <w:rPr>
                <w:rFonts w:hint="default"/>
                <w:color w:val="auto"/>
              </w:rPr>
            </w:pPr>
            <w:r>
              <w:rPr>
                <w:rFonts w:hint="default"/>
                <w:color w:val="auto"/>
              </w:rPr>
              <w:t>25°58'14.562"N</w:t>
            </w:r>
          </w:p>
        </w:tc>
        <w:tc>
          <w:tcPr>
            <w:tcW w:w="853" w:type="dxa"/>
            <w:tcBorders>
              <w:tl2br w:val="nil"/>
              <w:tr2bl w:val="nil"/>
            </w:tcBorders>
            <w:vAlign w:val="center"/>
          </w:tcPr>
          <w:p w14:paraId="3551D553">
            <w:pPr>
              <w:pStyle w:val="34"/>
              <w:tabs>
                <w:tab w:val="left" w:pos="1389"/>
              </w:tabs>
              <w:bidi w:val="0"/>
              <w:rPr>
                <w:rFonts w:hint="eastAsia"/>
                <w:color w:val="auto"/>
                <w:lang w:val="en-US" w:eastAsia="zh-CN"/>
              </w:rPr>
            </w:pPr>
            <w:r>
              <w:rPr>
                <w:rFonts w:hint="eastAsia"/>
                <w:color w:val="auto"/>
                <w:lang w:val="en-US" w:eastAsia="zh-CN"/>
              </w:rPr>
              <w:t>2336</w:t>
            </w:r>
          </w:p>
        </w:tc>
        <w:tc>
          <w:tcPr>
            <w:tcW w:w="711" w:type="dxa"/>
            <w:tcBorders>
              <w:tl2br w:val="nil"/>
              <w:tr2bl w:val="nil"/>
            </w:tcBorders>
            <w:vAlign w:val="center"/>
          </w:tcPr>
          <w:p w14:paraId="0449D45F">
            <w:pPr>
              <w:pStyle w:val="34"/>
              <w:tabs>
                <w:tab w:val="left" w:pos="1389"/>
              </w:tabs>
              <w:bidi w:val="0"/>
              <w:rPr>
                <w:rFonts w:hint="eastAsia"/>
                <w:color w:val="auto"/>
                <w:lang w:val="en-US" w:eastAsia="zh-CN"/>
              </w:rPr>
            </w:pPr>
            <w:r>
              <w:rPr>
                <w:rFonts w:hint="eastAsia"/>
                <w:color w:val="auto"/>
                <w:lang w:val="en-US" w:eastAsia="zh-CN"/>
              </w:rPr>
              <w:t>缓坡</w:t>
            </w:r>
          </w:p>
        </w:tc>
        <w:tc>
          <w:tcPr>
            <w:tcW w:w="776" w:type="dxa"/>
            <w:tcBorders>
              <w:tl2br w:val="nil"/>
              <w:tr2bl w:val="nil"/>
            </w:tcBorders>
            <w:vAlign w:val="center"/>
          </w:tcPr>
          <w:p w14:paraId="3578A2FE">
            <w:pPr>
              <w:pStyle w:val="34"/>
              <w:tabs>
                <w:tab w:val="left" w:pos="1389"/>
              </w:tabs>
              <w:bidi w:val="0"/>
              <w:rPr>
                <w:rFonts w:hint="eastAsia"/>
                <w:color w:val="auto"/>
                <w:lang w:val="en-US" w:eastAsia="zh-CN"/>
              </w:rPr>
            </w:pPr>
            <w:r>
              <w:rPr>
                <w:rFonts w:hint="eastAsia"/>
                <w:color w:val="auto"/>
                <w:lang w:val="en-US" w:eastAsia="zh-CN"/>
              </w:rPr>
              <w:t>328°</w:t>
            </w:r>
          </w:p>
        </w:tc>
        <w:tc>
          <w:tcPr>
            <w:tcW w:w="750" w:type="dxa"/>
            <w:tcBorders>
              <w:tl2br w:val="nil"/>
              <w:tr2bl w:val="nil"/>
            </w:tcBorders>
            <w:vAlign w:val="center"/>
          </w:tcPr>
          <w:p w14:paraId="5CEC2B08">
            <w:pPr>
              <w:pStyle w:val="34"/>
              <w:tabs>
                <w:tab w:val="left" w:pos="1389"/>
              </w:tabs>
              <w:bidi w:val="0"/>
              <w:rPr>
                <w:rFonts w:hint="eastAsia"/>
                <w:color w:val="auto"/>
                <w:lang w:val="en-US" w:eastAsia="zh-CN"/>
              </w:rPr>
            </w:pPr>
            <w:r>
              <w:rPr>
                <w:rFonts w:hint="eastAsia"/>
                <w:color w:val="auto"/>
                <w:lang w:val="en-US" w:eastAsia="zh-CN"/>
              </w:rPr>
              <w:t>3°</w:t>
            </w:r>
          </w:p>
        </w:tc>
        <w:tc>
          <w:tcPr>
            <w:tcW w:w="836" w:type="dxa"/>
            <w:tcBorders>
              <w:tl2br w:val="nil"/>
              <w:tr2bl w:val="nil"/>
            </w:tcBorders>
            <w:vAlign w:val="center"/>
          </w:tcPr>
          <w:p w14:paraId="2A32653A">
            <w:pPr>
              <w:pStyle w:val="34"/>
              <w:tabs>
                <w:tab w:val="left" w:pos="1389"/>
              </w:tabs>
              <w:bidi w:val="0"/>
              <w:rPr>
                <w:rFonts w:hint="eastAsia"/>
                <w:color w:val="auto"/>
                <w:lang w:val="en-US" w:eastAsia="zh-CN"/>
              </w:rPr>
            </w:pPr>
            <w:r>
              <w:rPr>
                <w:rFonts w:hint="eastAsia"/>
                <w:color w:val="auto"/>
                <w:lang w:val="en-US" w:eastAsia="zh-CN"/>
              </w:rPr>
              <w:t>坡下部</w:t>
            </w:r>
          </w:p>
        </w:tc>
        <w:tc>
          <w:tcPr>
            <w:tcW w:w="837" w:type="dxa"/>
            <w:tcBorders>
              <w:tl2br w:val="nil"/>
              <w:tr2bl w:val="nil"/>
            </w:tcBorders>
            <w:vAlign w:val="center"/>
          </w:tcPr>
          <w:p w14:paraId="5F3BB91B">
            <w:pPr>
              <w:pStyle w:val="34"/>
              <w:tabs>
                <w:tab w:val="left" w:pos="1389"/>
              </w:tabs>
              <w:bidi w:val="0"/>
              <w:rPr>
                <w:rFonts w:hint="default"/>
                <w:color w:val="auto"/>
              </w:rPr>
            </w:pPr>
            <w:r>
              <w:rPr>
                <w:rFonts w:hint="eastAsia"/>
                <w:color w:val="auto"/>
                <w:lang w:val="en-US" w:eastAsia="zh-CN"/>
              </w:rPr>
              <w:t>5</w:t>
            </w:r>
            <w:r>
              <w:rPr>
                <w:rFonts w:hint="default"/>
                <w:color w:val="auto"/>
              </w:rPr>
              <w:t>m×</w:t>
            </w:r>
            <w:r>
              <w:rPr>
                <w:rFonts w:hint="eastAsia"/>
                <w:color w:val="auto"/>
                <w:lang w:val="en-US" w:eastAsia="zh-CN"/>
              </w:rPr>
              <w:t>5</w:t>
            </w:r>
            <w:r>
              <w:rPr>
                <w:rFonts w:hint="default"/>
                <w:color w:val="auto"/>
              </w:rPr>
              <w:t>m</w:t>
            </w:r>
          </w:p>
        </w:tc>
      </w:tr>
      <w:tr w14:paraId="5D0B6A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4F5FCFC0">
            <w:pPr>
              <w:pStyle w:val="34"/>
              <w:tabs>
                <w:tab w:val="left" w:pos="1389"/>
              </w:tabs>
              <w:bidi w:val="0"/>
              <w:rPr>
                <w:rFonts w:hint="default"/>
                <w:color w:val="auto"/>
                <w:lang w:val="en-US" w:eastAsia="zh-CN"/>
              </w:rPr>
            </w:pPr>
            <w:r>
              <w:rPr>
                <w:rFonts w:hint="eastAsia"/>
                <w:color w:val="auto"/>
                <w:lang w:val="en-US" w:eastAsia="zh-CN"/>
              </w:rPr>
              <w:t>17</w:t>
            </w:r>
          </w:p>
        </w:tc>
        <w:tc>
          <w:tcPr>
            <w:tcW w:w="817" w:type="dxa"/>
            <w:tcBorders>
              <w:tl2br w:val="nil"/>
              <w:tr2bl w:val="nil"/>
            </w:tcBorders>
            <w:vAlign w:val="center"/>
          </w:tcPr>
          <w:p w14:paraId="1E1078EB">
            <w:pPr>
              <w:pStyle w:val="34"/>
              <w:tabs>
                <w:tab w:val="left" w:pos="1389"/>
              </w:tabs>
              <w:bidi w:val="0"/>
              <w:rPr>
                <w:rFonts w:hint="eastAsia"/>
                <w:color w:val="auto"/>
                <w:lang w:val="en-US" w:eastAsia="zh-CN"/>
              </w:rPr>
            </w:pPr>
            <w:r>
              <w:rPr>
                <w:rFonts w:hint="eastAsia"/>
                <w:color w:val="auto"/>
                <w:lang w:val="en-US" w:eastAsia="zh-CN"/>
              </w:rPr>
              <w:t>禾草草丛</w:t>
            </w:r>
          </w:p>
        </w:tc>
        <w:tc>
          <w:tcPr>
            <w:tcW w:w="1000" w:type="dxa"/>
            <w:tcBorders>
              <w:tl2br w:val="nil"/>
              <w:tr2bl w:val="nil"/>
            </w:tcBorders>
            <w:shd w:val="clear" w:color="auto" w:fill="auto"/>
            <w:vAlign w:val="center"/>
          </w:tcPr>
          <w:p w14:paraId="3C5A7FA2">
            <w:pPr>
              <w:pStyle w:val="34"/>
              <w:tabs>
                <w:tab w:val="left" w:pos="1389"/>
              </w:tabs>
              <w:bidi w:val="0"/>
              <w:rPr>
                <w:rFonts w:hint="eastAsia"/>
                <w:color w:val="auto"/>
                <w:lang w:val="en-US" w:eastAsia="zh-CN"/>
              </w:rPr>
            </w:pPr>
            <w:r>
              <w:rPr>
                <w:rFonts w:hint="eastAsia"/>
                <w:color w:val="auto"/>
                <w:lang w:val="en-US" w:eastAsia="zh-CN"/>
              </w:rPr>
              <w:t>ZB04地界内</w:t>
            </w:r>
          </w:p>
        </w:tc>
        <w:tc>
          <w:tcPr>
            <w:tcW w:w="1689" w:type="dxa"/>
            <w:tcBorders>
              <w:tl2br w:val="nil"/>
              <w:tr2bl w:val="nil"/>
            </w:tcBorders>
            <w:vAlign w:val="center"/>
          </w:tcPr>
          <w:p w14:paraId="6C0815A0">
            <w:pPr>
              <w:pStyle w:val="34"/>
              <w:tabs>
                <w:tab w:val="left" w:pos="1389"/>
              </w:tabs>
              <w:bidi w:val="0"/>
              <w:rPr>
                <w:rFonts w:hint="default"/>
                <w:color w:val="auto"/>
              </w:rPr>
            </w:pPr>
            <w:r>
              <w:rPr>
                <w:rFonts w:hint="default"/>
                <w:color w:val="auto"/>
              </w:rPr>
              <w:t>103°44'00.723"E</w:t>
            </w:r>
          </w:p>
          <w:p w14:paraId="06CF6B9F">
            <w:pPr>
              <w:pStyle w:val="34"/>
              <w:tabs>
                <w:tab w:val="left" w:pos="1389"/>
              </w:tabs>
              <w:bidi w:val="0"/>
              <w:rPr>
                <w:rFonts w:hint="default"/>
                <w:color w:val="auto"/>
              </w:rPr>
            </w:pPr>
            <w:r>
              <w:rPr>
                <w:rFonts w:hint="default"/>
                <w:color w:val="auto"/>
              </w:rPr>
              <w:t>25°58'03.611"N</w:t>
            </w:r>
          </w:p>
        </w:tc>
        <w:tc>
          <w:tcPr>
            <w:tcW w:w="853" w:type="dxa"/>
            <w:tcBorders>
              <w:tl2br w:val="nil"/>
              <w:tr2bl w:val="nil"/>
            </w:tcBorders>
            <w:vAlign w:val="center"/>
          </w:tcPr>
          <w:p w14:paraId="6CBF8AA0">
            <w:pPr>
              <w:pStyle w:val="34"/>
              <w:tabs>
                <w:tab w:val="left" w:pos="1389"/>
              </w:tabs>
              <w:bidi w:val="0"/>
              <w:rPr>
                <w:rFonts w:hint="eastAsia"/>
                <w:color w:val="auto"/>
                <w:lang w:val="en-US" w:eastAsia="zh-CN"/>
              </w:rPr>
            </w:pPr>
            <w:r>
              <w:rPr>
                <w:rFonts w:hint="eastAsia"/>
                <w:color w:val="auto"/>
                <w:lang w:val="en-US" w:eastAsia="zh-CN"/>
              </w:rPr>
              <w:t>2354</w:t>
            </w:r>
          </w:p>
        </w:tc>
        <w:tc>
          <w:tcPr>
            <w:tcW w:w="711" w:type="dxa"/>
            <w:tcBorders>
              <w:tl2br w:val="nil"/>
              <w:tr2bl w:val="nil"/>
            </w:tcBorders>
            <w:vAlign w:val="center"/>
          </w:tcPr>
          <w:p w14:paraId="7B0CF58B">
            <w:pPr>
              <w:pStyle w:val="34"/>
              <w:tabs>
                <w:tab w:val="left" w:pos="1389"/>
              </w:tabs>
              <w:bidi w:val="0"/>
              <w:rPr>
                <w:rFonts w:hint="eastAsia"/>
                <w:color w:val="auto"/>
                <w:lang w:val="en-US" w:eastAsia="zh-CN"/>
              </w:rPr>
            </w:pPr>
            <w:r>
              <w:rPr>
                <w:rFonts w:hint="eastAsia"/>
                <w:color w:val="auto"/>
                <w:lang w:val="en-US" w:eastAsia="zh-CN"/>
              </w:rPr>
              <w:t>缓坡</w:t>
            </w:r>
          </w:p>
        </w:tc>
        <w:tc>
          <w:tcPr>
            <w:tcW w:w="776" w:type="dxa"/>
            <w:tcBorders>
              <w:tl2br w:val="nil"/>
              <w:tr2bl w:val="nil"/>
            </w:tcBorders>
            <w:vAlign w:val="center"/>
          </w:tcPr>
          <w:p w14:paraId="130F5A85">
            <w:pPr>
              <w:pStyle w:val="34"/>
              <w:tabs>
                <w:tab w:val="left" w:pos="1389"/>
              </w:tabs>
              <w:bidi w:val="0"/>
              <w:rPr>
                <w:rFonts w:hint="eastAsia"/>
                <w:color w:val="auto"/>
                <w:lang w:val="en-US" w:eastAsia="zh-CN"/>
              </w:rPr>
            </w:pPr>
            <w:r>
              <w:rPr>
                <w:rFonts w:hint="eastAsia"/>
                <w:color w:val="auto"/>
                <w:lang w:val="en-US" w:eastAsia="zh-CN"/>
              </w:rPr>
              <w:t>115°</w:t>
            </w:r>
          </w:p>
        </w:tc>
        <w:tc>
          <w:tcPr>
            <w:tcW w:w="750" w:type="dxa"/>
            <w:tcBorders>
              <w:tl2br w:val="nil"/>
              <w:tr2bl w:val="nil"/>
            </w:tcBorders>
            <w:vAlign w:val="center"/>
          </w:tcPr>
          <w:p w14:paraId="7DFE2E4C">
            <w:pPr>
              <w:pStyle w:val="34"/>
              <w:tabs>
                <w:tab w:val="left" w:pos="1389"/>
              </w:tabs>
              <w:bidi w:val="0"/>
              <w:rPr>
                <w:rFonts w:hint="eastAsia"/>
                <w:color w:val="auto"/>
                <w:lang w:val="en-US" w:eastAsia="zh-CN"/>
              </w:rPr>
            </w:pPr>
            <w:r>
              <w:rPr>
                <w:rFonts w:hint="eastAsia"/>
                <w:color w:val="auto"/>
                <w:lang w:val="en-US" w:eastAsia="zh-CN"/>
              </w:rPr>
              <w:t>5°</w:t>
            </w:r>
          </w:p>
        </w:tc>
        <w:tc>
          <w:tcPr>
            <w:tcW w:w="836" w:type="dxa"/>
            <w:tcBorders>
              <w:tl2br w:val="nil"/>
              <w:tr2bl w:val="nil"/>
            </w:tcBorders>
            <w:vAlign w:val="center"/>
          </w:tcPr>
          <w:p w14:paraId="2C0BDF24">
            <w:pPr>
              <w:pStyle w:val="34"/>
              <w:tabs>
                <w:tab w:val="left" w:pos="1389"/>
              </w:tabs>
              <w:bidi w:val="0"/>
              <w:rPr>
                <w:rFonts w:hint="eastAsia"/>
                <w:color w:val="auto"/>
                <w:lang w:val="en-US" w:eastAsia="zh-CN"/>
              </w:rPr>
            </w:pPr>
            <w:r>
              <w:rPr>
                <w:rFonts w:hint="eastAsia"/>
                <w:color w:val="auto"/>
                <w:lang w:val="en-US" w:eastAsia="zh-CN"/>
              </w:rPr>
              <w:t>坡下部</w:t>
            </w:r>
          </w:p>
        </w:tc>
        <w:tc>
          <w:tcPr>
            <w:tcW w:w="837" w:type="dxa"/>
            <w:tcBorders>
              <w:tl2br w:val="nil"/>
              <w:tr2bl w:val="nil"/>
            </w:tcBorders>
            <w:vAlign w:val="center"/>
          </w:tcPr>
          <w:p w14:paraId="0E892EAF">
            <w:pPr>
              <w:pStyle w:val="34"/>
              <w:tabs>
                <w:tab w:val="left" w:pos="1389"/>
              </w:tabs>
              <w:bidi w:val="0"/>
              <w:rPr>
                <w:rFonts w:hint="default"/>
                <w:color w:val="auto"/>
              </w:rPr>
            </w:pPr>
            <w:r>
              <w:rPr>
                <w:rFonts w:hint="eastAsia"/>
                <w:color w:val="auto"/>
                <w:lang w:val="en-US" w:eastAsia="zh-CN"/>
              </w:rPr>
              <w:t>5</w:t>
            </w:r>
            <w:r>
              <w:rPr>
                <w:rFonts w:hint="default"/>
                <w:color w:val="auto"/>
              </w:rPr>
              <w:t>m×</w:t>
            </w:r>
            <w:r>
              <w:rPr>
                <w:rFonts w:hint="eastAsia"/>
                <w:color w:val="auto"/>
                <w:lang w:val="en-US" w:eastAsia="zh-CN"/>
              </w:rPr>
              <w:t>5</w:t>
            </w:r>
            <w:r>
              <w:rPr>
                <w:rFonts w:hint="default"/>
                <w:color w:val="auto"/>
              </w:rPr>
              <w:t>m</w:t>
            </w:r>
          </w:p>
        </w:tc>
      </w:tr>
      <w:tr w14:paraId="67937A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565" w:type="dxa"/>
            <w:tcBorders>
              <w:tl2br w:val="nil"/>
              <w:tr2bl w:val="nil"/>
            </w:tcBorders>
            <w:shd w:val="clear" w:color="auto" w:fill="auto"/>
            <w:vAlign w:val="center"/>
          </w:tcPr>
          <w:p w14:paraId="5DE66335">
            <w:pPr>
              <w:pStyle w:val="34"/>
              <w:tabs>
                <w:tab w:val="left" w:pos="1389"/>
              </w:tabs>
              <w:bidi w:val="0"/>
              <w:rPr>
                <w:rFonts w:hint="default"/>
                <w:color w:val="auto"/>
                <w:lang w:val="en-US" w:eastAsia="zh-CN"/>
              </w:rPr>
            </w:pPr>
            <w:r>
              <w:rPr>
                <w:rFonts w:hint="eastAsia"/>
                <w:color w:val="auto"/>
                <w:lang w:val="en-US" w:eastAsia="zh-CN"/>
              </w:rPr>
              <w:t>18</w:t>
            </w:r>
          </w:p>
        </w:tc>
        <w:tc>
          <w:tcPr>
            <w:tcW w:w="817" w:type="dxa"/>
            <w:tcBorders>
              <w:tl2br w:val="nil"/>
              <w:tr2bl w:val="nil"/>
            </w:tcBorders>
            <w:vAlign w:val="center"/>
          </w:tcPr>
          <w:p w14:paraId="7061B99F">
            <w:pPr>
              <w:pStyle w:val="34"/>
              <w:tabs>
                <w:tab w:val="left" w:pos="1389"/>
              </w:tabs>
              <w:bidi w:val="0"/>
              <w:rPr>
                <w:rFonts w:hint="eastAsia"/>
                <w:color w:val="auto"/>
                <w:lang w:val="en-US" w:eastAsia="zh-CN"/>
              </w:rPr>
            </w:pPr>
            <w:r>
              <w:rPr>
                <w:rFonts w:hint="eastAsia"/>
                <w:color w:val="auto"/>
                <w:lang w:val="en-US" w:eastAsia="zh-CN"/>
              </w:rPr>
              <w:t>禾草草丛</w:t>
            </w:r>
          </w:p>
        </w:tc>
        <w:tc>
          <w:tcPr>
            <w:tcW w:w="1000" w:type="dxa"/>
            <w:tcBorders>
              <w:tl2br w:val="nil"/>
              <w:tr2bl w:val="nil"/>
            </w:tcBorders>
            <w:shd w:val="clear" w:color="auto" w:fill="auto"/>
            <w:vAlign w:val="center"/>
          </w:tcPr>
          <w:p w14:paraId="5CFD4749">
            <w:pPr>
              <w:pStyle w:val="34"/>
              <w:tabs>
                <w:tab w:val="left" w:pos="1389"/>
              </w:tabs>
              <w:bidi w:val="0"/>
              <w:rPr>
                <w:rFonts w:hint="eastAsia"/>
                <w:color w:val="auto"/>
                <w:lang w:val="en-US" w:eastAsia="zh-CN"/>
              </w:rPr>
            </w:pPr>
            <w:r>
              <w:rPr>
                <w:rFonts w:hint="eastAsia"/>
                <w:color w:val="auto"/>
                <w:lang w:val="en-US" w:eastAsia="zh-CN"/>
              </w:rPr>
              <w:t>地埋电缆北侧</w:t>
            </w:r>
          </w:p>
        </w:tc>
        <w:tc>
          <w:tcPr>
            <w:tcW w:w="1689" w:type="dxa"/>
            <w:tcBorders>
              <w:tl2br w:val="nil"/>
              <w:tr2bl w:val="nil"/>
            </w:tcBorders>
            <w:vAlign w:val="center"/>
          </w:tcPr>
          <w:p w14:paraId="3DF7308D">
            <w:pPr>
              <w:pStyle w:val="34"/>
              <w:tabs>
                <w:tab w:val="left" w:pos="1389"/>
              </w:tabs>
              <w:bidi w:val="0"/>
              <w:rPr>
                <w:rFonts w:hint="default"/>
                <w:color w:val="auto"/>
              </w:rPr>
            </w:pPr>
            <w:r>
              <w:rPr>
                <w:rFonts w:hint="default"/>
                <w:color w:val="auto"/>
              </w:rPr>
              <w:t>103°44'51.256"E</w:t>
            </w:r>
          </w:p>
          <w:p w14:paraId="6EBFF2CB">
            <w:pPr>
              <w:pStyle w:val="34"/>
              <w:tabs>
                <w:tab w:val="left" w:pos="1389"/>
              </w:tabs>
              <w:bidi w:val="0"/>
              <w:rPr>
                <w:rFonts w:hint="default"/>
                <w:color w:val="auto"/>
              </w:rPr>
            </w:pPr>
            <w:r>
              <w:rPr>
                <w:rFonts w:hint="default"/>
                <w:color w:val="auto"/>
              </w:rPr>
              <w:t>25°57'55.375"N</w:t>
            </w:r>
          </w:p>
        </w:tc>
        <w:tc>
          <w:tcPr>
            <w:tcW w:w="853" w:type="dxa"/>
            <w:tcBorders>
              <w:tl2br w:val="nil"/>
              <w:tr2bl w:val="nil"/>
            </w:tcBorders>
            <w:vAlign w:val="center"/>
          </w:tcPr>
          <w:p w14:paraId="505B4F80">
            <w:pPr>
              <w:pStyle w:val="34"/>
              <w:tabs>
                <w:tab w:val="left" w:pos="1389"/>
              </w:tabs>
              <w:bidi w:val="0"/>
              <w:rPr>
                <w:rFonts w:hint="eastAsia"/>
                <w:color w:val="auto"/>
                <w:lang w:val="en-US" w:eastAsia="zh-CN"/>
              </w:rPr>
            </w:pPr>
            <w:r>
              <w:rPr>
                <w:rFonts w:hint="eastAsia"/>
                <w:color w:val="auto"/>
                <w:lang w:val="en-US" w:eastAsia="zh-CN"/>
              </w:rPr>
              <w:t>2416</w:t>
            </w:r>
          </w:p>
        </w:tc>
        <w:tc>
          <w:tcPr>
            <w:tcW w:w="711" w:type="dxa"/>
            <w:tcBorders>
              <w:tl2br w:val="nil"/>
              <w:tr2bl w:val="nil"/>
            </w:tcBorders>
            <w:vAlign w:val="center"/>
          </w:tcPr>
          <w:p w14:paraId="2305A8BC">
            <w:pPr>
              <w:pStyle w:val="34"/>
              <w:tabs>
                <w:tab w:val="left" w:pos="1389"/>
              </w:tabs>
              <w:bidi w:val="0"/>
              <w:rPr>
                <w:rFonts w:hint="eastAsia"/>
                <w:color w:val="auto"/>
                <w:lang w:val="en-US" w:eastAsia="zh-CN"/>
              </w:rPr>
            </w:pPr>
            <w:r>
              <w:rPr>
                <w:rFonts w:hint="eastAsia"/>
                <w:color w:val="auto"/>
                <w:lang w:val="en-US" w:eastAsia="zh-CN"/>
              </w:rPr>
              <w:t>缓坡</w:t>
            </w:r>
          </w:p>
        </w:tc>
        <w:tc>
          <w:tcPr>
            <w:tcW w:w="776" w:type="dxa"/>
            <w:tcBorders>
              <w:tl2br w:val="nil"/>
              <w:tr2bl w:val="nil"/>
            </w:tcBorders>
            <w:vAlign w:val="center"/>
          </w:tcPr>
          <w:p w14:paraId="3B44147F">
            <w:pPr>
              <w:pStyle w:val="34"/>
              <w:tabs>
                <w:tab w:val="left" w:pos="1389"/>
              </w:tabs>
              <w:bidi w:val="0"/>
              <w:rPr>
                <w:rFonts w:hint="eastAsia"/>
                <w:color w:val="auto"/>
                <w:lang w:val="en-US" w:eastAsia="zh-CN"/>
              </w:rPr>
            </w:pPr>
            <w:r>
              <w:rPr>
                <w:rFonts w:hint="eastAsia"/>
                <w:color w:val="auto"/>
                <w:lang w:val="en-US" w:eastAsia="zh-CN"/>
              </w:rPr>
              <w:t>150°</w:t>
            </w:r>
          </w:p>
        </w:tc>
        <w:tc>
          <w:tcPr>
            <w:tcW w:w="750" w:type="dxa"/>
            <w:tcBorders>
              <w:tl2br w:val="nil"/>
              <w:tr2bl w:val="nil"/>
            </w:tcBorders>
            <w:vAlign w:val="center"/>
          </w:tcPr>
          <w:p w14:paraId="6196A53B">
            <w:pPr>
              <w:pStyle w:val="34"/>
              <w:tabs>
                <w:tab w:val="left" w:pos="1389"/>
              </w:tabs>
              <w:bidi w:val="0"/>
              <w:rPr>
                <w:rFonts w:hint="eastAsia"/>
                <w:color w:val="auto"/>
                <w:lang w:val="en-US" w:eastAsia="zh-CN"/>
              </w:rPr>
            </w:pPr>
            <w:r>
              <w:rPr>
                <w:rFonts w:hint="eastAsia"/>
                <w:color w:val="auto"/>
                <w:lang w:val="en-US" w:eastAsia="zh-CN"/>
              </w:rPr>
              <w:t>5°</w:t>
            </w:r>
          </w:p>
        </w:tc>
        <w:tc>
          <w:tcPr>
            <w:tcW w:w="836" w:type="dxa"/>
            <w:tcBorders>
              <w:tl2br w:val="nil"/>
              <w:tr2bl w:val="nil"/>
            </w:tcBorders>
            <w:vAlign w:val="center"/>
          </w:tcPr>
          <w:p w14:paraId="1627C0BC">
            <w:pPr>
              <w:pStyle w:val="34"/>
              <w:tabs>
                <w:tab w:val="left" w:pos="1389"/>
              </w:tabs>
              <w:bidi w:val="0"/>
              <w:rPr>
                <w:rFonts w:hint="eastAsia"/>
                <w:color w:val="auto"/>
                <w:lang w:val="en-US" w:eastAsia="zh-CN"/>
              </w:rPr>
            </w:pPr>
            <w:r>
              <w:rPr>
                <w:rFonts w:hint="eastAsia"/>
                <w:color w:val="auto"/>
                <w:lang w:val="en-US" w:eastAsia="zh-CN"/>
              </w:rPr>
              <w:t>坡下部</w:t>
            </w:r>
          </w:p>
        </w:tc>
        <w:tc>
          <w:tcPr>
            <w:tcW w:w="837" w:type="dxa"/>
            <w:tcBorders>
              <w:tl2br w:val="nil"/>
              <w:tr2bl w:val="nil"/>
            </w:tcBorders>
            <w:vAlign w:val="center"/>
          </w:tcPr>
          <w:p w14:paraId="6FC09266">
            <w:pPr>
              <w:pStyle w:val="34"/>
              <w:tabs>
                <w:tab w:val="left" w:pos="1389"/>
              </w:tabs>
              <w:bidi w:val="0"/>
              <w:rPr>
                <w:rFonts w:hint="default"/>
                <w:color w:val="auto"/>
              </w:rPr>
            </w:pPr>
            <w:r>
              <w:rPr>
                <w:rFonts w:hint="eastAsia"/>
                <w:color w:val="auto"/>
                <w:lang w:val="en-US" w:eastAsia="zh-CN"/>
              </w:rPr>
              <w:t>5</w:t>
            </w:r>
            <w:r>
              <w:rPr>
                <w:rFonts w:hint="default"/>
                <w:color w:val="auto"/>
              </w:rPr>
              <w:t>m×</w:t>
            </w:r>
            <w:r>
              <w:rPr>
                <w:rFonts w:hint="eastAsia"/>
                <w:color w:val="auto"/>
                <w:lang w:val="en-US" w:eastAsia="zh-CN"/>
              </w:rPr>
              <w:t>5</w:t>
            </w:r>
            <w:r>
              <w:rPr>
                <w:rFonts w:hint="default"/>
                <w:color w:val="auto"/>
              </w:rPr>
              <w:t>m</w:t>
            </w:r>
          </w:p>
        </w:tc>
      </w:tr>
    </w:tbl>
    <w:p w14:paraId="1CD32316">
      <w:pPr>
        <w:rPr>
          <w:rFonts w:hint="eastAsia"/>
          <w:color w:val="auto"/>
          <w:lang w:val="en-US" w:eastAsia="zh-CN"/>
        </w:rPr>
      </w:pPr>
    </w:p>
    <w:p w14:paraId="25124C5F">
      <w:pPr>
        <w:pStyle w:val="4"/>
        <w:bidi w:val="0"/>
        <w:rPr>
          <w:rFonts w:hint="default"/>
          <w:color w:val="auto"/>
          <w:lang w:val="en-US" w:eastAsia="zh-CN"/>
        </w:rPr>
      </w:pPr>
      <w:bookmarkStart w:id="62" w:name="_Toc19111"/>
      <w:r>
        <w:rPr>
          <w:rFonts w:hint="eastAsia"/>
          <w:color w:val="auto"/>
          <w:lang w:val="en-US" w:eastAsia="zh-CN"/>
        </w:rPr>
        <w:t>2.2.3评价区植被现状</w:t>
      </w:r>
      <w:bookmarkEnd w:id="62"/>
    </w:p>
    <w:p w14:paraId="529057D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rPr>
        <w:t>调查评价区内的植被类型及植物物种：蕨类、种子植物（裸子植物和被子植物）。重点是珍稀濒危保护物种、特有种以及具有重要经济和科研价值的物种，评价区的植被类型及相关情况。</w:t>
      </w:r>
      <w:r>
        <w:rPr>
          <w:rFonts w:hint="default" w:ascii="Times New Roman" w:hAnsi="Times New Roman" w:eastAsia="宋体" w:cs="Times New Roman"/>
          <w:color w:val="auto"/>
          <w:sz w:val="24"/>
          <w:szCs w:val="24"/>
          <w:lang w:val="en-US" w:eastAsia="zh-CN"/>
        </w:rPr>
        <w:t>具体调查方法如下：</w:t>
      </w:r>
    </w:p>
    <w:p w14:paraId="7948CF07">
      <w:pPr>
        <w:spacing w:line="360" w:lineRule="auto"/>
        <w:ind w:firstLine="474" w:firstLineChars="200"/>
        <w:outlineLvl w:val="2"/>
        <w:rPr>
          <w:rFonts w:hint="default" w:ascii="Times New Roman" w:hAnsi="Times New Roman" w:eastAsia="宋体" w:cs="Times New Roman"/>
          <w:b/>
          <w:bCs w:val="0"/>
          <w:color w:val="auto"/>
          <w:spacing w:val="-2"/>
          <w:sz w:val="24"/>
          <w:szCs w:val="24"/>
          <w:highlight w:val="none"/>
          <w:lang w:val="en-US" w:eastAsia="zh-CN"/>
        </w:rPr>
      </w:pPr>
      <w:r>
        <w:rPr>
          <w:rFonts w:hint="eastAsia" w:ascii="Times New Roman" w:hAnsi="Times New Roman" w:eastAsia="宋体" w:cs="Times New Roman"/>
          <w:b/>
          <w:bCs w:val="0"/>
          <w:color w:val="auto"/>
          <w:spacing w:val="-2"/>
          <w:sz w:val="24"/>
          <w:szCs w:val="24"/>
          <w:highlight w:val="none"/>
          <w:lang w:val="en-US" w:eastAsia="zh-CN"/>
        </w:rPr>
        <w:t>2.2.3.1</w:t>
      </w:r>
      <w:r>
        <w:rPr>
          <w:rFonts w:hint="default" w:ascii="Times New Roman" w:hAnsi="Times New Roman" w:eastAsia="宋体" w:cs="Times New Roman"/>
          <w:b/>
          <w:bCs w:val="0"/>
          <w:color w:val="auto"/>
          <w:spacing w:val="-2"/>
          <w:sz w:val="24"/>
          <w:szCs w:val="24"/>
          <w:highlight w:val="none"/>
          <w:lang w:val="en-US" w:eastAsia="zh-CN"/>
        </w:rPr>
        <w:t>植被分类原则与依据</w:t>
      </w:r>
    </w:p>
    <w:p w14:paraId="275A9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依据《云南植被》中采用的分类系统，并参考《中国植被》和《云南森林》等重要植被专著，遵循群落学</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生态学的分类原则。在植被分类过程中主要依据群落的种类组成，群落的生态外貌和结构，群落的动态和生态地理分布等方面特征。</w:t>
      </w:r>
    </w:p>
    <w:p w14:paraId="702A13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根据上述原则，本报告在植被分类过程中采用3个主级分类单位，即植被型（高级分类单位）、群系（中级分类单位）和群丛（低级分类单位），各级再根据实际增设亚级或辅助单位。</w:t>
      </w:r>
    </w:p>
    <w:p w14:paraId="753F731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植被高级分类单位——植被型以群落生态外貌特征为依据，群落外貌和结构主要决定于优势种或标志种以及与之伴生的相关植物的生活型。一般群落主要结构单元中的优势种生活型相同或相似，水热条件要求一致的植物群落联合为植被型。植被型一般与气候带和垂直带相吻合，但由于地形地貌及土壤等因子作用，常常会形成</w:t>
      </w:r>
      <w:r>
        <w:rPr>
          <w:rFonts w:hint="eastAsia" w:ascii="宋体" w:hAnsi="宋体" w:eastAsia="宋体" w:cs="宋体"/>
          <w:color w:val="auto"/>
          <w:sz w:val="24"/>
          <w:szCs w:val="24"/>
        </w:rPr>
        <w:t>“隐域”</w:t>
      </w:r>
      <w:r>
        <w:rPr>
          <w:rFonts w:hint="default" w:ascii="Times New Roman" w:hAnsi="Times New Roman" w:eastAsia="宋体" w:cs="Times New Roman"/>
          <w:color w:val="auto"/>
          <w:sz w:val="24"/>
          <w:szCs w:val="24"/>
        </w:rPr>
        <w:t>植被。</w:t>
      </w:r>
    </w:p>
    <w:p w14:paraId="587E83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植被中级分类单位——群系在群落结构和外貌特征相同的前提下，以主要层优势种</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建群种</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或共建种为依据。群落的基本特征取决于群落主要层次的优势种或标志种，采用优势种或标志种为植被类型分类的基本原则，能够简明快速地判定植被类型。因此群系的命名以优势种、建群种和标志种来命名。</w:t>
      </w:r>
    </w:p>
    <w:p w14:paraId="74C568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3</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植被基本分类单位——群丛群丛是植被分类中的最基本的分类单位。凡属于同一植物群丛的各个具体植物群落应具有共同正常的植物种类组成和标志群丛的共同植物种类，群落的结构特征，生态特征，层片配置，季相变化和群落生态外貌相同；以及处于相似的生境，在群落动态方面则是处于相同的演替阶段。另外群丛应该具有一定的分布区。</w:t>
      </w:r>
    </w:p>
    <w:p w14:paraId="1F2AB434">
      <w:pPr>
        <w:spacing w:line="360" w:lineRule="auto"/>
        <w:ind w:firstLine="474" w:firstLineChars="200"/>
        <w:outlineLvl w:val="2"/>
        <w:rPr>
          <w:rFonts w:hint="default" w:ascii="Times New Roman" w:hAnsi="Times New Roman" w:eastAsia="宋体" w:cs="Times New Roman"/>
          <w:b/>
          <w:bCs w:val="0"/>
          <w:color w:val="auto"/>
          <w:spacing w:val="-2"/>
          <w:sz w:val="24"/>
          <w:szCs w:val="24"/>
          <w:highlight w:val="none"/>
          <w:lang w:val="en-US" w:eastAsia="zh-CN"/>
        </w:rPr>
      </w:pPr>
      <w:r>
        <w:rPr>
          <w:rFonts w:hint="eastAsia" w:ascii="Times New Roman" w:hAnsi="Times New Roman" w:eastAsia="宋体" w:cs="Times New Roman"/>
          <w:b/>
          <w:bCs w:val="0"/>
          <w:color w:val="auto"/>
          <w:spacing w:val="-2"/>
          <w:sz w:val="24"/>
          <w:szCs w:val="24"/>
          <w:highlight w:val="none"/>
          <w:lang w:val="en-US" w:eastAsia="zh-CN"/>
        </w:rPr>
        <w:t>2.2.3.2评价区植被类型</w:t>
      </w:r>
    </w:p>
    <w:p w14:paraId="7824FD65">
      <w:pPr>
        <w:adjustRightInd w:val="0"/>
        <w:spacing w:line="360" w:lineRule="auto"/>
        <w:ind w:firstLine="482"/>
        <w:textAlignment w:val="baseline"/>
        <w:rPr>
          <w:rFonts w:hint="default" w:ascii="Times New Roman" w:hAnsi="Times New Roman" w:eastAsia="宋体" w:cs="Times New Roman"/>
          <w:color w:val="auto"/>
          <w:sz w:val="24"/>
          <w:szCs w:val="24"/>
          <w:lang w:val="en-US" w:eastAsia="zh-CN"/>
        </w:rPr>
      </w:pPr>
      <w:r>
        <w:rPr>
          <w:rFonts w:hint="eastAsia" w:ascii="Times New Roman" w:hAnsi="Times New Roman" w:eastAsia="宋体" w:cs="Times New Roman"/>
          <w:color w:val="auto"/>
          <w:sz w:val="24"/>
          <w:szCs w:val="24"/>
          <w:lang w:val="en-US" w:eastAsia="zh-CN"/>
        </w:rPr>
        <w:t>项目位于曲靖市</w:t>
      </w:r>
      <w:r>
        <w:rPr>
          <w:rFonts w:hint="eastAsia" w:eastAsia="宋体" w:cs="Times New Roman"/>
          <w:color w:val="auto"/>
          <w:sz w:val="24"/>
          <w:szCs w:val="24"/>
          <w:lang w:val="en-US" w:eastAsia="zh-CN"/>
        </w:rPr>
        <w:t>宣威县</w:t>
      </w:r>
      <w:r>
        <w:rPr>
          <w:rFonts w:hint="eastAsia" w:ascii="Times New Roman" w:hAnsi="Times New Roman" w:eastAsia="宋体" w:cs="Times New Roman"/>
          <w:color w:val="auto"/>
          <w:sz w:val="24"/>
          <w:szCs w:val="24"/>
          <w:lang w:val="en-US" w:eastAsia="zh-CN"/>
        </w:rPr>
        <w:t>境内，</w:t>
      </w:r>
      <w:r>
        <w:rPr>
          <w:rFonts w:hint="default" w:ascii="Times New Roman" w:hAnsi="Times New Roman" w:eastAsia="宋体" w:cs="Times New Roman"/>
          <w:color w:val="auto"/>
          <w:sz w:val="24"/>
          <w:szCs w:val="24"/>
        </w:rPr>
        <w:t>依据《云南植被》</w:t>
      </w:r>
      <w:r>
        <w:rPr>
          <w:rFonts w:hint="eastAsia" w:ascii="Times New Roman" w:hAnsi="Times New Roman" w:eastAsia="宋体" w:cs="Times New Roman"/>
          <w:color w:val="auto"/>
          <w:sz w:val="24"/>
          <w:szCs w:val="24"/>
          <w:lang w:val="en-US" w:eastAsia="zh-CN"/>
        </w:rPr>
        <w:t>划分，</w:t>
      </w:r>
      <w:r>
        <w:rPr>
          <w:rFonts w:hint="default" w:ascii="Times New Roman" w:hAnsi="Times New Roman" w:eastAsia="宋体" w:cs="Times New Roman"/>
          <w:color w:val="auto"/>
          <w:sz w:val="24"/>
          <w:szCs w:val="24"/>
          <w:lang w:val="en-US" w:eastAsia="zh-CN"/>
        </w:rPr>
        <w:t>项目</w:t>
      </w:r>
      <w:r>
        <w:rPr>
          <w:rFonts w:hint="default" w:ascii="Times New Roman" w:hAnsi="Times New Roman" w:eastAsia="宋体" w:cs="Times New Roman"/>
          <w:color w:val="auto"/>
          <w:sz w:val="24"/>
          <w:szCs w:val="24"/>
        </w:rPr>
        <w:t>所在区域植被分区为：Ⅱ亚热带常绿阔叶林区域――ⅡA西部（半湿润）常绿阔叶</w:t>
      </w:r>
      <w:r>
        <w:rPr>
          <w:rFonts w:hint="eastAsia" w:ascii="Times New Roman" w:hAnsi="Times New Roman" w:eastAsia="宋体" w:cs="Times New Roman"/>
          <w:color w:val="auto"/>
          <w:sz w:val="24"/>
          <w:szCs w:val="24"/>
          <w:lang w:val="en-US" w:eastAsia="zh-CN"/>
        </w:rPr>
        <w:t>林</w:t>
      </w:r>
      <w:r>
        <w:rPr>
          <w:rFonts w:hint="default" w:ascii="Times New Roman" w:hAnsi="Times New Roman" w:eastAsia="宋体" w:cs="Times New Roman"/>
          <w:color w:val="auto"/>
          <w:sz w:val="24"/>
          <w:szCs w:val="24"/>
        </w:rPr>
        <w:t>亚区域――ⅡAii高原亚热带北部常绿阔叶林地带――ⅡAii－</w:t>
      </w:r>
      <w:r>
        <w:rPr>
          <w:rFonts w:hint="eastAsia" w:ascii="Times New Roman" w:hAnsi="Times New Roman" w:eastAsia="宋体" w:cs="Times New Roman"/>
          <w:color w:val="auto"/>
          <w:sz w:val="24"/>
          <w:szCs w:val="24"/>
          <w:lang w:val="en-US" w:eastAsia="zh-CN"/>
        </w:rPr>
        <w:t>1滇中、滇东高原半湿润常绿阔叶林、云南松林</w:t>
      </w:r>
      <w:r>
        <w:rPr>
          <w:rFonts w:hint="default" w:ascii="Times New Roman" w:hAnsi="Times New Roman" w:eastAsia="宋体" w:cs="Times New Roman"/>
          <w:color w:val="auto"/>
          <w:sz w:val="24"/>
          <w:szCs w:val="24"/>
        </w:rPr>
        <w:t>区――ⅡAii－</w:t>
      </w:r>
      <w:r>
        <w:rPr>
          <w:rFonts w:hint="eastAsia" w:ascii="Times New Roman" w:hAnsi="Times New Roman" w:eastAsia="宋体" w:cs="Times New Roman"/>
          <w:color w:val="auto"/>
          <w:sz w:val="24"/>
          <w:szCs w:val="24"/>
          <w:lang w:val="en-US" w:eastAsia="zh-CN"/>
        </w:rPr>
        <w:t>1d滇东北高原山地云南松林、羊茅草甸亚区</w:t>
      </w:r>
      <w:r>
        <w:rPr>
          <w:rFonts w:hint="default" w:ascii="Times New Roman" w:hAnsi="Times New Roman" w:eastAsia="宋体" w:cs="Times New Roman"/>
          <w:color w:val="auto"/>
          <w:sz w:val="24"/>
          <w:szCs w:val="24"/>
        </w:rPr>
        <w:t>。</w:t>
      </w:r>
      <w:r>
        <w:rPr>
          <w:rFonts w:hint="eastAsia" w:ascii="Times New Roman" w:hAnsi="Times New Roman" w:eastAsia="宋体" w:cs="Times New Roman"/>
          <w:color w:val="auto"/>
          <w:sz w:val="24"/>
          <w:szCs w:val="24"/>
          <w:lang w:val="en-US" w:eastAsia="zh-CN"/>
        </w:rPr>
        <w:t>本亚区植被因长期人为破坏，森林保存很少</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原生的常绿阔叶林已极少见。高原山地及盆地边缘尚有保存的森林主要为云南松林，种类组成与滇中一般山地海拔2000米以上的云南松林相近似，主要为云南松，间有滇油杉、麻栎、华山松混生，大多为稀疏的幼林。大面积的荒山坡地为以陈谋野谷草及多种禾草组成的草丛。亚区内除一些高山外，耕地面积较大，其中又以旱作地所占比例</w:t>
      </w:r>
      <w:r>
        <w:rPr>
          <w:rFonts w:hint="eastAsia" w:cs="Times New Roman"/>
          <w:color w:val="auto"/>
          <w:sz w:val="24"/>
          <w:szCs w:val="24"/>
          <w:lang w:val="en-US" w:eastAsia="zh-CN"/>
        </w:rPr>
        <w:t>最</w:t>
      </w:r>
      <w:r>
        <w:rPr>
          <w:rFonts w:hint="eastAsia" w:ascii="Times New Roman" w:hAnsi="Times New Roman" w:eastAsia="宋体" w:cs="Times New Roman"/>
          <w:color w:val="auto"/>
          <w:sz w:val="24"/>
          <w:szCs w:val="24"/>
          <w:lang w:val="en-US" w:eastAsia="zh-CN"/>
        </w:rPr>
        <w:t>大。</w:t>
      </w:r>
    </w:p>
    <w:p w14:paraId="5E7146A4">
      <w:pPr>
        <w:pStyle w:val="41"/>
        <w:bidi w:val="0"/>
        <w:rPr>
          <w:rFonts w:hint="eastAsia"/>
          <w:color w:val="auto"/>
          <w:lang w:val="en-US" w:eastAsia="zh-CN"/>
        </w:rPr>
      </w:pPr>
      <w:r>
        <w:rPr>
          <w:rFonts w:hint="default" w:ascii="Times New Roman" w:hAnsi="Times New Roman" w:eastAsia="宋体" w:cs="Times New Roman"/>
          <w:color w:val="auto"/>
          <w:sz w:val="24"/>
          <w:szCs w:val="24"/>
        </w:rPr>
        <w:t>根据现场踏勘与调查，依据《中国植被</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云南植被》等专著中确定的植被分类的依据和原则，实地调查表明，目前评价区的自然植被类型包括</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rPr>
        <w:t>个植被型、</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rPr>
        <w:t>个植被亚型、</w:t>
      </w:r>
      <w:r>
        <w:rPr>
          <w:rFonts w:hint="eastAsia" w:cs="Times New Roman"/>
          <w:color w:val="auto"/>
          <w:sz w:val="24"/>
          <w:szCs w:val="24"/>
          <w:lang w:val="en-US" w:eastAsia="zh-CN"/>
        </w:rPr>
        <w:t>6</w:t>
      </w:r>
      <w:r>
        <w:rPr>
          <w:rFonts w:hint="default" w:ascii="Times New Roman" w:hAnsi="Times New Roman" w:eastAsia="宋体" w:cs="Times New Roman"/>
          <w:color w:val="auto"/>
          <w:sz w:val="24"/>
          <w:szCs w:val="24"/>
        </w:rPr>
        <w:t>个群系</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highlight w:val="none"/>
        </w:rPr>
        <w:t>人工植被</w:t>
      </w:r>
      <w:r>
        <w:rPr>
          <w:rFonts w:hint="eastAsia" w:ascii="Times New Roman" w:hAnsi="Times New Roman" w:eastAsia="宋体" w:cs="Times New Roman"/>
          <w:color w:val="auto"/>
          <w:sz w:val="24"/>
          <w:szCs w:val="24"/>
          <w:highlight w:val="none"/>
          <w:lang w:val="en-US" w:eastAsia="zh-CN"/>
        </w:rPr>
        <w:t>主要</w:t>
      </w:r>
      <w:r>
        <w:rPr>
          <w:rFonts w:hint="eastAsia" w:cs="Times New Roman"/>
          <w:color w:val="auto"/>
          <w:sz w:val="24"/>
          <w:szCs w:val="24"/>
          <w:highlight w:val="none"/>
          <w:lang w:val="en-US" w:eastAsia="zh-CN"/>
        </w:rPr>
        <w:t>为耕地植被</w:t>
      </w:r>
      <w:r>
        <w:rPr>
          <w:rFonts w:hint="default"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lang w:val="en-US" w:eastAsia="zh-CN"/>
        </w:rPr>
        <w:t>具体的分类系统如下表所示。</w:t>
      </w:r>
    </w:p>
    <w:p w14:paraId="1158E2C2">
      <w:pPr>
        <w:pStyle w:val="42"/>
        <w:bidi w:val="0"/>
        <w:rPr>
          <w:color w:val="auto"/>
        </w:rPr>
      </w:pPr>
      <w:r>
        <w:rPr>
          <w:color w:val="auto"/>
        </w:rPr>
        <w:t>表</w:t>
      </w:r>
      <w:r>
        <w:rPr>
          <w:rFonts w:hint="eastAsia"/>
          <w:color w:val="auto"/>
          <w:lang w:val="en-US" w:eastAsia="zh-CN"/>
        </w:rPr>
        <w:t>2</w:t>
      </w:r>
      <w:r>
        <w:rPr>
          <w:color w:val="auto"/>
        </w:rPr>
        <w:t>-</w:t>
      </w:r>
      <w:r>
        <w:rPr>
          <w:rFonts w:hint="eastAsia"/>
          <w:color w:val="auto"/>
          <w:lang w:val="en-US" w:eastAsia="zh-CN"/>
        </w:rPr>
        <w:t xml:space="preserve">3  </w:t>
      </w:r>
      <w:r>
        <w:rPr>
          <w:color w:val="auto"/>
        </w:rPr>
        <w:t>评价区植被类型</w:t>
      </w:r>
    </w:p>
    <w:tbl>
      <w:tblPr>
        <w:tblStyle w:val="20"/>
        <w:tblW w:w="8737" w:type="dxa"/>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675"/>
        <w:gridCol w:w="817"/>
        <w:gridCol w:w="908"/>
        <w:gridCol w:w="1000"/>
        <w:gridCol w:w="1221"/>
        <w:gridCol w:w="1029"/>
        <w:gridCol w:w="1029"/>
        <w:gridCol w:w="1029"/>
        <w:gridCol w:w="1029"/>
      </w:tblGrid>
      <w:tr w14:paraId="2BF1611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67" w:hRule="atLeast"/>
        </w:trPr>
        <w:tc>
          <w:tcPr>
            <w:tcW w:w="675" w:type="dxa"/>
            <w:vMerge w:val="restart"/>
            <w:tcBorders>
              <w:tl2br w:val="nil"/>
              <w:tr2bl w:val="nil"/>
            </w:tcBorders>
            <w:noWrap/>
            <w:tcMar>
              <w:top w:w="15" w:type="dxa"/>
              <w:left w:w="15" w:type="dxa"/>
              <w:right w:w="15" w:type="dxa"/>
            </w:tcMar>
            <w:vAlign w:val="center"/>
          </w:tcPr>
          <w:p w14:paraId="1C34ADE0">
            <w:pPr>
              <w:pStyle w:val="34"/>
              <w:tabs>
                <w:tab w:val="left" w:pos="1389"/>
              </w:tabs>
              <w:spacing w:line="240" w:lineRule="auto"/>
              <w:jc w:val="center"/>
              <w:rPr>
                <w:rFonts w:hint="eastAsia"/>
                <w:b/>
                <w:bCs/>
                <w:color w:val="auto"/>
                <w:sz w:val="21"/>
                <w:szCs w:val="21"/>
                <w:lang w:val="en-US" w:eastAsia="zh-CN" w:bidi="ar"/>
              </w:rPr>
            </w:pPr>
            <w:r>
              <w:rPr>
                <w:rFonts w:hint="eastAsia"/>
                <w:b/>
                <w:bCs/>
                <w:color w:val="auto"/>
                <w:sz w:val="21"/>
                <w:szCs w:val="21"/>
                <w:lang w:val="en-US" w:eastAsia="zh-CN" w:bidi="ar"/>
              </w:rPr>
              <w:t>植被</w:t>
            </w:r>
          </w:p>
          <w:p w14:paraId="514E03E7">
            <w:pPr>
              <w:pStyle w:val="34"/>
              <w:tabs>
                <w:tab w:val="left" w:pos="1389"/>
              </w:tabs>
              <w:spacing w:line="240" w:lineRule="auto"/>
              <w:jc w:val="center"/>
              <w:rPr>
                <w:rFonts w:hint="default" w:eastAsia="宋体"/>
                <w:b/>
                <w:bCs/>
                <w:color w:val="auto"/>
                <w:sz w:val="21"/>
                <w:szCs w:val="21"/>
                <w:lang w:val="en-US" w:eastAsia="zh-CN"/>
              </w:rPr>
            </w:pPr>
            <w:r>
              <w:rPr>
                <w:rFonts w:hint="eastAsia"/>
                <w:b/>
                <w:bCs/>
                <w:color w:val="auto"/>
                <w:sz w:val="21"/>
                <w:szCs w:val="21"/>
                <w:lang w:val="en-US" w:eastAsia="zh-CN" w:bidi="ar"/>
              </w:rPr>
              <w:t>型组</w:t>
            </w:r>
          </w:p>
        </w:tc>
        <w:tc>
          <w:tcPr>
            <w:tcW w:w="817" w:type="dxa"/>
            <w:vMerge w:val="restart"/>
            <w:tcBorders>
              <w:tl2br w:val="nil"/>
              <w:tr2bl w:val="nil"/>
            </w:tcBorders>
            <w:noWrap/>
            <w:tcMar>
              <w:top w:w="15" w:type="dxa"/>
              <w:left w:w="15" w:type="dxa"/>
              <w:right w:w="15" w:type="dxa"/>
            </w:tcMar>
            <w:vAlign w:val="center"/>
          </w:tcPr>
          <w:p w14:paraId="53A615D9">
            <w:pPr>
              <w:pStyle w:val="34"/>
              <w:tabs>
                <w:tab w:val="left" w:pos="1389"/>
              </w:tabs>
              <w:spacing w:line="240" w:lineRule="auto"/>
              <w:jc w:val="center"/>
              <w:rPr>
                <w:b/>
                <w:bCs/>
                <w:color w:val="auto"/>
                <w:sz w:val="21"/>
                <w:szCs w:val="21"/>
              </w:rPr>
            </w:pPr>
            <w:r>
              <w:rPr>
                <w:b/>
                <w:bCs/>
                <w:color w:val="auto"/>
                <w:sz w:val="21"/>
                <w:szCs w:val="21"/>
                <w:lang w:bidi="ar"/>
              </w:rPr>
              <w:t>植被型</w:t>
            </w:r>
          </w:p>
        </w:tc>
        <w:tc>
          <w:tcPr>
            <w:tcW w:w="908" w:type="dxa"/>
            <w:vMerge w:val="restart"/>
            <w:tcBorders>
              <w:tl2br w:val="nil"/>
              <w:tr2bl w:val="nil"/>
            </w:tcBorders>
            <w:noWrap/>
            <w:tcMar>
              <w:top w:w="15" w:type="dxa"/>
              <w:left w:w="15" w:type="dxa"/>
              <w:right w:w="15" w:type="dxa"/>
            </w:tcMar>
            <w:vAlign w:val="center"/>
          </w:tcPr>
          <w:p w14:paraId="7CFA38A9">
            <w:pPr>
              <w:pStyle w:val="34"/>
              <w:tabs>
                <w:tab w:val="left" w:pos="1389"/>
              </w:tabs>
              <w:spacing w:line="240" w:lineRule="auto"/>
              <w:jc w:val="center"/>
              <w:rPr>
                <w:b/>
                <w:bCs/>
                <w:color w:val="auto"/>
                <w:sz w:val="21"/>
                <w:szCs w:val="21"/>
              </w:rPr>
            </w:pPr>
            <w:r>
              <w:rPr>
                <w:b/>
                <w:bCs/>
                <w:color w:val="auto"/>
                <w:sz w:val="21"/>
                <w:szCs w:val="21"/>
                <w:lang w:bidi="ar"/>
              </w:rPr>
              <w:t>植被亚型</w:t>
            </w:r>
          </w:p>
        </w:tc>
        <w:tc>
          <w:tcPr>
            <w:tcW w:w="1000" w:type="dxa"/>
            <w:vMerge w:val="restart"/>
            <w:tcBorders>
              <w:tl2br w:val="nil"/>
              <w:tr2bl w:val="nil"/>
            </w:tcBorders>
            <w:noWrap/>
            <w:tcMar>
              <w:top w:w="15" w:type="dxa"/>
              <w:left w:w="15" w:type="dxa"/>
              <w:right w:w="15" w:type="dxa"/>
            </w:tcMar>
            <w:vAlign w:val="center"/>
          </w:tcPr>
          <w:p w14:paraId="2AECF3D8">
            <w:pPr>
              <w:pStyle w:val="34"/>
              <w:tabs>
                <w:tab w:val="left" w:pos="1389"/>
              </w:tabs>
              <w:spacing w:line="240" w:lineRule="auto"/>
              <w:jc w:val="center"/>
              <w:rPr>
                <w:b/>
                <w:bCs/>
                <w:color w:val="auto"/>
                <w:sz w:val="21"/>
                <w:szCs w:val="21"/>
                <w:lang w:bidi="ar"/>
              </w:rPr>
            </w:pPr>
            <w:r>
              <w:rPr>
                <w:b/>
                <w:bCs/>
                <w:color w:val="auto"/>
                <w:sz w:val="21"/>
                <w:szCs w:val="21"/>
                <w:lang w:bidi="ar"/>
              </w:rPr>
              <w:t>群系</w:t>
            </w:r>
          </w:p>
        </w:tc>
        <w:tc>
          <w:tcPr>
            <w:tcW w:w="1221" w:type="dxa"/>
            <w:vMerge w:val="restart"/>
            <w:tcBorders>
              <w:tl2br w:val="nil"/>
              <w:tr2bl w:val="nil"/>
            </w:tcBorders>
            <w:noWrap/>
            <w:tcMar>
              <w:top w:w="15" w:type="dxa"/>
              <w:left w:w="15" w:type="dxa"/>
              <w:right w:w="15" w:type="dxa"/>
            </w:tcMar>
            <w:vAlign w:val="center"/>
          </w:tcPr>
          <w:p w14:paraId="25B6D473">
            <w:pPr>
              <w:pStyle w:val="34"/>
              <w:tabs>
                <w:tab w:val="left" w:pos="1389"/>
              </w:tabs>
              <w:spacing w:line="240" w:lineRule="auto"/>
              <w:jc w:val="center"/>
              <w:rPr>
                <w:rFonts w:hint="default" w:eastAsia="宋体"/>
                <w:b/>
                <w:bCs/>
                <w:color w:val="auto"/>
                <w:sz w:val="21"/>
                <w:szCs w:val="21"/>
                <w:lang w:val="en-US" w:eastAsia="zh-CN" w:bidi="ar"/>
              </w:rPr>
            </w:pPr>
            <w:r>
              <w:rPr>
                <w:rFonts w:hint="eastAsia"/>
                <w:b/>
                <w:bCs/>
                <w:color w:val="auto"/>
                <w:sz w:val="21"/>
                <w:szCs w:val="21"/>
                <w:lang w:val="en-US" w:eastAsia="zh-CN" w:bidi="ar"/>
              </w:rPr>
              <w:t>分布区域</w:t>
            </w:r>
          </w:p>
        </w:tc>
        <w:tc>
          <w:tcPr>
            <w:tcW w:w="2058" w:type="dxa"/>
            <w:gridSpan w:val="2"/>
            <w:tcBorders>
              <w:tl2br w:val="nil"/>
              <w:tr2bl w:val="nil"/>
            </w:tcBorders>
            <w:noWrap/>
            <w:tcMar>
              <w:top w:w="15" w:type="dxa"/>
              <w:left w:w="15" w:type="dxa"/>
              <w:right w:w="15" w:type="dxa"/>
            </w:tcMar>
            <w:vAlign w:val="center"/>
          </w:tcPr>
          <w:p w14:paraId="17B4F709">
            <w:pPr>
              <w:pStyle w:val="34"/>
              <w:tabs>
                <w:tab w:val="left" w:pos="1389"/>
              </w:tabs>
              <w:spacing w:line="240" w:lineRule="auto"/>
              <w:jc w:val="center"/>
              <w:rPr>
                <w:rStyle w:val="32"/>
                <w:rFonts w:hint="default" w:ascii="Times New Roman" w:hAnsi="Times New Roman" w:eastAsia="宋体"/>
                <w:b/>
                <w:bCs/>
                <w:color w:val="auto"/>
                <w:sz w:val="21"/>
                <w:szCs w:val="21"/>
                <w:highlight w:val="none"/>
                <w:lang w:val="en-US" w:eastAsia="zh-CN" w:bidi="ar"/>
              </w:rPr>
            </w:pPr>
            <w:r>
              <w:rPr>
                <w:rStyle w:val="32"/>
                <w:rFonts w:hint="eastAsia"/>
                <w:b/>
                <w:bCs/>
                <w:color w:val="auto"/>
                <w:sz w:val="21"/>
                <w:szCs w:val="21"/>
                <w:highlight w:val="none"/>
                <w:lang w:val="en-US" w:eastAsia="zh-CN" w:bidi="ar"/>
              </w:rPr>
              <w:t>工程占用情况</w:t>
            </w:r>
          </w:p>
        </w:tc>
        <w:tc>
          <w:tcPr>
            <w:tcW w:w="2058" w:type="dxa"/>
            <w:gridSpan w:val="2"/>
            <w:tcBorders>
              <w:tl2br w:val="nil"/>
              <w:tr2bl w:val="nil"/>
            </w:tcBorders>
            <w:noWrap/>
            <w:tcMar>
              <w:top w:w="15" w:type="dxa"/>
              <w:left w:w="15" w:type="dxa"/>
              <w:right w:w="15" w:type="dxa"/>
            </w:tcMar>
            <w:vAlign w:val="center"/>
          </w:tcPr>
          <w:p w14:paraId="252407FE">
            <w:pPr>
              <w:pStyle w:val="34"/>
              <w:tabs>
                <w:tab w:val="left" w:pos="1389"/>
              </w:tabs>
              <w:spacing w:line="240" w:lineRule="auto"/>
              <w:jc w:val="center"/>
              <w:rPr>
                <w:rStyle w:val="32"/>
                <w:rFonts w:hint="eastAsia"/>
                <w:b/>
                <w:bCs/>
                <w:color w:val="auto"/>
                <w:sz w:val="21"/>
                <w:szCs w:val="21"/>
                <w:highlight w:val="none"/>
                <w:lang w:val="en-US" w:eastAsia="zh-CN" w:bidi="ar"/>
              </w:rPr>
            </w:pPr>
            <w:r>
              <w:rPr>
                <w:rFonts w:hint="default" w:ascii="Times New Roman" w:hAnsi="Times New Roman" w:eastAsia="宋体" w:cs="Times New Roman"/>
                <w:b/>
                <w:bCs/>
                <w:color w:val="auto"/>
                <w:sz w:val="21"/>
                <w:szCs w:val="21"/>
                <w:lang w:val="en-US" w:eastAsia="zh-CN"/>
              </w:rPr>
              <w:t>评价区情况</w:t>
            </w:r>
          </w:p>
        </w:tc>
      </w:tr>
      <w:tr w14:paraId="36ECF78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675" w:type="dxa"/>
            <w:vMerge w:val="continue"/>
            <w:tcBorders>
              <w:tl2br w:val="nil"/>
              <w:tr2bl w:val="nil"/>
            </w:tcBorders>
            <w:noWrap/>
            <w:tcMar>
              <w:top w:w="15" w:type="dxa"/>
              <w:left w:w="15" w:type="dxa"/>
              <w:right w:w="15" w:type="dxa"/>
            </w:tcMar>
            <w:vAlign w:val="center"/>
          </w:tcPr>
          <w:p w14:paraId="2331389D">
            <w:pPr>
              <w:pStyle w:val="34"/>
              <w:tabs>
                <w:tab w:val="left" w:pos="1389"/>
              </w:tabs>
              <w:spacing w:line="240" w:lineRule="auto"/>
              <w:jc w:val="center"/>
              <w:rPr>
                <w:rFonts w:hint="eastAsia"/>
                <w:b/>
                <w:bCs/>
                <w:color w:val="auto"/>
                <w:sz w:val="21"/>
                <w:szCs w:val="21"/>
                <w:lang w:val="en-US" w:eastAsia="zh-CN" w:bidi="ar"/>
              </w:rPr>
            </w:pPr>
          </w:p>
        </w:tc>
        <w:tc>
          <w:tcPr>
            <w:tcW w:w="817" w:type="dxa"/>
            <w:vMerge w:val="continue"/>
            <w:tcBorders>
              <w:tl2br w:val="nil"/>
              <w:tr2bl w:val="nil"/>
            </w:tcBorders>
            <w:noWrap/>
            <w:tcMar>
              <w:top w:w="15" w:type="dxa"/>
              <w:left w:w="15" w:type="dxa"/>
              <w:right w:w="15" w:type="dxa"/>
            </w:tcMar>
            <w:vAlign w:val="center"/>
          </w:tcPr>
          <w:p w14:paraId="145683A2">
            <w:pPr>
              <w:pStyle w:val="34"/>
              <w:tabs>
                <w:tab w:val="left" w:pos="1389"/>
              </w:tabs>
              <w:spacing w:line="240" w:lineRule="auto"/>
              <w:jc w:val="center"/>
              <w:rPr>
                <w:b/>
                <w:bCs/>
                <w:color w:val="auto"/>
                <w:sz w:val="21"/>
                <w:szCs w:val="21"/>
                <w:lang w:bidi="ar"/>
              </w:rPr>
            </w:pPr>
          </w:p>
        </w:tc>
        <w:tc>
          <w:tcPr>
            <w:tcW w:w="908" w:type="dxa"/>
            <w:vMerge w:val="continue"/>
            <w:tcBorders>
              <w:tl2br w:val="nil"/>
              <w:tr2bl w:val="nil"/>
            </w:tcBorders>
            <w:noWrap/>
            <w:tcMar>
              <w:top w:w="15" w:type="dxa"/>
              <w:left w:w="15" w:type="dxa"/>
              <w:right w:w="15" w:type="dxa"/>
            </w:tcMar>
            <w:vAlign w:val="center"/>
          </w:tcPr>
          <w:p w14:paraId="5E908856">
            <w:pPr>
              <w:pStyle w:val="34"/>
              <w:tabs>
                <w:tab w:val="left" w:pos="1389"/>
              </w:tabs>
              <w:spacing w:line="240" w:lineRule="auto"/>
              <w:jc w:val="center"/>
              <w:rPr>
                <w:b/>
                <w:bCs/>
                <w:color w:val="auto"/>
                <w:sz w:val="21"/>
                <w:szCs w:val="21"/>
                <w:lang w:bidi="ar"/>
              </w:rPr>
            </w:pPr>
          </w:p>
        </w:tc>
        <w:tc>
          <w:tcPr>
            <w:tcW w:w="1000" w:type="dxa"/>
            <w:vMerge w:val="continue"/>
            <w:tcBorders>
              <w:tl2br w:val="nil"/>
              <w:tr2bl w:val="nil"/>
            </w:tcBorders>
            <w:noWrap/>
            <w:tcMar>
              <w:top w:w="15" w:type="dxa"/>
              <w:left w:w="15" w:type="dxa"/>
              <w:right w:w="15" w:type="dxa"/>
            </w:tcMar>
            <w:vAlign w:val="center"/>
          </w:tcPr>
          <w:p w14:paraId="2795E784">
            <w:pPr>
              <w:pStyle w:val="34"/>
              <w:tabs>
                <w:tab w:val="left" w:pos="1389"/>
              </w:tabs>
              <w:spacing w:line="240" w:lineRule="auto"/>
              <w:jc w:val="center"/>
              <w:rPr>
                <w:b/>
                <w:bCs/>
                <w:color w:val="auto"/>
                <w:sz w:val="21"/>
                <w:szCs w:val="21"/>
                <w:lang w:bidi="ar"/>
              </w:rPr>
            </w:pPr>
          </w:p>
        </w:tc>
        <w:tc>
          <w:tcPr>
            <w:tcW w:w="1221" w:type="dxa"/>
            <w:vMerge w:val="continue"/>
            <w:tcBorders>
              <w:tl2br w:val="nil"/>
              <w:tr2bl w:val="nil"/>
            </w:tcBorders>
            <w:noWrap/>
            <w:tcMar>
              <w:top w:w="15" w:type="dxa"/>
              <w:left w:w="15" w:type="dxa"/>
              <w:right w:w="15" w:type="dxa"/>
            </w:tcMar>
            <w:vAlign w:val="center"/>
          </w:tcPr>
          <w:p w14:paraId="5E3E5054">
            <w:pPr>
              <w:pStyle w:val="34"/>
              <w:tabs>
                <w:tab w:val="left" w:pos="1389"/>
              </w:tabs>
              <w:spacing w:line="240" w:lineRule="auto"/>
              <w:jc w:val="center"/>
              <w:rPr>
                <w:rFonts w:hint="eastAsia"/>
                <w:b/>
                <w:bCs/>
                <w:color w:val="auto"/>
                <w:sz w:val="21"/>
                <w:szCs w:val="21"/>
                <w:lang w:val="en-US" w:eastAsia="zh-CN" w:bidi="ar"/>
              </w:rPr>
            </w:pPr>
          </w:p>
        </w:tc>
        <w:tc>
          <w:tcPr>
            <w:tcW w:w="1029" w:type="dxa"/>
            <w:tcBorders>
              <w:tl2br w:val="nil"/>
              <w:tr2bl w:val="nil"/>
            </w:tcBorders>
            <w:noWrap/>
            <w:tcMar>
              <w:top w:w="15" w:type="dxa"/>
              <w:left w:w="15" w:type="dxa"/>
              <w:right w:w="15" w:type="dxa"/>
            </w:tcMar>
            <w:vAlign w:val="center"/>
          </w:tcPr>
          <w:p w14:paraId="4A277756">
            <w:pPr>
              <w:pStyle w:val="34"/>
              <w:tabs>
                <w:tab w:val="left" w:pos="1389"/>
              </w:tabs>
              <w:spacing w:line="240" w:lineRule="auto"/>
              <w:ind w:firstLine="0" w:firstLineChars="0"/>
              <w:jc w:val="center"/>
              <w:rPr>
                <w:b/>
                <w:bCs/>
                <w:color w:val="auto"/>
                <w:sz w:val="21"/>
                <w:szCs w:val="21"/>
                <w:highlight w:val="none"/>
                <w:lang w:bidi="ar"/>
              </w:rPr>
            </w:pPr>
            <w:r>
              <w:rPr>
                <w:b/>
                <w:bCs/>
                <w:color w:val="auto"/>
                <w:sz w:val="21"/>
                <w:szCs w:val="21"/>
                <w:highlight w:val="none"/>
                <w:lang w:bidi="ar"/>
              </w:rPr>
              <w:t>面积（</w:t>
            </w:r>
            <w:r>
              <w:rPr>
                <w:rFonts w:hint="default"/>
                <w:b/>
                <w:bCs/>
                <w:color w:val="auto"/>
                <w:sz w:val="21"/>
                <w:szCs w:val="21"/>
                <w:highlight w:val="none"/>
              </w:rPr>
              <w:t>hm</w:t>
            </w:r>
            <w:r>
              <w:rPr>
                <w:rFonts w:hint="default"/>
                <w:b/>
                <w:bCs/>
                <w:color w:val="auto"/>
                <w:sz w:val="21"/>
                <w:szCs w:val="21"/>
                <w:highlight w:val="none"/>
                <w:vertAlign w:val="superscript"/>
              </w:rPr>
              <w:t>2</w:t>
            </w:r>
            <w:r>
              <w:rPr>
                <w:rStyle w:val="32"/>
                <w:rFonts w:hint="default" w:ascii="Times New Roman" w:hAnsi="Times New Roman"/>
                <w:b/>
                <w:bCs/>
                <w:color w:val="auto"/>
                <w:sz w:val="21"/>
                <w:szCs w:val="21"/>
                <w:highlight w:val="none"/>
                <w:lang w:bidi="ar"/>
              </w:rPr>
              <w:t>）</w:t>
            </w:r>
          </w:p>
        </w:tc>
        <w:tc>
          <w:tcPr>
            <w:tcW w:w="1029" w:type="dxa"/>
            <w:tcBorders>
              <w:tl2br w:val="nil"/>
              <w:tr2bl w:val="nil"/>
            </w:tcBorders>
            <w:noWrap/>
            <w:tcMar>
              <w:top w:w="15" w:type="dxa"/>
              <w:left w:w="15" w:type="dxa"/>
              <w:right w:w="15" w:type="dxa"/>
            </w:tcMar>
            <w:vAlign w:val="center"/>
          </w:tcPr>
          <w:p w14:paraId="172E9DE7">
            <w:pPr>
              <w:pStyle w:val="34"/>
              <w:tabs>
                <w:tab w:val="left" w:pos="1389"/>
              </w:tabs>
              <w:spacing w:line="240" w:lineRule="auto"/>
              <w:ind w:firstLine="0" w:firstLineChars="0"/>
              <w:jc w:val="center"/>
              <w:rPr>
                <w:b/>
                <w:bCs/>
                <w:color w:val="auto"/>
                <w:sz w:val="21"/>
                <w:szCs w:val="21"/>
                <w:highlight w:val="none"/>
                <w:lang w:bidi="ar"/>
              </w:rPr>
            </w:pPr>
            <w:r>
              <w:rPr>
                <w:b/>
                <w:bCs/>
                <w:color w:val="auto"/>
                <w:sz w:val="21"/>
                <w:szCs w:val="21"/>
                <w:highlight w:val="none"/>
                <w:lang w:bidi="ar"/>
              </w:rPr>
              <w:t>比例（</w:t>
            </w:r>
            <w:r>
              <w:rPr>
                <w:rStyle w:val="40"/>
                <w:b/>
                <w:bCs/>
                <w:color w:val="auto"/>
                <w:sz w:val="21"/>
                <w:szCs w:val="21"/>
                <w:highlight w:val="none"/>
                <w:lang w:bidi="ar"/>
              </w:rPr>
              <w:t>%</w:t>
            </w:r>
            <w:r>
              <w:rPr>
                <w:rStyle w:val="32"/>
                <w:rFonts w:hint="default" w:ascii="Times New Roman" w:hAnsi="Times New Roman"/>
                <w:b/>
                <w:bCs/>
                <w:color w:val="auto"/>
                <w:sz w:val="21"/>
                <w:szCs w:val="21"/>
                <w:highlight w:val="none"/>
                <w:lang w:bidi="ar"/>
              </w:rPr>
              <w:t>）</w:t>
            </w:r>
          </w:p>
        </w:tc>
        <w:tc>
          <w:tcPr>
            <w:tcW w:w="1029" w:type="dxa"/>
            <w:tcBorders>
              <w:tl2br w:val="nil"/>
              <w:tr2bl w:val="nil"/>
            </w:tcBorders>
            <w:noWrap/>
            <w:tcMar>
              <w:top w:w="15" w:type="dxa"/>
              <w:left w:w="15" w:type="dxa"/>
              <w:right w:w="15" w:type="dxa"/>
            </w:tcMar>
            <w:vAlign w:val="center"/>
          </w:tcPr>
          <w:p w14:paraId="328C5F99">
            <w:pPr>
              <w:pStyle w:val="34"/>
              <w:tabs>
                <w:tab w:val="left" w:pos="1389"/>
              </w:tabs>
              <w:spacing w:line="240" w:lineRule="auto"/>
              <w:ind w:right="38" w:rightChars="16" w:firstLine="0" w:firstLineChars="0"/>
              <w:jc w:val="center"/>
              <w:rPr>
                <w:b/>
                <w:bCs/>
                <w:color w:val="auto"/>
                <w:sz w:val="21"/>
                <w:szCs w:val="21"/>
                <w:highlight w:val="none"/>
                <w:lang w:bidi="ar"/>
              </w:rPr>
            </w:pPr>
            <w:r>
              <w:rPr>
                <w:b/>
                <w:bCs/>
                <w:color w:val="auto"/>
                <w:sz w:val="21"/>
                <w:szCs w:val="21"/>
                <w:highlight w:val="none"/>
                <w:lang w:bidi="ar"/>
              </w:rPr>
              <w:t>面积</w:t>
            </w:r>
          </w:p>
          <w:p w14:paraId="6FB4F7F1">
            <w:pPr>
              <w:pStyle w:val="34"/>
              <w:tabs>
                <w:tab w:val="left" w:pos="1389"/>
              </w:tabs>
              <w:spacing w:line="240" w:lineRule="auto"/>
              <w:ind w:right="38" w:rightChars="16" w:firstLine="0" w:firstLineChars="0"/>
              <w:jc w:val="center"/>
              <w:rPr>
                <w:rFonts w:hint="eastAsia"/>
                <w:b/>
                <w:bCs/>
                <w:color w:val="auto"/>
                <w:sz w:val="21"/>
                <w:szCs w:val="21"/>
                <w:highlight w:val="none"/>
                <w:lang w:val="en-US" w:eastAsia="zh-CN" w:bidi="ar"/>
              </w:rPr>
            </w:pPr>
            <w:r>
              <w:rPr>
                <w:b/>
                <w:bCs/>
                <w:color w:val="auto"/>
                <w:sz w:val="21"/>
                <w:szCs w:val="21"/>
                <w:highlight w:val="none"/>
                <w:lang w:bidi="ar"/>
              </w:rPr>
              <w:t>（</w:t>
            </w:r>
            <w:r>
              <w:rPr>
                <w:rFonts w:hint="default"/>
                <w:b/>
                <w:bCs/>
                <w:color w:val="auto"/>
                <w:sz w:val="21"/>
                <w:szCs w:val="21"/>
                <w:highlight w:val="none"/>
              </w:rPr>
              <w:t>hm</w:t>
            </w:r>
            <w:r>
              <w:rPr>
                <w:rFonts w:hint="default"/>
                <w:b/>
                <w:bCs/>
                <w:color w:val="auto"/>
                <w:sz w:val="21"/>
                <w:szCs w:val="21"/>
                <w:highlight w:val="none"/>
                <w:vertAlign w:val="superscript"/>
              </w:rPr>
              <w:t>2</w:t>
            </w:r>
            <w:r>
              <w:rPr>
                <w:rStyle w:val="32"/>
                <w:rFonts w:hint="default" w:ascii="Times New Roman" w:hAnsi="Times New Roman"/>
                <w:b/>
                <w:bCs/>
                <w:color w:val="auto"/>
                <w:sz w:val="21"/>
                <w:szCs w:val="21"/>
                <w:highlight w:val="none"/>
                <w:lang w:bidi="ar"/>
              </w:rPr>
              <w:t>）</w:t>
            </w:r>
          </w:p>
        </w:tc>
        <w:tc>
          <w:tcPr>
            <w:tcW w:w="1029" w:type="dxa"/>
            <w:tcBorders>
              <w:tl2br w:val="nil"/>
              <w:tr2bl w:val="nil"/>
            </w:tcBorders>
            <w:noWrap/>
            <w:tcMar>
              <w:top w:w="15" w:type="dxa"/>
              <w:left w:w="15" w:type="dxa"/>
              <w:right w:w="15" w:type="dxa"/>
            </w:tcMar>
            <w:vAlign w:val="center"/>
          </w:tcPr>
          <w:p w14:paraId="0B96C10A">
            <w:pPr>
              <w:pStyle w:val="34"/>
              <w:tabs>
                <w:tab w:val="left" w:pos="1389"/>
              </w:tabs>
              <w:spacing w:line="240" w:lineRule="auto"/>
              <w:ind w:right="38" w:rightChars="16" w:firstLine="0" w:firstLineChars="0"/>
              <w:jc w:val="center"/>
              <w:rPr>
                <w:rFonts w:hint="eastAsia"/>
                <w:b/>
                <w:bCs/>
                <w:color w:val="auto"/>
                <w:sz w:val="21"/>
                <w:szCs w:val="21"/>
                <w:highlight w:val="none"/>
                <w:lang w:val="en-US" w:eastAsia="zh-CN" w:bidi="ar"/>
              </w:rPr>
            </w:pPr>
            <w:r>
              <w:rPr>
                <w:rFonts w:hint="eastAsia"/>
                <w:b/>
                <w:bCs/>
                <w:color w:val="auto"/>
                <w:sz w:val="21"/>
                <w:szCs w:val="21"/>
                <w:highlight w:val="none"/>
                <w:lang w:val="en-US" w:eastAsia="zh-CN" w:bidi="ar"/>
              </w:rPr>
              <w:t>占比</w:t>
            </w:r>
            <w:r>
              <w:rPr>
                <w:b/>
                <w:bCs/>
                <w:color w:val="auto"/>
                <w:sz w:val="21"/>
                <w:szCs w:val="21"/>
                <w:highlight w:val="none"/>
                <w:lang w:bidi="ar"/>
              </w:rPr>
              <w:t>（</w:t>
            </w:r>
            <w:r>
              <w:rPr>
                <w:rStyle w:val="40"/>
                <w:b/>
                <w:bCs/>
                <w:color w:val="auto"/>
                <w:sz w:val="21"/>
                <w:szCs w:val="21"/>
                <w:highlight w:val="none"/>
                <w:lang w:bidi="ar"/>
              </w:rPr>
              <w:t>%</w:t>
            </w:r>
            <w:r>
              <w:rPr>
                <w:rStyle w:val="32"/>
                <w:rFonts w:hint="default" w:ascii="Times New Roman" w:hAnsi="Times New Roman"/>
                <w:b/>
                <w:bCs/>
                <w:color w:val="auto"/>
                <w:sz w:val="21"/>
                <w:szCs w:val="21"/>
                <w:highlight w:val="none"/>
                <w:lang w:bidi="ar"/>
              </w:rPr>
              <w:t>）</w:t>
            </w:r>
          </w:p>
        </w:tc>
      </w:tr>
      <w:tr w14:paraId="6E4B0F7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675" w:type="dxa"/>
            <w:vMerge w:val="restart"/>
            <w:tcBorders>
              <w:tl2br w:val="nil"/>
              <w:tr2bl w:val="nil"/>
            </w:tcBorders>
            <w:noWrap/>
            <w:tcMar>
              <w:top w:w="15" w:type="dxa"/>
              <w:left w:w="15" w:type="dxa"/>
              <w:right w:w="15" w:type="dxa"/>
            </w:tcMar>
            <w:vAlign w:val="center"/>
          </w:tcPr>
          <w:p w14:paraId="02CBAD1F">
            <w:pPr>
              <w:pStyle w:val="34"/>
              <w:tabs>
                <w:tab w:val="left" w:pos="1389"/>
              </w:tabs>
              <w:ind w:firstLine="0" w:firstLineChars="0"/>
              <w:jc w:val="center"/>
              <w:rPr>
                <w:rFonts w:hint="eastAsia" w:eastAsia="宋体"/>
                <w:color w:val="auto"/>
                <w:sz w:val="21"/>
                <w:szCs w:val="21"/>
                <w:lang w:val="en-US" w:eastAsia="zh-CN"/>
              </w:rPr>
            </w:pPr>
            <w:r>
              <w:rPr>
                <w:rFonts w:hint="eastAsia"/>
                <w:color w:val="auto"/>
                <w:sz w:val="21"/>
                <w:szCs w:val="21"/>
                <w:lang w:val="en-US" w:eastAsia="zh-CN"/>
              </w:rPr>
              <w:t>阔叶林</w:t>
            </w:r>
          </w:p>
        </w:tc>
        <w:tc>
          <w:tcPr>
            <w:tcW w:w="817" w:type="dxa"/>
            <w:tcBorders>
              <w:tl2br w:val="nil"/>
              <w:tr2bl w:val="nil"/>
            </w:tcBorders>
            <w:noWrap/>
            <w:tcMar>
              <w:top w:w="15" w:type="dxa"/>
              <w:left w:w="15" w:type="dxa"/>
              <w:right w:w="15" w:type="dxa"/>
            </w:tcMar>
            <w:vAlign w:val="center"/>
          </w:tcPr>
          <w:p w14:paraId="39FDC76D">
            <w:pPr>
              <w:pStyle w:val="34"/>
              <w:tabs>
                <w:tab w:val="left" w:pos="1389"/>
              </w:tabs>
              <w:ind w:firstLine="0" w:firstLineChars="0"/>
              <w:jc w:val="center"/>
              <w:rPr>
                <w:rFonts w:hint="eastAsia"/>
                <w:color w:val="auto"/>
                <w:sz w:val="21"/>
                <w:szCs w:val="21"/>
              </w:rPr>
            </w:pPr>
            <w:r>
              <w:rPr>
                <w:rFonts w:hint="eastAsia"/>
                <w:color w:val="auto"/>
                <w:sz w:val="21"/>
                <w:szCs w:val="21"/>
              </w:rPr>
              <w:t>常绿阔叶林</w:t>
            </w:r>
          </w:p>
        </w:tc>
        <w:tc>
          <w:tcPr>
            <w:tcW w:w="908" w:type="dxa"/>
            <w:tcBorders>
              <w:tl2br w:val="nil"/>
              <w:tr2bl w:val="nil"/>
            </w:tcBorders>
            <w:noWrap/>
            <w:tcMar>
              <w:top w:w="15" w:type="dxa"/>
              <w:left w:w="15" w:type="dxa"/>
              <w:right w:w="15" w:type="dxa"/>
            </w:tcMar>
            <w:vAlign w:val="center"/>
          </w:tcPr>
          <w:p w14:paraId="17BAAC18">
            <w:pPr>
              <w:pStyle w:val="34"/>
              <w:tabs>
                <w:tab w:val="left" w:pos="1389"/>
              </w:tabs>
              <w:ind w:firstLine="0" w:firstLineChars="0"/>
              <w:jc w:val="center"/>
              <w:rPr>
                <w:color w:val="auto"/>
                <w:sz w:val="21"/>
                <w:szCs w:val="21"/>
              </w:rPr>
            </w:pPr>
            <w:r>
              <w:rPr>
                <w:rFonts w:hint="eastAsia" w:cs="Times New Roman"/>
                <w:color w:val="auto"/>
                <w:sz w:val="21"/>
                <w:szCs w:val="21"/>
                <w:highlight w:val="none"/>
                <w:lang w:val="en-US" w:eastAsia="zh-CN"/>
              </w:rPr>
              <w:t>半湿润</w:t>
            </w:r>
            <w:r>
              <w:rPr>
                <w:rFonts w:hint="default" w:ascii="Times New Roman" w:hAnsi="Times New Roman" w:cs="Times New Roman"/>
                <w:color w:val="auto"/>
                <w:sz w:val="21"/>
                <w:szCs w:val="21"/>
                <w:highlight w:val="none"/>
              </w:rPr>
              <w:t>常绿阔叶林</w:t>
            </w:r>
          </w:p>
        </w:tc>
        <w:tc>
          <w:tcPr>
            <w:tcW w:w="1000" w:type="dxa"/>
            <w:tcBorders>
              <w:tl2br w:val="nil"/>
              <w:tr2bl w:val="nil"/>
            </w:tcBorders>
            <w:noWrap/>
            <w:tcMar>
              <w:top w:w="15" w:type="dxa"/>
              <w:left w:w="15" w:type="dxa"/>
              <w:right w:w="15" w:type="dxa"/>
            </w:tcMar>
            <w:vAlign w:val="center"/>
          </w:tcPr>
          <w:p w14:paraId="733A392B">
            <w:pPr>
              <w:pStyle w:val="34"/>
              <w:tabs>
                <w:tab w:val="left" w:pos="1389"/>
              </w:tabs>
              <w:jc w:val="center"/>
              <w:rPr>
                <w:rFonts w:hint="default" w:eastAsia="宋体"/>
                <w:color w:val="auto"/>
                <w:sz w:val="21"/>
                <w:szCs w:val="21"/>
                <w:lang w:val="en-US" w:eastAsia="zh-CN"/>
              </w:rPr>
            </w:pPr>
            <w:r>
              <w:rPr>
                <w:rFonts w:hint="eastAsia"/>
                <w:color w:val="auto"/>
                <w:sz w:val="21"/>
                <w:szCs w:val="21"/>
                <w:lang w:val="en-US" w:eastAsia="zh-CN"/>
              </w:rPr>
              <w:t>滇青冈—滇石栎群落</w:t>
            </w:r>
          </w:p>
        </w:tc>
        <w:tc>
          <w:tcPr>
            <w:tcW w:w="1221" w:type="dxa"/>
            <w:tcBorders>
              <w:tl2br w:val="nil"/>
              <w:tr2bl w:val="nil"/>
            </w:tcBorders>
            <w:noWrap/>
            <w:tcMar>
              <w:top w:w="15" w:type="dxa"/>
              <w:left w:w="15" w:type="dxa"/>
              <w:right w:w="15" w:type="dxa"/>
            </w:tcMar>
            <w:vAlign w:val="center"/>
          </w:tcPr>
          <w:p w14:paraId="70B4C218">
            <w:pPr>
              <w:pStyle w:val="34"/>
              <w:tabs>
                <w:tab w:val="left" w:pos="1389"/>
              </w:tabs>
              <w:jc w:val="center"/>
              <w:rPr>
                <w:rFonts w:hint="default" w:eastAsia="宋体"/>
                <w:color w:val="auto"/>
                <w:sz w:val="21"/>
                <w:szCs w:val="21"/>
                <w:lang w:val="en-US" w:eastAsia="zh-CN"/>
              </w:rPr>
            </w:pPr>
            <w:r>
              <w:rPr>
                <w:rFonts w:hint="eastAsia" w:cs="Times New Roman"/>
                <w:color w:val="auto"/>
                <w:sz w:val="21"/>
                <w:szCs w:val="21"/>
                <w:lang w:val="en-US" w:eastAsia="zh-CN"/>
              </w:rPr>
              <w:t>项目评价区内广泛分布</w:t>
            </w:r>
          </w:p>
        </w:tc>
        <w:tc>
          <w:tcPr>
            <w:tcW w:w="1029" w:type="dxa"/>
            <w:tcBorders>
              <w:tl2br w:val="nil"/>
              <w:tr2bl w:val="nil"/>
            </w:tcBorders>
            <w:noWrap/>
            <w:tcMar>
              <w:top w:w="15" w:type="dxa"/>
              <w:left w:w="15" w:type="dxa"/>
              <w:right w:w="15" w:type="dxa"/>
            </w:tcMar>
            <w:vAlign w:val="center"/>
          </w:tcPr>
          <w:p w14:paraId="4CEFD36F">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55.4841</w:t>
            </w:r>
          </w:p>
        </w:tc>
        <w:tc>
          <w:tcPr>
            <w:tcW w:w="1029" w:type="dxa"/>
            <w:tcBorders>
              <w:tl2br w:val="nil"/>
              <w:tr2bl w:val="nil"/>
            </w:tcBorders>
            <w:noWrap/>
            <w:tcMar>
              <w:top w:w="15" w:type="dxa"/>
              <w:left w:w="15" w:type="dxa"/>
              <w:right w:w="15" w:type="dxa"/>
            </w:tcMar>
            <w:vAlign w:val="center"/>
          </w:tcPr>
          <w:p w14:paraId="0EB55470">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5.30</w:t>
            </w:r>
          </w:p>
        </w:tc>
        <w:tc>
          <w:tcPr>
            <w:tcW w:w="1029" w:type="dxa"/>
            <w:tcBorders>
              <w:tl2br w:val="nil"/>
              <w:tr2bl w:val="nil"/>
            </w:tcBorders>
            <w:noWrap/>
            <w:tcMar>
              <w:top w:w="15" w:type="dxa"/>
              <w:left w:w="15" w:type="dxa"/>
              <w:right w:w="15" w:type="dxa"/>
            </w:tcMar>
            <w:vAlign w:val="center"/>
          </w:tcPr>
          <w:p w14:paraId="7B5C21F2">
            <w:pPr>
              <w:pStyle w:val="34"/>
              <w:tabs>
                <w:tab w:val="left" w:pos="1389"/>
              </w:tabs>
              <w:bidi w:val="0"/>
              <w:rPr>
                <w:rFonts w:hint="default"/>
                <w:color w:val="auto"/>
                <w:lang w:val="en-US" w:eastAsia="zh-CN"/>
              </w:rPr>
            </w:pPr>
            <w:r>
              <w:rPr>
                <w:rFonts w:hint="default"/>
                <w:color w:val="auto"/>
                <w:lang w:val="en-US" w:eastAsia="zh-CN"/>
              </w:rPr>
              <w:t>55.4841</w:t>
            </w:r>
          </w:p>
        </w:tc>
        <w:tc>
          <w:tcPr>
            <w:tcW w:w="1029" w:type="dxa"/>
            <w:tcBorders>
              <w:tl2br w:val="nil"/>
              <w:tr2bl w:val="nil"/>
            </w:tcBorders>
            <w:noWrap/>
            <w:tcMar>
              <w:top w:w="15" w:type="dxa"/>
              <w:left w:w="15" w:type="dxa"/>
              <w:right w:w="15" w:type="dxa"/>
            </w:tcMar>
            <w:vAlign w:val="center"/>
          </w:tcPr>
          <w:p w14:paraId="361026A9">
            <w:pPr>
              <w:pStyle w:val="34"/>
              <w:tabs>
                <w:tab w:val="left" w:pos="1389"/>
              </w:tabs>
              <w:bidi w:val="0"/>
              <w:rPr>
                <w:rFonts w:hint="default"/>
                <w:color w:val="auto"/>
                <w:lang w:val="en-US" w:eastAsia="zh-CN"/>
              </w:rPr>
            </w:pPr>
            <w:r>
              <w:rPr>
                <w:rFonts w:hint="default"/>
                <w:color w:val="auto"/>
                <w:lang w:val="en-US" w:eastAsia="zh-CN"/>
              </w:rPr>
              <w:t>4.89</w:t>
            </w:r>
          </w:p>
        </w:tc>
      </w:tr>
      <w:tr w14:paraId="4B43CB5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675" w:type="dxa"/>
            <w:vMerge w:val="continue"/>
            <w:tcBorders>
              <w:tl2br w:val="nil"/>
              <w:tr2bl w:val="nil"/>
            </w:tcBorders>
            <w:noWrap/>
            <w:tcMar>
              <w:top w:w="15" w:type="dxa"/>
              <w:left w:w="15" w:type="dxa"/>
              <w:right w:w="15" w:type="dxa"/>
            </w:tcMar>
            <w:vAlign w:val="center"/>
          </w:tcPr>
          <w:p w14:paraId="52ADC216">
            <w:pPr>
              <w:pStyle w:val="34"/>
              <w:tabs>
                <w:tab w:val="left" w:pos="1389"/>
              </w:tabs>
              <w:ind w:firstLine="0" w:firstLineChars="0"/>
              <w:jc w:val="center"/>
              <w:rPr>
                <w:rFonts w:hint="eastAsia"/>
                <w:color w:val="auto"/>
                <w:sz w:val="21"/>
                <w:szCs w:val="21"/>
                <w:lang w:val="en-US" w:eastAsia="zh-CN"/>
              </w:rPr>
            </w:pPr>
          </w:p>
        </w:tc>
        <w:tc>
          <w:tcPr>
            <w:tcW w:w="817" w:type="dxa"/>
            <w:tcBorders>
              <w:tl2br w:val="nil"/>
              <w:tr2bl w:val="nil"/>
            </w:tcBorders>
            <w:noWrap/>
            <w:tcMar>
              <w:top w:w="15" w:type="dxa"/>
              <w:left w:w="15" w:type="dxa"/>
              <w:right w:w="15" w:type="dxa"/>
            </w:tcMar>
            <w:vAlign w:val="center"/>
          </w:tcPr>
          <w:p w14:paraId="7F5D6C33">
            <w:pPr>
              <w:pStyle w:val="34"/>
              <w:tabs>
                <w:tab w:val="left" w:pos="1389"/>
              </w:tabs>
              <w:ind w:firstLine="0" w:firstLineChars="0"/>
              <w:jc w:val="center"/>
              <w:rPr>
                <w:rFonts w:hint="default" w:eastAsia="宋体"/>
                <w:color w:val="auto"/>
                <w:sz w:val="21"/>
                <w:szCs w:val="21"/>
                <w:lang w:val="en-US" w:eastAsia="zh-CN"/>
              </w:rPr>
            </w:pPr>
            <w:r>
              <w:rPr>
                <w:rFonts w:hint="eastAsia"/>
                <w:color w:val="auto"/>
                <w:sz w:val="21"/>
                <w:szCs w:val="21"/>
                <w:lang w:val="en-US" w:eastAsia="zh-CN"/>
              </w:rPr>
              <w:t>落叶阔叶林</w:t>
            </w:r>
          </w:p>
        </w:tc>
        <w:tc>
          <w:tcPr>
            <w:tcW w:w="908" w:type="dxa"/>
            <w:tcBorders>
              <w:tl2br w:val="nil"/>
              <w:tr2bl w:val="nil"/>
            </w:tcBorders>
            <w:noWrap/>
            <w:tcMar>
              <w:top w:w="15" w:type="dxa"/>
              <w:left w:w="15" w:type="dxa"/>
              <w:right w:w="15" w:type="dxa"/>
            </w:tcMar>
            <w:vAlign w:val="center"/>
          </w:tcPr>
          <w:p w14:paraId="38A832EE">
            <w:pPr>
              <w:pStyle w:val="34"/>
              <w:tabs>
                <w:tab w:val="left" w:pos="1389"/>
              </w:tabs>
              <w:ind w:firstLine="0" w:firstLineChars="0"/>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旱冬瓜</w:t>
            </w:r>
            <w:r>
              <w:rPr>
                <w:rFonts w:hint="eastAsia" w:ascii="Times New Roman" w:hAnsi="Times New Roman" w:cs="Times New Roman"/>
                <w:color w:val="auto"/>
                <w:sz w:val="21"/>
                <w:szCs w:val="21"/>
                <w:highlight w:val="none"/>
                <w:lang w:val="en-US" w:eastAsia="zh-CN"/>
              </w:rPr>
              <w:t>林</w:t>
            </w:r>
          </w:p>
        </w:tc>
        <w:tc>
          <w:tcPr>
            <w:tcW w:w="1000" w:type="dxa"/>
            <w:tcBorders>
              <w:tl2br w:val="nil"/>
              <w:tr2bl w:val="nil"/>
            </w:tcBorders>
            <w:noWrap/>
            <w:tcMar>
              <w:top w:w="15" w:type="dxa"/>
              <w:left w:w="15" w:type="dxa"/>
              <w:right w:w="15" w:type="dxa"/>
            </w:tcMar>
            <w:vAlign w:val="center"/>
          </w:tcPr>
          <w:p w14:paraId="6FB8E25D">
            <w:pPr>
              <w:pStyle w:val="34"/>
              <w:tabs>
                <w:tab w:val="left" w:pos="1389"/>
              </w:tabs>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旱冬瓜、蕨菜群落</w:t>
            </w:r>
          </w:p>
        </w:tc>
        <w:tc>
          <w:tcPr>
            <w:tcW w:w="1221" w:type="dxa"/>
            <w:tcBorders>
              <w:tl2br w:val="nil"/>
              <w:tr2bl w:val="nil"/>
            </w:tcBorders>
            <w:noWrap/>
            <w:tcMar>
              <w:top w:w="15" w:type="dxa"/>
              <w:left w:w="15" w:type="dxa"/>
              <w:right w:w="15" w:type="dxa"/>
            </w:tcMar>
            <w:vAlign w:val="center"/>
          </w:tcPr>
          <w:p w14:paraId="7AF25921">
            <w:pPr>
              <w:pStyle w:val="34"/>
              <w:tabs>
                <w:tab w:val="left" w:pos="1389"/>
              </w:tabs>
              <w:jc w:val="center"/>
              <w:rPr>
                <w:rFonts w:hint="default" w:eastAsia="宋体"/>
                <w:color w:val="auto"/>
                <w:sz w:val="21"/>
                <w:szCs w:val="21"/>
                <w:lang w:val="en-US" w:eastAsia="zh-CN"/>
              </w:rPr>
            </w:pPr>
            <w:r>
              <w:rPr>
                <w:rFonts w:hint="eastAsia" w:cs="Times New Roman"/>
                <w:color w:val="auto"/>
                <w:sz w:val="21"/>
                <w:szCs w:val="21"/>
                <w:lang w:val="en-US" w:eastAsia="zh-CN"/>
              </w:rPr>
              <w:t>项目评价区内广泛分布</w:t>
            </w:r>
          </w:p>
        </w:tc>
        <w:tc>
          <w:tcPr>
            <w:tcW w:w="1029" w:type="dxa"/>
            <w:tcBorders>
              <w:tl2br w:val="nil"/>
              <w:tr2bl w:val="nil"/>
            </w:tcBorders>
            <w:noWrap/>
            <w:tcMar>
              <w:top w:w="15" w:type="dxa"/>
              <w:left w:w="15" w:type="dxa"/>
              <w:right w:w="15" w:type="dxa"/>
            </w:tcMar>
            <w:vAlign w:val="center"/>
          </w:tcPr>
          <w:p w14:paraId="572BB0FD">
            <w:pPr>
              <w:keepNext w:val="0"/>
              <w:keepLines w:val="0"/>
              <w:widowControl/>
              <w:suppressLineNumbers w:val="0"/>
              <w:jc w:val="center"/>
              <w:textAlignment w:val="center"/>
              <w:rPr>
                <w:rFonts w:hint="default"/>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17.5925</w:t>
            </w:r>
          </w:p>
        </w:tc>
        <w:tc>
          <w:tcPr>
            <w:tcW w:w="1029" w:type="dxa"/>
            <w:tcBorders>
              <w:tl2br w:val="nil"/>
              <w:tr2bl w:val="nil"/>
            </w:tcBorders>
            <w:noWrap/>
            <w:tcMar>
              <w:top w:w="15" w:type="dxa"/>
              <w:left w:w="15" w:type="dxa"/>
              <w:right w:w="15" w:type="dxa"/>
            </w:tcMar>
            <w:vAlign w:val="center"/>
          </w:tcPr>
          <w:p w14:paraId="019E3BD7">
            <w:pPr>
              <w:keepNext w:val="0"/>
              <w:keepLines w:val="0"/>
              <w:widowControl/>
              <w:suppressLineNumbers w:val="0"/>
              <w:jc w:val="center"/>
              <w:textAlignment w:val="center"/>
              <w:rPr>
                <w:rFonts w:hint="default"/>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1.68</w:t>
            </w:r>
          </w:p>
        </w:tc>
        <w:tc>
          <w:tcPr>
            <w:tcW w:w="1029" w:type="dxa"/>
            <w:tcBorders>
              <w:tl2br w:val="nil"/>
              <w:tr2bl w:val="nil"/>
            </w:tcBorders>
            <w:noWrap/>
            <w:tcMar>
              <w:top w:w="15" w:type="dxa"/>
              <w:left w:w="15" w:type="dxa"/>
              <w:right w:w="15" w:type="dxa"/>
            </w:tcMar>
            <w:vAlign w:val="center"/>
          </w:tcPr>
          <w:p w14:paraId="6048E1FC">
            <w:pPr>
              <w:pStyle w:val="34"/>
              <w:tabs>
                <w:tab w:val="left" w:pos="1389"/>
              </w:tabs>
              <w:bidi w:val="0"/>
              <w:rPr>
                <w:rFonts w:hint="eastAsia"/>
                <w:color w:val="auto"/>
                <w:lang w:val="en-US" w:eastAsia="zh-CN"/>
              </w:rPr>
            </w:pPr>
            <w:r>
              <w:rPr>
                <w:rFonts w:hint="default"/>
                <w:color w:val="auto"/>
                <w:lang w:val="en-US" w:eastAsia="zh-CN"/>
              </w:rPr>
              <w:t>17.5925</w:t>
            </w:r>
          </w:p>
        </w:tc>
        <w:tc>
          <w:tcPr>
            <w:tcW w:w="1029" w:type="dxa"/>
            <w:tcBorders>
              <w:tl2br w:val="nil"/>
              <w:tr2bl w:val="nil"/>
            </w:tcBorders>
            <w:noWrap/>
            <w:tcMar>
              <w:top w:w="15" w:type="dxa"/>
              <w:left w:w="15" w:type="dxa"/>
              <w:right w:w="15" w:type="dxa"/>
            </w:tcMar>
            <w:vAlign w:val="center"/>
          </w:tcPr>
          <w:p w14:paraId="79876F6F">
            <w:pPr>
              <w:pStyle w:val="34"/>
              <w:tabs>
                <w:tab w:val="left" w:pos="1389"/>
              </w:tabs>
              <w:bidi w:val="0"/>
              <w:rPr>
                <w:rFonts w:hint="eastAsia"/>
                <w:color w:val="auto"/>
                <w:lang w:val="en-US" w:eastAsia="zh-CN"/>
              </w:rPr>
            </w:pPr>
            <w:r>
              <w:rPr>
                <w:rFonts w:hint="default"/>
                <w:color w:val="auto"/>
                <w:lang w:val="en-US" w:eastAsia="zh-CN"/>
              </w:rPr>
              <w:t>1.55</w:t>
            </w:r>
          </w:p>
        </w:tc>
      </w:tr>
      <w:tr w14:paraId="006F107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675" w:type="dxa"/>
            <w:vMerge w:val="restart"/>
            <w:tcBorders>
              <w:tl2br w:val="nil"/>
              <w:tr2bl w:val="nil"/>
            </w:tcBorders>
            <w:noWrap/>
            <w:tcMar>
              <w:top w:w="15" w:type="dxa"/>
              <w:left w:w="15" w:type="dxa"/>
              <w:right w:w="15" w:type="dxa"/>
            </w:tcMar>
            <w:vAlign w:val="center"/>
          </w:tcPr>
          <w:p w14:paraId="25D29324">
            <w:pPr>
              <w:pStyle w:val="34"/>
              <w:tabs>
                <w:tab w:val="left" w:pos="1389"/>
              </w:tabs>
              <w:ind w:right="38" w:rightChars="16" w:firstLine="0" w:firstLineChars="0"/>
              <w:jc w:val="center"/>
              <w:rPr>
                <w:rFonts w:hint="eastAsia"/>
                <w:color w:val="auto"/>
                <w:sz w:val="21"/>
                <w:szCs w:val="21"/>
                <w:lang w:val="en-US" w:eastAsia="zh-CN"/>
              </w:rPr>
            </w:pPr>
            <w:r>
              <w:rPr>
                <w:rFonts w:hint="eastAsia"/>
                <w:color w:val="auto"/>
                <w:sz w:val="21"/>
                <w:szCs w:val="21"/>
                <w:lang w:val="en-US" w:eastAsia="zh-CN"/>
              </w:rPr>
              <w:t>针叶林</w:t>
            </w:r>
          </w:p>
        </w:tc>
        <w:tc>
          <w:tcPr>
            <w:tcW w:w="817" w:type="dxa"/>
            <w:vMerge w:val="restart"/>
            <w:tcBorders>
              <w:tl2br w:val="nil"/>
              <w:tr2bl w:val="nil"/>
            </w:tcBorders>
            <w:noWrap/>
            <w:tcMar>
              <w:top w:w="15" w:type="dxa"/>
              <w:left w:w="15" w:type="dxa"/>
              <w:right w:w="15" w:type="dxa"/>
            </w:tcMar>
            <w:vAlign w:val="center"/>
          </w:tcPr>
          <w:p w14:paraId="26995459">
            <w:pPr>
              <w:pStyle w:val="34"/>
              <w:tabs>
                <w:tab w:val="left" w:pos="1389"/>
              </w:tabs>
              <w:ind w:right="38" w:rightChars="16" w:firstLine="0" w:firstLineChars="0"/>
              <w:jc w:val="center"/>
              <w:rPr>
                <w:rFonts w:hint="eastAsia"/>
                <w:color w:val="auto"/>
                <w:sz w:val="21"/>
                <w:szCs w:val="21"/>
              </w:rPr>
            </w:pPr>
            <w:r>
              <w:rPr>
                <w:rFonts w:hint="eastAsia"/>
                <w:color w:val="auto"/>
                <w:sz w:val="21"/>
                <w:szCs w:val="21"/>
              </w:rPr>
              <w:t>暖性针叶林</w:t>
            </w:r>
          </w:p>
        </w:tc>
        <w:tc>
          <w:tcPr>
            <w:tcW w:w="908" w:type="dxa"/>
            <w:vMerge w:val="restart"/>
            <w:tcBorders>
              <w:tl2br w:val="nil"/>
              <w:tr2bl w:val="nil"/>
            </w:tcBorders>
            <w:noWrap/>
            <w:tcMar>
              <w:top w:w="15" w:type="dxa"/>
              <w:left w:w="15" w:type="dxa"/>
              <w:right w:w="15" w:type="dxa"/>
            </w:tcMar>
            <w:vAlign w:val="center"/>
          </w:tcPr>
          <w:p w14:paraId="22E0F163">
            <w:pPr>
              <w:pStyle w:val="34"/>
              <w:tabs>
                <w:tab w:val="left" w:pos="1389"/>
              </w:tabs>
              <w:ind w:firstLine="0" w:firstLineChars="0"/>
              <w:jc w:val="center"/>
              <w:rPr>
                <w:rFonts w:hint="eastAsia"/>
                <w:color w:val="auto"/>
                <w:sz w:val="21"/>
                <w:szCs w:val="21"/>
              </w:rPr>
            </w:pPr>
            <w:r>
              <w:rPr>
                <w:rFonts w:hint="eastAsia"/>
                <w:color w:val="auto"/>
                <w:sz w:val="21"/>
                <w:szCs w:val="21"/>
              </w:rPr>
              <w:t>暖</w:t>
            </w:r>
            <w:r>
              <w:rPr>
                <w:rFonts w:hint="eastAsia"/>
                <w:color w:val="auto"/>
                <w:sz w:val="21"/>
                <w:szCs w:val="21"/>
                <w:lang w:val="en-US" w:eastAsia="zh-CN"/>
              </w:rPr>
              <w:t>温</w:t>
            </w:r>
            <w:r>
              <w:rPr>
                <w:rFonts w:hint="eastAsia"/>
                <w:color w:val="auto"/>
                <w:sz w:val="21"/>
                <w:szCs w:val="21"/>
              </w:rPr>
              <w:t>性针叶林</w:t>
            </w:r>
          </w:p>
        </w:tc>
        <w:tc>
          <w:tcPr>
            <w:tcW w:w="1000" w:type="dxa"/>
            <w:tcBorders>
              <w:tl2br w:val="nil"/>
              <w:tr2bl w:val="nil"/>
            </w:tcBorders>
            <w:noWrap/>
            <w:tcMar>
              <w:top w:w="15" w:type="dxa"/>
              <w:left w:w="15" w:type="dxa"/>
              <w:right w:w="15" w:type="dxa"/>
            </w:tcMar>
            <w:vAlign w:val="center"/>
          </w:tcPr>
          <w:p w14:paraId="2C18A67D">
            <w:pPr>
              <w:pStyle w:val="34"/>
              <w:tabs>
                <w:tab w:val="left" w:pos="1389"/>
              </w:tabs>
              <w:jc w:val="center"/>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云南松</w:t>
            </w:r>
            <w:r>
              <w:rPr>
                <w:rFonts w:hint="eastAsia" w:cs="Times New Roman"/>
                <w:color w:val="auto"/>
                <w:sz w:val="21"/>
                <w:szCs w:val="21"/>
                <w:highlight w:val="none"/>
                <w:lang w:val="en-US" w:eastAsia="zh-CN"/>
              </w:rPr>
              <w:t>群落</w:t>
            </w:r>
          </w:p>
        </w:tc>
        <w:tc>
          <w:tcPr>
            <w:tcW w:w="1221" w:type="dxa"/>
            <w:tcBorders>
              <w:tl2br w:val="nil"/>
              <w:tr2bl w:val="nil"/>
            </w:tcBorders>
            <w:noWrap/>
            <w:tcMar>
              <w:top w:w="15" w:type="dxa"/>
              <w:left w:w="15" w:type="dxa"/>
              <w:right w:w="15" w:type="dxa"/>
            </w:tcMar>
            <w:vAlign w:val="center"/>
          </w:tcPr>
          <w:p w14:paraId="238F0446">
            <w:pPr>
              <w:pStyle w:val="34"/>
              <w:tabs>
                <w:tab w:val="left" w:pos="1389"/>
              </w:tabs>
              <w:jc w:val="center"/>
              <w:rPr>
                <w:rFonts w:hint="default" w:eastAsia="宋体"/>
                <w:color w:val="auto"/>
                <w:sz w:val="21"/>
                <w:szCs w:val="21"/>
                <w:highlight w:val="none"/>
                <w:lang w:val="en-US" w:eastAsia="zh-CN"/>
              </w:rPr>
            </w:pPr>
            <w:r>
              <w:rPr>
                <w:rFonts w:hint="eastAsia" w:cs="Times New Roman"/>
                <w:color w:val="auto"/>
                <w:sz w:val="21"/>
                <w:szCs w:val="21"/>
                <w:lang w:val="en-US" w:eastAsia="zh-CN"/>
              </w:rPr>
              <w:t>项目评价区内广泛分布</w:t>
            </w:r>
          </w:p>
        </w:tc>
        <w:tc>
          <w:tcPr>
            <w:tcW w:w="1029" w:type="dxa"/>
            <w:tcBorders>
              <w:tl2br w:val="nil"/>
              <w:tr2bl w:val="nil"/>
            </w:tcBorders>
            <w:noWrap/>
            <w:tcMar>
              <w:top w:w="15" w:type="dxa"/>
              <w:left w:w="15" w:type="dxa"/>
              <w:right w:w="15" w:type="dxa"/>
            </w:tcMar>
            <w:vAlign w:val="center"/>
          </w:tcPr>
          <w:p w14:paraId="1017C495">
            <w:pPr>
              <w:keepNext w:val="0"/>
              <w:keepLines w:val="0"/>
              <w:widowControl/>
              <w:suppressLineNumbers w:val="0"/>
              <w:jc w:val="center"/>
              <w:textAlignment w:val="center"/>
              <w:rPr>
                <w:rFonts w:hint="default"/>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256.4229</w:t>
            </w:r>
          </w:p>
        </w:tc>
        <w:tc>
          <w:tcPr>
            <w:tcW w:w="1029" w:type="dxa"/>
            <w:tcBorders>
              <w:tl2br w:val="nil"/>
              <w:tr2bl w:val="nil"/>
            </w:tcBorders>
            <w:noWrap/>
            <w:tcMar>
              <w:top w:w="15" w:type="dxa"/>
              <w:left w:w="15" w:type="dxa"/>
              <w:right w:w="15" w:type="dxa"/>
            </w:tcMar>
            <w:vAlign w:val="center"/>
          </w:tcPr>
          <w:p w14:paraId="30C7300D">
            <w:pPr>
              <w:keepNext w:val="0"/>
              <w:keepLines w:val="0"/>
              <w:widowControl/>
              <w:suppressLineNumbers w:val="0"/>
              <w:jc w:val="center"/>
              <w:textAlignment w:val="center"/>
              <w:rPr>
                <w:rFonts w:hint="default"/>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24.51</w:t>
            </w:r>
          </w:p>
        </w:tc>
        <w:tc>
          <w:tcPr>
            <w:tcW w:w="1029" w:type="dxa"/>
            <w:tcBorders>
              <w:tl2br w:val="nil"/>
              <w:tr2bl w:val="nil"/>
            </w:tcBorders>
            <w:noWrap/>
            <w:tcMar>
              <w:top w:w="15" w:type="dxa"/>
              <w:left w:w="15" w:type="dxa"/>
              <w:right w:w="15" w:type="dxa"/>
            </w:tcMar>
            <w:vAlign w:val="center"/>
          </w:tcPr>
          <w:p w14:paraId="10484EBC">
            <w:pPr>
              <w:pStyle w:val="34"/>
              <w:tabs>
                <w:tab w:val="left" w:pos="1389"/>
              </w:tabs>
              <w:bidi w:val="0"/>
              <w:rPr>
                <w:rFonts w:hint="eastAsia"/>
                <w:color w:val="auto"/>
                <w:lang w:val="en-US" w:eastAsia="zh-CN"/>
              </w:rPr>
            </w:pPr>
            <w:r>
              <w:rPr>
                <w:rFonts w:hint="default"/>
                <w:color w:val="auto"/>
                <w:lang w:val="en-US" w:eastAsia="zh-CN"/>
              </w:rPr>
              <w:t>273.3609</w:t>
            </w:r>
          </w:p>
        </w:tc>
        <w:tc>
          <w:tcPr>
            <w:tcW w:w="1029" w:type="dxa"/>
            <w:tcBorders>
              <w:tl2br w:val="nil"/>
              <w:tr2bl w:val="nil"/>
            </w:tcBorders>
            <w:noWrap/>
            <w:tcMar>
              <w:top w:w="15" w:type="dxa"/>
              <w:left w:w="15" w:type="dxa"/>
              <w:right w:w="15" w:type="dxa"/>
            </w:tcMar>
            <w:vAlign w:val="center"/>
          </w:tcPr>
          <w:p w14:paraId="5B87F7D3">
            <w:pPr>
              <w:pStyle w:val="34"/>
              <w:tabs>
                <w:tab w:val="left" w:pos="1389"/>
              </w:tabs>
              <w:bidi w:val="0"/>
              <w:rPr>
                <w:rFonts w:hint="default"/>
                <w:color w:val="auto"/>
                <w:lang w:val="en-US" w:eastAsia="zh-CN"/>
              </w:rPr>
            </w:pPr>
            <w:r>
              <w:rPr>
                <w:rFonts w:hint="default"/>
                <w:color w:val="auto"/>
                <w:lang w:val="en-US" w:eastAsia="zh-CN"/>
              </w:rPr>
              <w:t>24.08</w:t>
            </w:r>
          </w:p>
        </w:tc>
      </w:tr>
      <w:tr w14:paraId="40FC73B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675" w:type="dxa"/>
            <w:vMerge w:val="continue"/>
            <w:tcBorders>
              <w:tl2br w:val="nil"/>
              <w:tr2bl w:val="nil"/>
            </w:tcBorders>
            <w:noWrap/>
            <w:tcMar>
              <w:top w:w="15" w:type="dxa"/>
              <w:left w:w="15" w:type="dxa"/>
              <w:right w:w="15" w:type="dxa"/>
            </w:tcMar>
            <w:vAlign w:val="center"/>
          </w:tcPr>
          <w:p w14:paraId="144E81FD">
            <w:pPr>
              <w:pStyle w:val="34"/>
              <w:tabs>
                <w:tab w:val="left" w:pos="1389"/>
              </w:tabs>
              <w:ind w:firstLine="0" w:firstLineChars="0"/>
              <w:jc w:val="center"/>
              <w:rPr>
                <w:rFonts w:hint="eastAsia"/>
                <w:color w:val="auto"/>
                <w:sz w:val="21"/>
                <w:szCs w:val="21"/>
                <w:lang w:val="en-US" w:eastAsia="zh-CN"/>
              </w:rPr>
            </w:pPr>
          </w:p>
        </w:tc>
        <w:tc>
          <w:tcPr>
            <w:tcW w:w="817" w:type="dxa"/>
            <w:vMerge w:val="continue"/>
            <w:tcBorders>
              <w:tl2br w:val="nil"/>
              <w:tr2bl w:val="nil"/>
            </w:tcBorders>
            <w:noWrap/>
            <w:tcMar>
              <w:top w:w="15" w:type="dxa"/>
              <w:left w:w="15" w:type="dxa"/>
              <w:right w:w="15" w:type="dxa"/>
            </w:tcMar>
            <w:vAlign w:val="center"/>
          </w:tcPr>
          <w:p w14:paraId="3FC09D26">
            <w:pPr>
              <w:pStyle w:val="34"/>
              <w:tabs>
                <w:tab w:val="left" w:pos="1389"/>
              </w:tabs>
              <w:ind w:firstLine="0" w:firstLineChars="0"/>
              <w:jc w:val="center"/>
              <w:rPr>
                <w:rFonts w:hint="eastAsia"/>
                <w:color w:val="auto"/>
                <w:sz w:val="21"/>
                <w:szCs w:val="21"/>
              </w:rPr>
            </w:pPr>
          </w:p>
        </w:tc>
        <w:tc>
          <w:tcPr>
            <w:tcW w:w="908" w:type="dxa"/>
            <w:vMerge w:val="continue"/>
            <w:tcBorders>
              <w:tl2br w:val="nil"/>
              <w:tr2bl w:val="nil"/>
            </w:tcBorders>
            <w:noWrap/>
            <w:tcMar>
              <w:top w:w="15" w:type="dxa"/>
              <w:left w:w="15" w:type="dxa"/>
              <w:right w:w="15" w:type="dxa"/>
            </w:tcMar>
            <w:vAlign w:val="center"/>
          </w:tcPr>
          <w:p w14:paraId="1F70FCB3">
            <w:pPr>
              <w:pStyle w:val="34"/>
              <w:tabs>
                <w:tab w:val="left" w:pos="1389"/>
              </w:tabs>
              <w:ind w:firstLine="0" w:firstLineChars="0"/>
              <w:jc w:val="center"/>
              <w:rPr>
                <w:rFonts w:hint="eastAsia"/>
                <w:color w:val="auto"/>
                <w:sz w:val="21"/>
                <w:szCs w:val="21"/>
              </w:rPr>
            </w:pPr>
          </w:p>
        </w:tc>
        <w:tc>
          <w:tcPr>
            <w:tcW w:w="1000" w:type="dxa"/>
            <w:tcBorders>
              <w:tl2br w:val="nil"/>
              <w:tr2bl w:val="nil"/>
            </w:tcBorders>
            <w:noWrap/>
            <w:tcMar>
              <w:top w:w="15" w:type="dxa"/>
              <w:left w:w="15" w:type="dxa"/>
              <w:right w:w="15" w:type="dxa"/>
            </w:tcMar>
            <w:vAlign w:val="center"/>
          </w:tcPr>
          <w:p w14:paraId="7DD363B0">
            <w:pPr>
              <w:pStyle w:val="34"/>
              <w:tabs>
                <w:tab w:val="left" w:pos="1389"/>
              </w:tabs>
              <w:jc w:val="center"/>
              <w:rPr>
                <w:rFonts w:hint="eastAsia"/>
                <w:color w:val="auto"/>
                <w:sz w:val="21"/>
                <w:szCs w:val="21"/>
              </w:rPr>
            </w:pPr>
            <w:r>
              <w:rPr>
                <w:rFonts w:hint="eastAsia" w:ascii="Times New Roman" w:hAnsi="Times New Roman" w:cs="Times New Roman"/>
                <w:color w:val="auto"/>
                <w:sz w:val="21"/>
                <w:szCs w:val="21"/>
                <w:highlight w:val="none"/>
                <w:lang w:val="en-US" w:eastAsia="zh-CN"/>
              </w:rPr>
              <w:t>华山松</w:t>
            </w:r>
            <w:r>
              <w:rPr>
                <w:rFonts w:hint="eastAsia" w:cs="Times New Roman"/>
                <w:color w:val="auto"/>
                <w:sz w:val="21"/>
                <w:szCs w:val="21"/>
                <w:highlight w:val="none"/>
                <w:lang w:val="en-US" w:eastAsia="zh-CN"/>
              </w:rPr>
              <w:t>群落</w:t>
            </w:r>
          </w:p>
        </w:tc>
        <w:tc>
          <w:tcPr>
            <w:tcW w:w="1221" w:type="dxa"/>
            <w:tcBorders>
              <w:tl2br w:val="nil"/>
              <w:tr2bl w:val="nil"/>
            </w:tcBorders>
            <w:noWrap/>
            <w:tcMar>
              <w:top w:w="15" w:type="dxa"/>
              <w:left w:w="15" w:type="dxa"/>
              <w:right w:w="15" w:type="dxa"/>
            </w:tcMar>
            <w:vAlign w:val="center"/>
          </w:tcPr>
          <w:p w14:paraId="061592A0">
            <w:pPr>
              <w:pStyle w:val="34"/>
              <w:tabs>
                <w:tab w:val="left" w:pos="1389"/>
              </w:tabs>
              <w:jc w:val="center"/>
              <w:rPr>
                <w:rFonts w:hint="default" w:eastAsia="宋体"/>
                <w:color w:val="auto"/>
                <w:sz w:val="21"/>
                <w:szCs w:val="21"/>
                <w:highlight w:val="none"/>
                <w:lang w:val="en-US" w:eastAsia="zh-CN"/>
              </w:rPr>
            </w:pPr>
            <w:r>
              <w:rPr>
                <w:rFonts w:hint="eastAsia" w:cs="Times New Roman"/>
                <w:color w:val="auto"/>
                <w:sz w:val="21"/>
                <w:szCs w:val="21"/>
                <w:lang w:val="en-US" w:eastAsia="zh-CN"/>
              </w:rPr>
              <w:t>项目评价区内广泛分布</w:t>
            </w:r>
          </w:p>
        </w:tc>
        <w:tc>
          <w:tcPr>
            <w:tcW w:w="1029" w:type="dxa"/>
            <w:tcBorders>
              <w:tl2br w:val="nil"/>
              <w:tr2bl w:val="nil"/>
            </w:tcBorders>
            <w:noWrap/>
            <w:tcMar>
              <w:top w:w="15" w:type="dxa"/>
              <w:left w:w="15" w:type="dxa"/>
              <w:right w:w="15" w:type="dxa"/>
            </w:tcMar>
            <w:vAlign w:val="center"/>
          </w:tcPr>
          <w:p w14:paraId="03724C7C">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426.9794</w:t>
            </w:r>
          </w:p>
        </w:tc>
        <w:tc>
          <w:tcPr>
            <w:tcW w:w="1029" w:type="dxa"/>
            <w:tcBorders>
              <w:tl2br w:val="nil"/>
              <w:tr2bl w:val="nil"/>
            </w:tcBorders>
            <w:noWrap/>
            <w:tcMar>
              <w:top w:w="15" w:type="dxa"/>
              <w:left w:w="15" w:type="dxa"/>
              <w:right w:w="15" w:type="dxa"/>
            </w:tcMar>
            <w:vAlign w:val="center"/>
          </w:tcPr>
          <w:p w14:paraId="3E03AC30">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40.80</w:t>
            </w:r>
          </w:p>
        </w:tc>
        <w:tc>
          <w:tcPr>
            <w:tcW w:w="1029" w:type="dxa"/>
            <w:tcBorders>
              <w:tl2br w:val="nil"/>
              <w:tr2bl w:val="nil"/>
            </w:tcBorders>
            <w:noWrap/>
            <w:tcMar>
              <w:top w:w="15" w:type="dxa"/>
              <w:left w:w="15" w:type="dxa"/>
              <w:right w:w="15" w:type="dxa"/>
            </w:tcMar>
            <w:vAlign w:val="center"/>
          </w:tcPr>
          <w:p w14:paraId="5E316E01">
            <w:pPr>
              <w:pStyle w:val="34"/>
              <w:tabs>
                <w:tab w:val="left" w:pos="1389"/>
              </w:tabs>
              <w:bidi w:val="0"/>
              <w:rPr>
                <w:rFonts w:hint="default"/>
                <w:color w:val="auto"/>
                <w:lang w:val="en-US" w:eastAsia="zh-CN"/>
              </w:rPr>
            </w:pPr>
            <w:r>
              <w:rPr>
                <w:rFonts w:hint="default"/>
                <w:color w:val="auto"/>
                <w:lang w:val="en-US" w:eastAsia="zh-CN"/>
              </w:rPr>
              <w:t>410.0414</w:t>
            </w:r>
          </w:p>
        </w:tc>
        <w:tc>
          <w:tcPr>
            <w:tcW w:w="1029" w:type="dxa"/>
            <w:tcBorders>
              <w:tl2br w:val="nil"/>
              <w:tr2bl w:val="nil"/>
            </w:tcBorders>
            <w:noWrap/>
            <w:tcMar>
              <w:top w:w="15" w:type="dxa"/>
              <w:left w:w="15" w:type="dxa"/>
              <w:right w:w="15" w:type="dxa"/>
            </w:tcMar>
            <w:vAlign w:val="center"/>
          </w:tcPr>
          <w:p w14:paraId="75E32123">
            <w:pPr>
              <w:pStyle w:val="34"/>
              <w:tabs>
                <w:tab w:val="left" w:pos="1389"/>
              </w:tabs>
              <w:bidi w:val="0"/>
              <w:rPr>
                <w:rFonts w:hint="default"/>
                <w:color w:val="auto"/>
                <w:lang w:val="en-US" w:eastAsia="zh-CN"/>
              </w:rPr>
            </w:pPr>
            <w:r>
              <w:rPr>
                <w:rFonts w:hint="default"/>
                <w:color w:val="auto"/>
                <w:lang w:val="en-US" w:eastAsia="zh-CN"/>
              </w:rPr>
              <w:t>36.11</w:t>
            </w:r>
          </w:p>
        </w:tc>
      </w:tr>
      <w:tr w14:paraId="1CF6B64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675" w:type="dxa"/>
            <w:vMerge w:val="restart"/>
            <w:tcBorders>
              <w:tl2br w:val="nil"/>
              <w:tr2bl w:val="nil"/>
            </w:tcBorders>
            <w:noWrap/>
            <w:tcMar>
              <w:top w:w="15" w:type="dxa"/>
              <w:left w:w="15" w:type="dxa"/>
              <w:right w:w="15" w:type="dxa"/>
            </w:tcMar>
            <w:vAlign w:val="center"/>
          </w:tcPr>
          <w:p w14:paraId="7EA9E5D5">
            <w:pPr>
              <w:pStyle w:val="34"/>
              <w:tabs>
                <w:tab w:val="left" w:pos="1389"/>
              </w:tabs>
              <w:jc w:val="center"/>
              <w:rPr>
                <w:rFonts w:hint="default" w:eastAsia="宋体"/>
                <w:color w:val="auto"/>
                <w:sz w:val="21"/>
                <w:szCs w:val="21"/>
                <w:lang w:val="en-US" w:eastAsia="zh-CN"/>
              </w:rPr>
            </w:pPr>
            <w:r>
              <w:rPr>
                <w:rFonts w:hint="eastAsia"/>
                <w:color w:val="auto"/>
                <w:sz w:val="21"/>
                <w:szCs w:val="21"/>
                <w:lang w:val="en-US" w:eastAsia="zh-CN"/>
              </w:rPr>
              <w:t>灌草丛</w:t>
            </w:r>
          </w:p>
        </w:tc>
        <w:tc>
          <w:tcPr>
            <w:tcW w:w="817" w:type="dxa"/>
            <w:tcBorders>
              <w:tl2br w:val="nil"/>
              <w:tr2bl w:val="nil"/>
            </w:tcBorders>
            <w:noWrap/>
            <w:tcMar>
              <w:top w:w="15" w:type="dxa"/>
              <w:left w:w="15" w:type="dxa"/>
              <w:right w:w="15" w:type="dxa"/>
            </w:tcMar>
            <w:vAlign w:val="center"/>
          </w:tcPr>
          <w:p w14:paraId="07DA9656">
            <w:pPr>
              <w:pStyle w:val="34"/>
              <w:tabs>
                <w:tab w:val="left" w:pos="1389"/>
              </w:tabs>
              <w:jc w:val="center"/>
              <w:rPr>
                <w:rFonts w:hint="eastAsia" w:eastAsia="宋体"/>
                <w:color w:val="auto"/>
                <w:sz w:val="21"/>
                <w:szCs w:val="21"/>
                <w:lang w:eastAsia="zh-CN"/>
              </w:rPr>
            </w:pPr>
            <w:r>
              <w:rPr>
                <w:rFonts w:hint="eastAsia"/>
                <w:color w:val="auto"/>
                <w:sz w:val="21"/>
                <w:szCs w:val="21"/>
                <w:lang w:val="en-US" w:eastAsia="zh-CN"/>
              </w:rPr>
              <w:t>灌丛</w:t>
            </w:r>
          </w:p>
        </w:tc>
        <w:tc>
          <w:tcPr>
            <w:tcW w:w="908" w:type="dxa"/>
            <w:tcBorders>
              <w:tl2br w:val="nil"/>
              <w:tr2bl w:val="nil"/>
            </w:tcBorders>
            <w:noWrap/>
            <w:tcMar>
              <w:top w:w="15" w:type="dxa"/>
              <w:left w:w="15" w:type="dxa"/>
              <w:right w:w="15" w:type="dxa"/>
            </w:tcMar>
            <w:vAlign w:val="center"/>
          </w:tcPr>
          <w:p w14:paraId="45EC2345">
            <w:pPr>
              <w:pStyle w:val="34"/>
              <w:tabs>
                <w:tab w:val="left" w:pos="1389"/>
              </w:tabs>
              <w:jc w:val="center"/>
              <w:rPr>
                <w:rFonts w:hint="eastAsia"/>
                <w:color w:val="auto"/>
                <w:sz w:val="21"/>
                <w:szCs w:val="21"/>
                <w:highlight w:val="none"/>
              </w:rPr>
            </w:pPr>
            <w:r>
              <w:rPr>
                <w:rFonts w:hint="eastAsia"/>
                <w:color w:val="auto"/>
                <w:highlight w:val="none"/>
              </w:rPr>
              <w:t>暖性石灰岩灌丛</w:t>
            </w:r>
          </w:p>
        </w:tc>
        <w:tc>
          <w:tcPr>
            <w:tcW w:w="1000" w:type="dxa"/>
            <w:tcBorders>
              <w:tl2br w:val="nil"/>
              <w:tr2bl w:val="nil"/>
            </w:tcBorders>
            <w:noWrap/>
            <w:tcMar>
              <w:top w:w="15" w:type="dxa"/>
              <w:left w:w="15" w:type="dxa"/>
              <w:right w:w="15" w:type="dxa"/>
            </w:tcMar>
            <w:vAlign w:val="center"/>
          </w:tcPr>
          <w:p w14:paraId="267B16E7">
            <w:pPr>
              <w:pStyle w:val="34"/>
              <w:tabs>
                <w:tab w:val="left" w:pos="1389"/>
              </w:tabs>
              <w:jc w:val="center"/>
              <w:rPr>
                <w:color w:val="auto"/>
                <w:sz w:val="21"/>
                <w:szCs w:val="21"/>
                <w:highlight w:val="none"/>
              </w:rPr>
            </w:pPr>
            <w:r>
              <w:rPr>
                <w:rFonts w:hint="eastAsia"/>
                <w:color w:val="auto"/>
                <w:highlight w:val="none"/>
              </w:rPr>
              <w:t>粉叶小檗-栒子灌丛</w:t>
            </w:r>
          </w:p>
        </w:tc>
        <w:tc>
          <w:tcPr>
            <w:tcW w:w="1221" w:type="dxa"/>
            <w:tcBorders>
              <w:tl2br w:val="nil"/>
              <w:tr2bl w:val="nil"/>
            </w:tcBorders>
            <w:noWrap/>
            <w:tcMar>
              <w:top w:w="15" w:type="dxa"/>
              <w:left w:w="15" w:type="dxa"/>
              <w:right w:w="15" w:type="dxa"/>
            </w:tcMar>
            <w:vAlign w:val="center"/>
          </w:tcPr>
          <w:p w14:paraId="26B766E8">
            <w:pPr>
              <w:pStyle w:val="34"/>
              <w:tabs>
                <w:tab w:val="left" w:pos="1389"/>
              </w:tabs>
              <w:jc w:val="center"/>
              <w:rPr>
                <w:color w:val="auto"/>
                <w:sz w:val="21"/>
                <w:szCs w:val="21"/>
              </w:rPr>
            </w:pPr>
            <w:r>
              <w:rPr>
                <w:rFonts w:hint="eastAsia" w:cs="Times New Roman"/>
                <w:color w:val="auto"/>
                <w:sz w:val="21"/>
                <w:szCs w:val="21"/>
                <w:lang w:val="en-US" w:eastAsia="zh-CN"/>
              </w:rPr>
              <w:t>项目评价区内广泛分布</w:t>
            </w:r>
          </w:p>
        </w:tc>
        <w:tc>
          <w:tcPr>
            <w:tcW w:w="1029" w:type="dxa"/>
            <w:tcBorders>
              <w:tl2br w:val="nil"/>
              <w:tr2bl w:val="nil"/>
            </w:tcBorders>
            <w:noWrap/>
            <w:tcMar>
              <w:top w:w="15" w:type="dxa"/>
              <w:left w:w="15" w:type="dxa"/>
              <w:right w:w="15" w:type="dxa"/>
            </w:tcMar>
            <w:vAlign w:val="center"/>
          </w:tcPr>
          <w:p w14:paraId="2427263E">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17.5925</w:t>
            </w:r>
          </w:p>
        </w:tc>
        <w:tc>
          <w:tcPr>
            <w:tcW w:w="1029" w:type="dxa"/>
            <w:tcBorders>
              <w:tl2br w:val="nil"/>
              <w:tr2bl w:val="nil"/>
            </w:tcBorders>
            <w:noWrap/>
            <w:tcMar>
              <w:top w:w="15" w:type="dxa"/>
              <w:left w:w="15" w:type="dxa"/>
              <w:right w:w="15" w:type="dxa"/>
            </w:tcMar>
            <w:vAlign w:val="center"/>
          </w:tcPr>
          <w:p w14:paraId="7D461BBD">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1.68</w:t>
            </w:r>
          </w:p>
        </w:tc>
        <w:tc>
          <w:tcPr>
            <w:tcW w:w="1029" w:type="dxa"/>
            <w:tcBorders>
              <w:tl2br w:val="nil"/>
              <w:tr2bl w:val="nil"/>
            </w:tcBorders>
            <w:noWrap/>
            <w:tcMar>
              <w:top w:w="15" w:type="dxa"/>
              <w:left w:w="15" w:type="dxa"/>
              <w:right w:w="15" w:type="dxa"/>
            </w:tcMar>
            <w:vAlign w:val="center"/>
          </w:tcPr>
          <w:p w14:paraId="2EFCAD0B">
            <w:pPr>
              <w:pStyle w:val="34"/>
              <w:tabs>
                <w:tab w:val="left" w:pos="1389"/>
              </w:tabs>
              <w:bidi w:val="0"/>
              <w:rPr>
                <w:rFonts w:hint="eastAsia"/>
                <w:color w:val="auto"/>
                <w:lang w:val="en-US" w:eastAsia="zh-CN"/>
              </w:rPr>
            </w:pPr>
            <w:r>
              <w:rPr>
                <w:rFonts w:hint="default"/>
                <w:color w:val="auto"/>
                <w:lang w:val="en-US" w:eastAsia="zh-CN"/>
              </w:rPr>
              <w:t>17.5925</w:t>
            </w:r>
          </w:p>
        </w:tc>
        <w:tc>
          <w:tcPr>
            <w:tcW w:w="1029" w:type="dxa"/>
            <w:tcBorders>
              <w:tl2br w:val="nil"/>
              <w:tr2bl w:val="nil"/>
            </w:tcBorders>
            <w:noWrap/>
            <w:tcMar>
              <w:top w:w="15" w:type="dxa"/>
              <w:left w:w="15" w:type="dxa"/>
              <w:right w:w="15" w:type="dxa"/>
            </w:tcMar>
            <w:vAlign w:val="center"/>
          </w:tcPr>
          <w:p w14:paraId="64FA917C">
            <w:pPr>
              <w:pStyle w:val="34"/>
              <w:tabs>
                <w:tab w:val="left" w:pos="1389"/>
              </w:tabs>
              <w:bidi w:val="0"/>
              <w:rPr>
                <w:rFonts w:hint="eastAsia"/>
                <w:color w:val="auto"/>
                <w:lang w:val="en-US" w:eastAsia="zh-CN"/>
              </w:rPr>
            </w:pPr>
            <w:r>
              <w:rPr>
                <w:rFonts w:hint="default"/>
                <w:color w:val="auto"/>
                <w:lang w:val="en-US" w:eastAsia="zh-CN"/>
              </w:rPr>
              <w:t>1.55</w:t>
            </w:r>
          </w:p>
        </w:tc>
      </w:tr>
      <w:tr w14:paraId="4C6032C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675" w:type="dxa"/>
            <w:vMerge w:val="continue"/>
            <w:tcBorders>
              <w:tl2br w:val="nil"/>
              <w:tr2bl w:val="nil"/>
            </w:tcBorders>
            <w:noWrap/>
            <w:tcMar>
              <w:top w:w="15" w:type="dxa"/>
              <w:left w:w="15" w:type="dxa"/>
              <w:right w:w="15" w:type="dxa"/>
            </w:tcMar>
            <w:vAlign w:val="center"/>
          </w:tcPr>
          <w:p w14:paraId="7F064CB6">
            <w:pPr>
              <w:pStyle w:val="34"/>
              <w:tabs>
                <w:tab w:val="left" w:pos="1389"/>
              </w:tabs>
              <w:jc w:val="center"/>
              <w:rPr>
                <w:rFonts w:hint="default" w:eastAsia="宋体"/>
                <w:color w:val="auto"/>
                <w:sz w:val="21"/>
                <w:szCs w:val="21"/>
                <w:lang w:val="en-US" w:eastAsia="zh-CN"/>
              </w:rPr>
            </w:pPr>
          </w:p>
        </w:tc>
        <w:tc>
          <w:tcPr>
            <w:tcW w:w="817" w:type="dxa"/>
            <w:tcBorders>
              <w:tl2br w:val="nil"/>
              <w:tr2bl w:val="nil"/>
            </w:tcBorders>
            <w:noWrap/>
            <w:tcMar>
              <w:top w:w="15" w:type="dxa"/>
              <w:left w:w="15" w:type="dxa"/>
              <w:right w:w="15" w:type="dxa"/>
            </w:tcMar>
            <w:vAlign w:val="center"/>
          </w:tcPr>
          <w:p w14:paraId="77A08D7B">
            <w:pPr>
              <w:pStyle w:val="34"/>
              <w:tabs>
                <w:tab w:val="left" w:pos="1389"/>
              </w:tabs>
              <w:jc w:val="center"/>
              <w:rPr>
                <w:color w:val="auto"/>
                <w:sz w:val="21"/>
                <w:szCs w:val="21"/>
                <w:highlight w:val="none"/>
              </w:rPr>
            </w:pPr>
            <w:r>
              <w:rPr>
                <w:rFonts w:hint="eastAsia"/>
                <w:color w:val="auto"/>
                <w:sz w:val="21"/>
                <w:szCs w:val="21"/>
                <w:lang w:val="en-US" w:eastAsia="zh-CN"/>
              </w:rPr>
              <w:t>草丛</w:t>
            </w:r>
          </w:p>
        </w:tc>
        <w:tc>
          <w:tcPr>
            <w:tcW w:w="908" w:type="dxa"/>
            <w:tcBorders>
              <w:tl2br w:val="nil"/>
              <w:tr2bl w:val="nil"/>
            </w:tcBorders>
            <w:noWrap/>
            <w:tcMar>
              <w:top w:w="15" w:type="dxa"/>
              <w:left w:w="15" w:type="dxa"/>
              <w:right w:w="15" w:type="dxa"/>
            </w:tcMar>
            <w:vAlign w:val="center"/>
          </w:tcPr>
          <w:p w14:paraId="3774F90A">
            <w:pPr>
              <w:pStyle w:val="34"/>
              <w:tabs>
                <w:tab w:val="left" w:pos="1389"/>
              </w:tabs>
              <w:jc w:val="center"/>
              <w:rPr>
                <w:color w:val="auto"/>
                <w:sz w:val="21"/>
                <w:szCs w:val="21"/>
                <w:highlight w:val="none"/>
              </w:rPr>
            </w:pPr>
            <w:r>
              <w:rPr>
                <w:color w:val="auto"/>
                <w:highlight w:val="none"/>
              </w:rPr>
              <w:t>次生性草</w:t>
            </w:r>
            <w:r>
              <w:rPr>
                <w:rFonts w:hint="eastAsia"/>
                <w:color w:val="auto"/>
                <w:highlight w:val="none"/>
                <w:lang w:val="en-US" w:eastAsia="zh-CN"/>
              </w:rPr>
              <w:t>丛</w:t>
            </w:r>
          </w:p>
        </w:tc>
        <w:tc>
          <w:tcPr>
            <w:tcW w:w="1000" w:type="dxa"/>
            <w:tcBorders>
              <w:tl2br w:val="nil"/>
              <w:tr2bl w:val="nil"/>
            </w:tcBorders>
            <w:noWrap/>
            <w:tcMar>
              <w:top w:w="15" w:type="dxa"/>
              <w:left w:w="15" w:type="dxa"/>
              <w:right w:w="15" w:type="dxa"/>
            </w:tcMar>
            <w:vAlign w:val="center"/>
          </w:tcPr>
          <w:p w14:paraId="01795D07">
            <w:pPr>
              <w:pStyle w:val="34"/>
              <w:tabs>
                <w:tab w:val="left" w:pos="1389"/>
              </w:tabs>
              <w:jc w:val="center"/>
              <w:rPr>
                <w:rFonts w:hint="eastAsia" w:eastAsia="宋体"/>
                <w:color w:val="auto"/>
                <w:sz w:val="21"/>
                <w:szCs w:val="21"/>
                <w:highlight w:val="none"/>
                <w:lang w:val="en-US" w:eastAsia="zh-CN"/>
              </w:rPr>
            </w:pPr>
            <w:r>
              <w:rPr>
                <w:rFonts w:hint="eastAsia"/>
                <w:color w:val="auto"/>
                <w:highlight w:val="none"/>
              </w:rPr>
              <w:t>禾草草</w:t>
            </w:r>
            <w:r>
              <w:rPr>
                <w:rFonts w:hint="eastAsia"/>
                <w:color w:val="auto"/>
                <w:highlight w:val="none"/>
                <w:lang w:val="en-US" w:eastAsia="zh-CN"/>
              </w:rPr>
              <w:t>丛</w:t>
            </w:r>
          </w:p>
        </w:tc>
        <w:tc>
          <w:tcPr>
            <w:tcW w:w="1221" w:type="dxa"/>
            <w:tcBorders>
              <w:tl2br w:val="nil"/>
              <w:tr2bl w:val="nil"/>
            </w:tcBorders>
            <w:noWrap/>
            <w:tcMar>
              <w:top w:w="15" w:type="dxa"/>
              <w:left w:w="15" w:type="dxa"/>
              <w:right w:w="15" w:type="dxa"/>
            </w:tcMar>
            <w:vAlign w:val="center"/>
          </w:tcPr>
          <w:p w14:paraId="23595D4B">
            <w:pPr>
              <w:pStyle w:val="34"/>
              <w:tabs>
                <w:tab w:val="left" w:pos="1389"/>
              </w:tabs>
              <w:jc w:val="center"/>
              <w:rPr>
                <w:color w:val="auto"/>
                <w:sz w:val="21"/>
                <w:szCs w:val="21"/>
              </w:rPr>
            </w:pPr>
            <w:r>
              <w:rPr>
                <w:rFonts w:hint="eastAsia" w:cs="Times New Roman"/>
                <w:color w:val="auto"/>
                <w:sz w:val="21"/>
                <w:szCs w:val="21"/>
                <w:lang w:val="en-US" w:eastAsia="zh-CN"/>
              </w:rPr>
              <w:t>项目评价区内广泛分布</w:t>
            </w:r>
          </w:p>
        </w:tc>
        <w:tc>
          <w:tcPr>
            <w:tcW w:w="1029" w:type="dxa"/>
            <w:tcBorders>
              <w:tl2br w:val="nil"/>
              <w:tr2bl w:val="nil"/>
            </w:tcBorders>
            <w:noWrap/>
            <w:tcMar>
              <w:top w:w="15" w:type="dxa"/>
              <w:left w:w="15" w:type="dxa"/>
              <w:right w:w="15" w:type="dxa"/>
            </w:tcMar>
            <w:vAlign w:val="center"/>
          </w:tcPr>
          <w:p w14:paraId="41DBBB4A">
            <w:pPr>
              <w:keepNext w:val="0"/>
              <w:keepLines w:val="0"/>
              <w:widowControl/>
              <w:suppressLineNumbers w:val="0"/>
              <w:jc w:val="center"/>
              <w:textAlignment w:val="center"/>
              <w:rPr>
                <w:rFonts w:hint="default"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111.0002</w:t>
            </w:r>
          </w:p>
        </w:tc>
        <w:tc>
          <w:tcPr>
            <w:tcW w:w="1029" w:type="dxa"/>
            <w:tcBorders>
              <w:tl2br w:val="nil"/>
              <w:tr2bl w:val="nil"/>
            </w:tcBorders>
            <w:noWrap/>
            <w:tcMar>
              <w:top w:w="15" w:type="dxa"/>
              <w:left w:w="15" w:type="dxa"/>
              <w:right w:w="15" w:type="dxa"/>
            </w:tcMar>
            <w:vAlign w:val="center"/>
          </w:tcPr>
          <w:p w14:paraId="4893CC00">
            <w:pPr>
              <w:keepNext w:val="0"/>
              <w:keepLines w:val="0"/>
              <w:widowControl/>
              <w:suppressLineNumbers w:val="0"/>
              <w:jc w:val="center"/>
              <w:textAlignment w:val="center"/>
              <w:rPr>
                <w:rFonts w:hint="eastAsia" w:eastAsia="宋体"/>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10.61</w:t>
            </w:r>
          </w:p>
        </w:tc>
        <w:tc>
          <w:tcPr>
            <w:tcW w:w="1029" w:type="dxa"/>
            <w:tcBorders>
              <w:tl2br w:val="nil"/>
              <w:tr2bl w:val="nil"/>
            </w:tcBorders>
            <w:noWrap/>
            <w:tcMar>
              <w:top w:w="15" w:type="dxa"/>
              <w:left w:w="15" w:type="dxa"/>
              <w:right w:w="15" w:type="dxa"/>
            </w:tcMar>
            <w:vAlign w:val="center"/>
          </w:tcPr>
          <w:p w14:paraId="6168CE7D">
            <w:pPr>
              <w:pStyle w:val="34"/>
              <w:tabs>
                <w:tab w:val="left" w:pos="1389"/>
              </w:tabs>
              <w:bidi w:val="0"/>
              <w:rPr>
                <w:rFonts w:hint="eastAsia"/>
                <w:color w:val="auto"/>
                <w:lang w:val="en-US" w:eastAsia="zh-CN"/>
              </w:rPr>
            </w:pPr>
            <w:r>
              <w:rPr>
                <w:rFonts w:hint="default"/>
                <w:color w:val="auto"/>
                <w:lang w:val="en-US" w:eastAsia="zh-CN"/>
              </w:rPr>
              <w:t>120.4412</w:t>
            </w:r>
          </w:p>
        </w:tc>
        <w:tc>
          <w:tcPr>
            <w:tcW w:w="1029" w:type="dxa"/>
            <w:tcBorders>
              <w:tl2br w:val="nil"/>
              <w:tr2bl w:val="nil"/>
            </w:tcBorders>
            <w:noWrap/>
            <w:tcMar>
              <w:top w:w="15" w:type="dxa"/>
              <w:left w:w="15" w:type="dxa"/>
              <w:right w:w="15" w:type="dxa"/>
            </w:tcMar>
            <w:vAlign w:val="center"/>
          </w:tcPr>
          <w:p w14:paraId="097473B2">
            <w:pPr>
              <w:pStyle w:val="34"/>
              <w:tabs>
                <w:tab w:val="left" w:pos="1389"/>
              </w:tabs>
              <w:bidi w:val="0"/>
              <w:rPr>
                <w:rFonts w:hint="eastAsia"/>
                <w:color w:val="auto"/>
                <w:lang w:val="en-US" w:eastAsia="zh-CN"/>
              </w:rPr>
            </w:pPr>
            <w:r>
              <w:rPr>
                <w:rFonts w:hint="default"/>
                <w:color w:val="auto"/>
                <w:lang w:val="en-US" w:eastAsia="zh-CN"/>
              </w:rPr>
              <w:t>10.61</w:t>
            </w:r>
          </w:p>
        </w:tc>
      </w:tr>
      <w:tr w14:paraId="4D6F51A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4621" w:type="dxa"/>
            <w:gridSpan w:val="5"/>
            <w:tcBorders>
              <w:tl2br w:val="nil"/>
              <w:tr2bl w:val="nil"/>
            </w:tcBorders>
            <w:noWrap/>
            <w:tcMar>
              <w:top w:w="15" w:type="dxa"/>
              <w:left w:w="15" w:type="dxa"/>
              <w:right w:w="15" w:type="dxa"/>
            </w:tcMar>
            <w:vAlign w:val="center"/>
          </w:tcPr>
          <w:p w14:paraId="51F5B7A6">
            <w:pPr>
              <w:pStyle w:val="34"/>
              <w:tabs>
                <w:tab w:val="left" w:pos="1389"/>
              </w:tabs>
              <w:jc w:val="center"/>
              <w:rPr>
                <w:color w:val="auto"/>
                <w:sz w:val="21"/>
                <w:szCs w:val="21"/>
              </w:rPr>
            </w:pPr>
            <w:r>
              <w:rPr>
                <w:rFonts w:hint="default" w:ascii="Times New Roman" w:hAnsi="Times New Roman" w:eastAsia="宋体" w:cs="Times New Roman"/>
                <w:color w:val="auto"/>
                <w:sz w:val="21"/>
                <w:szCs w:val="21"/>
                <w:lang w:val="en-US" w:eastAsia="zh-CN"/>
              </w:rPr>
              <w:t>小计</w:t>
            </w:r>
          </w:p>
        </w:tc>
        <w:tc>
          <w:tcPr>
            <w:tcW w:w="1029" w:type="dxa"/>
            <w:tcBorders>
              <w:tl2br w:val="nil"/>
              <w:tr2bl w:val="nil"/>
            </w:tcBorders>
            <w:noWrap/>
            <w:tcMar>
              <w:top w:w="15" w:type="dxa"/>
              <w:left w:w="15" w:type="dxa"/>
              <w:right w:w="15" w:type="dxa"/>
            </w:tcMar>
            <w:vAlign w:val="center"/>
          </w:tcPr>
          <w:p w14:paraId="672D4D24">
            <w:pPr>
              <w:keepNext w:val="0"/>
              <w:keepLines w:val="0"/>
              <w:widowControl/>
              <w:suppressLineNumbers w:val="0"/>
              <w:jc w:val="center"/>
              <w:textAlignment w:val="center"/>
              <w:rPr>
                <w:rFonts w:hint="default"/>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824.3947</w:t>
            </w:r>
          </w:p>
        </w:tc>
        <w:tc>
          <w:tcPr>
            <w:tcW w:w="1029" w:type="dxa"/>
            <w:tcBorders>
              <w:tl2br w:val="nil"/>
              <w:tr2bl w:val="nil"/>
            </w:tcBorders>
            <w:noWrap/>
            <w:tcMar>
              <w:top w:w="15" w:type="dxa"/>
              <w:left w:w="15" w:type="dxa"/>
              <w:right w:w="15" w:type="dxa"/>
            </w:tcMar>
            <w:vAlign w:val="center"/>
          </w:tcPr>
          <w:p w14:paraId="77806A43">
            <w:pPr>
              <w:keepNext w:val="0"/>
              <w:keepLines w:val="0"/>
              <w:widowControl/>
              <w:suppressLineNumbers w:val="0"/>
              <w:jc w:val="center"/>
              <w:textAlignment w:val="center"/>
              <w:rPr>
                <w:rFonts w:hint="default"/>
                <w:color w:val="auto"/>
                <w:sz w:val="21"/>
                <w:szCs w:val="21"/>
                <w:highlight w:val="none"/>
                <w:lang w:val="en-US" w:eastAsia="zh-CN"/>
              </w:rPr>
            </w:pPr>
            <w:r>
              <w:rPr>
                <w:rFonts w:hint="default" w:ascii="Times New Roman" w:hAnsi="Times New Roman" w:eastAsia="宋体" w:cs="Times New Roman"/>
                <w:i w:val="0"/>
                <w:iCs w:val="0"/>
                <w:color w:val="auto"/>
                <w:kern w:val="0"/>
                <w:sz w:val="21"/>
                <w:szCs w:val="21"/>
                <w:u w:val="none"/>
                <w:lang w:val="en-US" w:eastAsia="zh-CN" w:bidi="ar"/>
              </w:rPr>
              <w:t>78.78</w:t>
            </w:r>
          </w:p>
        </w:tc>
        <w:tc>
          <w:tcPr>
            <w:tcW w:w="1029" w:type="dxa"/>
            <w:tcBorders>
              <w:tl2br w:val="nil"/>
              <w:tr2bl w:val="nil"/>
            </w:tcBorders>
            <w:noWrap/>
            <w:tcMar>
              <w:top w:w="15" w:type="dxa"/>
              <w:left w:w="15" w:type="dxa"/>
              <w:right w:w="15" w:type="dxa"/>
            </w:tcMar>
            <w:vAlign w:val="center"/>
          </w:tcPr>
          <w:p w14:paraId="79FE102E">
            <w:pPr>
              <w:pStyle w:val="34"/>
              <w:tabs>
                <w:tab w:val="left" w:pos="1389"/>
              </w:tabs>
              <w:bidi w:val="0"/>
              <w:rPr>
                <w:rFonts w:hint="default"/>
                <w:color w:val="auto"/>
                <w:lang w:val="en-US" w:eastAsia="zh-CN"/>
              </w:rPr>
            </w:pPr>
            <w:r>
              <w:rPr>
                <w:rFonts w:hint="default"/>
                <w:color w:val="auto"/>
                <w:lang w:val="en-US" w:eastAsia="zh-CN"/>
              </w:rPr>
              <w:t>894.5127</w:t>
            </w:r>
          </w:p>
        </w:tc>
        <w:tc>
          <w:tcPr>
            <w:tcW w:w="1029" w:type="dxa"/>
            <w:tcBorders>
              <w:tl2br w:val="nil"/>
              <w:tr2bl w:val="nil"/>
            </w:tcBorders>
            <w:noWrap/>
            <w:tcMar>
              <w:top w:w="15" w:type="dxa"/>
              <w:left w:w="15" w:type="dxa"/>
              <w:right w:w="15" w:type="dxa"/>
            </w:tcMar>
            <w:vAlign w:val="center"/>
          </w:tcPr>
          <w:p w14:paraId="7A69AA06">
            <w:pPr>
              <w:pStyle w:val="34"/>
              <w:tabs>
                <w:tab w:val="left" w:pos="1389"/>
              </w:tabs>
              <w:bidi w:val="0"/>
              <w:rPr>
                <w:rFonts w:hint="default"/>
                <w:color w:val="auto"/>
                <w:lang w:val="en-US" w:eastAsia="zh-CN"/>
              </w:rPr>
            </w:pPr>
            <w:r>
              <w:rPr>
                <w:rFonts w:hint="default"/>
                <w:color w:val="auto"/>
                <w:lang w:val="en-US" w:eastAsia="zh-CN"/>
              </w:rPr>
              <w:t>78.78</w:t>
            </w:r>
          </w:p>
        </w:tc>
      </w:tr>
      <w:tr w14:paraId="2318747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675" w:type="dxa"/>
            <w:tcBorders>
              <w:tl2br w:val="nil"/>
              <w:tr2bl w:val="nil"/>
            </w:tcBorders>
            <w:noWrap/>
            <w:tcMar>
              <w:top w:w="15" w:type="dxa"/>
              <w:left w:w="15" w:type="dxa"/>
              <w:right w:w="15" w:type="dxa"/>
            </w:tcMar>
            <w:vAlign w:val="center"/>
          </w:tcPr>
          <w:p w14:paraId="4E628458">
            <w:pPr>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耕地</w:t>
            </w:r>
          </w:p>
          <w:p w14:paraId="7CBB1A5C">
            <w:pPr>
              <w:spacing w:line="240" w:lineRule="auto"/>
              <w:jc w:val="center"/>
              <w:rPr>
                <w:rFonts w:hint="eastAsia"/>
                <w:color w:val="auto"/>
                <w:sz w:val="21"/>
                <w:szCs w:val="21"/>
                <w:lang w:val="en-US" w:eastAsia="zh-CN"/>
              </w:rPr>
            </w:pPr>
            <w:r>
              <w:rPr>
                <w:rFonts w:hint="default" w:ascii="Times New Roman" w:hAnsi="Times New Roman" w:eastAsia="宋体" w:cs="Times New Roman"/>
                <w:color w:val="auto"/>
                <w:sz w:val="21"/>
                <w:szCs w:val="21"/>
                <w:lang w:val="en-US" w:eastAsia="zh-CN"/>
              </w:rPr>
              <w:t>植被</w:t>
            </w:r>
          </w:p>
        </w:tc>
        <w:tc>
          <w:tcPr>
            <w:tcW w:w="2725" w:type="dxa"/>
            <w:gridSpan w:val="3"/>
            <w:tcBorders>
              <w:tl2br w:val="nil"/>
              <w:tr2bl w:val="nil"/>
            </w:tcBorders>
            <w:noWrap/>
            <w:tcMar>
              <w:top w:w="15" w:type="dxa"/>
              <w:left w:w="15" w:type="dxa"/>
              <w:right w:w="15" w:type="dxa"/>
            </w:tcMar>
            <w:vAlign w:val="center"/>
          </w:tcPr>
          <w:p w14:paraId="073A2499">
            <w:pPr>
              <w:pStyle w:val="34"/>
              <w:tabs>
                <w:tab w:val="left" w:pos="1389"/>
              </w:tabs>
              <w:jc w:val="center"/>
              <w:rPr>
                <w:rFonts w:hint="eastAsia"/>
                <w:color w:val="auto"/>
                <w:highlight w:val="yellow"/>
              </w:rPr>
            </w:pPr>
            <w:r>
              <w:rPr>
                <w:rFonts w:hint="default" w:ascii="Times New Roman" w:hAnsi="Times New Roman" w:eastAsia="宋体" w:cs="Times New Roman"/>
                <w:color w:val="auto"/>
                <w:sz w:val="21"/>
                <w:szCs w:val="21"/>
                <w:lang w:val="en-US" w:eastAsia="zh-CN"/>
              </w:rPr>
              <w:t>旱地（玉米、土豆等）</w:t>
            </w:r>
          </w:p>
        </w:tc>
        <w:tc>
          <w:tcPr>
            <w:tcW w:w="1221" w:type="dxa"/>
            <w:tcBorders>
              <w:tl2br w:val="nil"/>
              <w:tr2bl w:val="nil"/>
            </w:tcBorders>
            <w:noWrap/>
            <w:tcMar>
              <w:top w:w="15" w:type="dxa"/>
              <w:left w:w="15" w:type="dxa"/>
              <w:right w:w="15" w:type="dxa"/>
            </w:tcMar>
            <w:vAlign w:val="center"/>
          </w:tcPr>
          <w:p w14:paraId="56A4CB7E">
            <w:pPr>
              <w:pStyle w:val="34"/>
              <w:tabs>
                <w:tab w:val="left" w:pos="1389"/>
              </w:tabs>
              <w:jc w:val="center"/>
              <w:rPr>
                <w:rFonts w:hint="default" w:eastAsia="宋体"/>
                <w:color w:val="auto"/>
                <w:sz w:val="21"/>
                <w:szCs w:val="21"/>
                <w:lang w:val="en-US" w:eastAsia="zh-CN"/>
              </w:rPr>
            </w:pPr>
            <w:r>
              <w:rPr>
                <w:rFonts w:hint="eastAsia"/>
                <w:color w:val="auto"/>
                <w:sz w:val="21"/>
                <w:szCs w:val="21"/>
                <w:lang w:val="en-US" w:eastAsia="zh-CN"/>
              </w:rPr>
              <w:t>项目区南侧</w:t>
            </w:r>
          </w:p>
        </w:tc>
        <w:tc>
          <w:tcPr>
            <w:tcW w:w="1029" w:type="dxa"/>
            <w:tcBorders>
              <w:tl2br w:val="nil"/>
              <w:tr2bl w:val="nil"/>
            </w:tcBorders>
            <w:noWrap/>
            <w:tcMar>
              <w:top w:w="15" w:type="dxa"/>
              <w:left w:w="15" w:type="dxa"/>
              <w:right w:w="15" w:type="dxa"/>
            </w:tcMar>
            <w:vAlign w:val="center"/>
          </w:tcPr>
          <w:p w14:paraId="6200B316">
            <w:pPr>
              <w:pStyle w:val="34"/>
              <w:tabs>
                <w:tab w:val="left" w:pos="1389"/>
              </w:tabs>
              <w:jc w:val="center"/>
              <w:rPr>
                <w:rFonts w:hint="default"/>
                <w:color w:val="auto"/>
                <w:sz w:val="21"/>
                <w:szCs w:val="21"/>
                <w:highlight w:val="none"/>
                <w:lang w:val="en-US" w:eastAsia="zh-CN"/>
              </w:rPr>
            </w:pPr>
            <w:r>
              <w:rPr>
                <w:rFonts w:hint="eastAsia"/>
                <w:color w:val="auto"/>
                <w:sz w:val="21"/>
                <w:szCs w:val="21"/>
                <w:highlight w:val="none"/>
                <w:lang w:val="en-US" w:eastAsia="zh-CN"/>
              </w:rPr>
              <w:t>0.0432</w:t>
            </w:r>
          </w:p>
        </w:tc>
        <w:tc>
          <w:tcPr>
            <w:tcW w:w="1029" w:type="dxa"/>
            <w:tcBorders>
              <w:tl2br w:val="nil"/>
              <w:tr2bl w:val="nil"/>
            </w:tcBorders>
            <w:noWrap/>
            <w:tcMar>
              <w:top w:w="15" w:type="dxa"/>
              <w:left w:w="15" w:type="dxa"/>
              <w:right w:w="15" w:type="dxa"/>
            </w:tcMar>
            <w:vAlign w:val="center"/>
          </w:tcPr>
          <w:p w14:paraId="59D7B23D">
            <w:pPr>
              <w:pStyle w:val="34"/>
              <w:tabs>
                <w:tab w:val="left" w:pos="1389"/>
              </w:tabs>
              <w:jc w:val="center"/>
              <w:rPr>
                <w:rFonts w:hint="eastAsia"/>
                <w:color w:val="auto"/>
                <w:sz w:val="21"/>
                <w:szCs w:val="21"/>
                <w:highlight w:val="none"/>
                <w:lang w:val="en-US" w:eastAsia="zh-CN"/>
              </w:rPr>
            </w:pPr>
            <w:r>
              <w:rPr>
                <w:rFonts w:hint="eastAsia"/>
                <w:color w:val="auto"/>
                <w:sz w:val="21"/>
                <w:szCs w:val="21"/>
                <w:highlight w:val="none"/>
                <w:lang w:val="en-US" w:eastAsia="zh-CN"/>
              </w:rPr>
              <w:t>1.5</w:t>
            </w:r>
          </w:p>
        </w:tc>
        <w:tc>
          <w:tcPr>
            <w:tcW w:w="1029" w:type="dxa"/>
            <w:tcBorders>
              <w:tl2br w:val="nil"/>
              <w:tr2bl w:val="nil"/>
            </w:tcBorders>
            <w:noWrap/>
            <w:tcMar>
              <w:top w:w="15" w:type="dxa"/>
              <w:left w:w="15" w:type="dxa"/>
              <w:right w:w="15" w:type="dxa"/>
            </w:tcMar>
            <w:vAlign w:val="center"/>
          </w:tcPr>
          <w:p w14:paraId="070DE7A5">
            <w:pPr>
              <w:pStyle w:val="34"/>
              <w:tabs>
                <w:tab w:val="left" w:pos="1389"/>
              </w:tabs>
              <w:bidi w:val="0"/>
              <w:rPr>
                <w:rFonts w:hint="eastAsia"/>
                <w:color w:val="auto"/>
                <w:lang w:val="en-US" w:eastAsia="zh-CN"/>
              </w:rPr>
            </w:pPr>
            <w:r>
              <w:rPr>
                <w:rFonts w:hint="default"/>
                <w:color w:val="auto"/>
                <w:lang w:val="en-US" w:eastAsia="zh-CN"/>
              </w:rPr>
              <w:t>202.9908</w:t>
            </w:r>
          </w:p>
        </w:tc>
        <w:tc>
          <w:tcPr>
            <w:tcW w:w="1029" w:type="dxa"/>
            <w:tcBorders>
              <w:tl2br w:val="nil"/>
              <w:tr2bl w:val="nil"/>
            </w:tcBorders>
            <w:noWrap/>
            <w:tcMar>
              <w:top w:w="15" w:type="dxa"/>
              <w:left w:w="15" w:type="dxa"/>
              <w:right w:w="15" w:type="dxa"/>
            </w:tcMar>
            <w:vAlign w:val="center"/>
          </w:tcPr>
          <w:p w14:paraId="0C9D341E">
            <w:pPr>
              <w:pStyle w:val="34"/>
              <w:tabs>
                <w:tab w:val="left" w:pos="1389"/>
              </w:tabs>
              <w:bidi w:val="0"/>
              <w:rPr>
                <w:rFonts w:hint="eastAsia"/>
                <w:color w:val="auto"/>
                <w:lang w:val="en-US" w:eastAsia="zh-CN"/>
              </w:rPr>
            </w:pPr>
            <w:r>
              <w:rPr>
                <w:rFonts w:hint="default"/>
                <w:color w:val="auto"/>
                <w:lang w:val="en-US" w:eastAsia="zh-CN"/>
              </w:rPr>
              <w:t>17.88</w:t>
            </w:r>
          </w:p>
        </w:tc>
      </w:tr>
      <w:tr w14:paraId="3B9B856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663" w:hRule="atLeast"/>
        </w:trPr>
        <w:tc>
          <w:tcPr>
            <w:tcW w:w="675" w:type="dxa"/>
            <w:tcBorders>
              <w:tl2br w:val="nil"/>
              <w:tr2bl w:val="nil"/>
            </w:tcBorders>
            <w:noWrap/>
            <w:tcMar>
              <w:top w:w="15" w:type="dxa"/>
              <w:left w:w="15" w:type="dxa"/>
              <w:right w:w="15" w:type="dxa"/>
            </w:tcMar>
            <w:vAlign w:val="center"/>
          </w:tcPr>
          <w:p w14:paraId="33985A3F">
            <w:pPr>
              <w:spacing w:line="240" w:lineRule="auto"/>
              <w:jc w:val="center"/>
              <w:rPr>
                <w:rFonts w:hint="eastAsia"/>
                <w:color w:val="auto"/>
                <w:sz w:val="21"/>
                <w:szCs w:val="21"/>
                <w:lang w:val="en-US" w:eastAsia="zh-CN"/>
              </w:rPr>
            </w:pPr>
          </w:p>
        </w:tc>
        <w:tc>
          <w:tcPr>
            <w:tcW w:w="2725" w:type="dxa"/>
            <w:gridSpan w:val="3"/>
            <w:tcBorders>
              <w:tl2br w:val="nil"/>
              <w:tr2bl w:val="nil"/>
            </w:tcBorders>
            <w:noWrap/>
            <w:tcMar>
              <w:top w:w="15" w:type="dxa"/>
              <w:left w:w="15" w:type="dxa"/>
              <w:right w:w="15" w:type="dxa"/>
            </w:tcMar>
            <w:vAlign w:val="center"/>
          </w:tcPr>
          <w:p w14:paraId="1AFB9504">
            <w:pPr>
              <w:pStyle w:val="34"/>
              <w:tabs>
                <w:tab w:val="left" w:pos="1389"/>
              </w:tabs>
              <w:jc w:val="center"/>
              <w:rPr>
                <w:rFonts w:hint="default"/>
                <w:color w:val="auto"/>
                <w:highlight w:val="yellow"/>
                <w:lang w:val="en-US"/>
              </w:rPr>
            </w:pPr>
            <w:r>
              <w:rPr>
                <w:rFonts w:hint="default" w:ascii="Times New Roman" w:hAnsi="Times New Roman" w:eastAsia="宋体" w:cs="Times New Roman"/>
                <w:color w:val="auto"/>
                <w:sz w:val="21"/>
                <w:szCs w:val="21"/>
                <w:lang w:val="en-US" w:eastAsia="zh-CN"/>
              </w:rPr>
              <w:t>裸露的岩石、荒地</w:t>
            </w:r>
            <w:r>
              <w:rPr>
                <w:rFonts w:hint="eastAsia" w:cs="Times New Roman"/>
                <w:color w:val="auto"/>
                <w:sz w:val="21"/>
                <w:szCs w:val="21"/>
                <w:lang w:val="en-US" w:eastAsia="zh-CN"/>
              </w:rPr>
              <w:t>、道路、住宅、工业用地等</w:t>
            </w:r>
          </w:p>
        </w:tc>
        <w:tc>
          <w:tcPr>
            <w:tcW w:w="1221" w:type="dxa"/>
            <w:tcBorders>
              <w:tl2br w:val="nil"/>
              <w:tr2bl w:val="nil"/>
            </w:tcBorders>
            <w:noWrap/>
            <w:tcMar>
              <w:top w:w="15" w:type="dxa"/>
              <w:left w:w="15" w:type="dxa"/>
              <w:right w:w="15" w:type="dxa"/>
            </w:tcMar>
            <w:vAlign w:val="center"/>
          </w:tcPr>
          <w:p w14:paraId="5B6C4B24">
            <w:pPr>
              <w:pStyle w:val="34"/>
              <w:tabs>
                <w:tab w:val="left" w:pos="1389"/>
              </w:tabs>
              <w:jc w:val="center"/>
              <w:rPr>
                <w:rFonts w:hint="eastAsia" w:eastAsia="宋体"/>
                <w:color w:val="auto"/>
                <w:sz w:val="21"/>
                <w:szCs w:val="21"/>
                <w:lang w:val="en-US" w:eastAsia="zh-CN"/>
              </w:rPr>
            </w:pPr>
            <w:r>
              <w:rPr>
                <w:rFonts w:hint="eastAsia"/>
                <w:color w:val="auto"/>
                <w:sz w:val="21"/>
                <w:szCs w:val="21"/>
                <w:lang w:val="en-US" w:eastAsia="zh-CN"/>
              </w:rPr>
              <w:t>/</w:t>
            </w:r>
          </w:p>
        </w:tc>
        <w:tc>
          <w:tcPr>
            <w:tcW w:w="1029" w:type="dxa"/>
            <w:tcBorders>
              <w:tl2br w:val="nil"/>
              <w:tr2bl w:val="nil"/>
            </w:tcBorders>
            <w:noWrap/>
            <w:tcMar>
              <w:top w:w="15" w:type="dxa"/>
              <w:left w:w="15" w:type="dxa"/>
              <w:right w:w="15" w:type="dxa"/>
            </w:tcMar>
            <w:vAlign w:val="center"/>
          </w:tcPr>
          <w:p w14:paraId="485C5652">
            <w:pPr>
              <w:pStyle w:val="34"/>
              <w:tabs>
                <w:tab w:val="left" w:pos="1389"/>
              </w:tabs>
              <w:jc w:val="center"/>
              <w:rPr>
                <w:rFonts w:hint="default"/>
                <w:color w:val="auto"/>
                <w:sz w:val="21"/>
                <w:szCs w:val="21"/>
                <w:highlight w:val="none"/>
                <w:lang w:val="en-US" w:eastAsia="zh-CN"/>
              </w:rPr>
            </w:pPr>
            <w:r>
              <w:rPr>
                <w:rFonts w:hint="eastAsia"/>
                <w:color w:val="auto"/>
                <w:sz w:val="21"/>
                <w:szCs w:val="21"/>
                <w:highlight w:val="none"/>
                <w:lang w:val="en-US" w:eastAsia="zh-CN"/>
              </w:rPr>
              <w:t>0.1617</w:t>
            </w:r>
          </w:p>
        </w:tc>
        <w:tc>
          <w:tcPr>
            <w:tcW w:w="1029" w:type="dxa"/>
            <w:tcBorders>
              <w:tl2br w:val="nil"/>
              <w:tr2bl w:val="nil"/>
            </w:tcBorders>
            <w:noWrap/>
            <w:tcMar>
              <w:top w:w="15" w:type="dxa"/>
              <w:left w:w="15" w:type="dxa"/>
              <w:right w:w="15" w:type="dxa"/>
            </w:tcMar>
            <w:vAlign w:val="center"/>
          </w:tcPr>
          <w:p w14:paraId="3B2220CB">
            <w:pPr>
              <w:pStyle w:val="34"/>
              <w:tabs>
                <w:tab w:val="left" w:pos="1389"/>
              </w:tabs>
              <w:jc w:val="center"/>
              <w:rPr>
                <w:rFonts w:hint="eastAsia"/>
                <w:color w:val="auto"/>
                <w:sz w:val="21"/>
                <w:szCs w:val="21"/>
                <w:highlight w:val="none"/>
                <w:lang w:val="en-US" w:eastAsia="zh-CN"/>
              </w:rPr>
            </w:pPr>
            <w:r>
              <w:rPr>
                <w:rFonts w:hint="eastAsia"/>
                <w:color w:val="auto"/>
                <w:sz w:val="21"/>
                <w:szCs w:val="21"/>
                <w:highlight w:val="none"/>
                <w:lang w:val="en-US" w:eastAsia="zh-CN"/>
              </w:rPr>
              <w:t>5.5</w:t>
            </w:r>
          </w:p>
        </w:tc>
        <w:tc>
          <w:tcPr>
            <w:tcW w:w="1029" w:type="dxa"/>
            <w:tcBorders>
              <w:tl2br w:val="nil"/>
              <w:tr2bl w:val="nil"/>
            </w:tcBorders>
            <w:noWrap/>
            <w:tcMar>
              <w:top w:w="15" w:type="dxa"/>
              <w:left w:w="15" w:type="dxa"/>
              <w:right w:w="15" w:type="dxa"/>
            </w:tcMar>
            <w:vAlign w:val="center"/>
          </w:tcPr>
          <w:p w14:paraId="03430389">
            <w:pPr>
              <w:pStyle w:val="34"/>
              <w:tabs>
                <w:tab w:val="left" w:pos="1389"/>
              </w:tabs>
              <w:bidi w:val="0"/>
              <w:rPr>
                <w:rFonts w:hint="eastAsia"/>
                <w:color w:val="auto"/>
                <w:lang w:val="en-US" w:eastAsia="zh-CN"/>
              </w:rPr>
            </w:pPr>
            <w:r>
              <w:rPr>
                <w:rFonts w:hint="default"/>
                <w:color w:val="auto"/>
                <w:lang w:val="en-US" w:eastAsia="zh-CN"/>
              </w:rPr>
              <w:t>37.8916</w:t>
            </w:r>
          </w:p>
        </w:tc>
        <w:tc>
          <w:tcPr>
            <w:tcW w:w="1029" w:type="dxa"/>
            <w:tcBorders>
              <w:tl2br w:val="nil"/>
              <w:tr2bl w:val="nil"/>
            </w:tcBorders>
            <w:noWrap/>
            <w:tcMar>
              <w:top w:w="15" w:type="dxa"/>
              <w:left w:w="15" w:type="dxa"/>
              <w:right w:w="15" w:type="dxa"/>
            </w:tcMar>
            <w:vAlign w:val="center"/>
          </w:tcPr>
          <w:p w14:paraId="5E17F457">
            <w:pPr>
              <w:pStyle w:val="34"/>
              <w:tabs>
                <w:tab w:val="left" w:pos="1389"/>
              </w:tabs>
              <w:bidi w:val="0"/>
              <w:rPr>
                <w:rFonts w:hint="default"/>
                <w:color w:val="auto"/>
                <w:lang w:val="en-US" w:eastAsia="zh-CN"/>
              </w:rPr>
            </w:pPr>
            <w:r>
              <w:rPr>
                <w:rFonts w:hint="default"/>
                <w:color w:val="auto"/>
                <w:lang w:val="en-US" w:eastAsia="zh-CN"/>
              </w:rPr>
              <w:t>3.34</w:t>
            </w:r>
          </w:p>
        </w:tc>
      </w:tr>
      <w:tr w14:paraId="494F6B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143" w:hRule="atLeast"/>
        </w:trPr>
        <w:tc>
          <w:tcPr>
            <w:tcW w:w="4621" w:type="dxa"/>
            <w:gridSpan w:val="5"/>
            <w:tcBorders>
              <w:tl2br w:val="nil"/>
              <w:tr2bl w:val="nil"/>
            </w:tcBorders>
            <w:noWrap/>
            <w:tcMar>
              <w:top w:w="15" w:type="dxa"/>
              <w:left w:w="15" w:type="dxa"/>
              <w:right w:w="15" w:type="dxa"/>
            </w:tcMar>
            <w:vAlign w:val="center"/>
          </w:tcPr>
          <w:p w14:paraId="019FF883">
            <w:pPr>
              <w:pStyle w:val="34"/>
              <w:tabs>
                <w:tab w:val="left" w:pos="1389"/>
              </w:tabs>
              <w:jc w:val="center"/>
              <w:rPr>
                <w:rFonts w:hint="eastAsia" w:eastAsia="宋体"/>
                <w:color w:val="auto"/>
                <w:sz w:val="21"/>
                <w:szCs w:val="21"/>
                <w:lang w:val="en-US" w:eastAsia="zh-CN"/>
              </w:rPr>
            </w:pPr>
            <w:r>
              <w:rPr>
                <w:rFonts w:hint="eastAsia"/>
                <w:color w:val="auto"/>
                <w:sz w:val="21"/>
                <w:szCs w:val="21"/>
                <w:lang w:val="en-US" w:eastAsia="zh-CN"/>
              </w:rPr>
              <w:t>合计</w:t>
            </w:r>
          </w:p>
        </w:tc>
        <w:tc>
          <w:tcPr>
            <w:tcW w:w="1029" w:type="dxa"/>
            <w:tcBorders>
              <w:tl2br w:val="nil"/>
              <w:tr2bl w:val="nil"/>
            </w:tcBorders>
            <w:noWrap/>
            <w:tcMar>
              <w:top w:w="15" w:type="dxa"/>
              <w:left w:w="15" w:type="dxa"/>
              <w:right w:w="15" w:type="dxa"/>
            </w:tcMar>
            <w:vAlign w:val="center"/>
          </w:tcPr>
          <w:p w14:paraId="6B511174">
            <w:pPr>
              <w:pStyle w:val="34"/>
              <w:tabs>
                <w:tab w:val="left" w:pos="1389"/>
              </w:tabs>
              <w:jc w:val="center"/>
              <w:rPr>
                <w:rFonts w:hint="default"/>
                <w:color w:val="auto"/>
                <w:sz w:val="21"/>
                <w:szCs w:val="21"/>
                <w:highlight w:val="none"/>
                <w:lang w:val="en-US" w:eastAsia="zh-CN"/>
              </w:rPr>
            </w:pPr>
            <w:r>
              <w:rPr>
                <w:rFonts w:hint="eastAsia"/>
                <w:color w:val="auto"/>
                <w:sz w:val="21"/>
                <w:szCs w:val="21"/>
                <w:highlight w:val="none"/>
                <w:lang w:val="en-US" w:eastAsia="zh-CN"/>
              </w:rPr>
              <w:t>2.9457</w:t>
            </w:r>
          </w:p>
        </w:tc>
        <w:tc>
          <w:tcPr>
            <w:tcW w:w="1029" w:type="dxa"/>
            <w:tcBorders>
              <w:tl2br w:val="nil"/>
              <w:tr2bl w:val="nil"/>
            </w:tcBorders>
            <w:noWrap/>
            <w:tcMar>
              <w:top w:w="15" w:type="dxa"/>
              <w:left w:w="15" w:type="dxa"/>
              <w:right w:w="15" w:type="dxa"/>
            </w:tcMar>
            <w:vAlign w:val="center"/>
          </w:tcPr>
          <w:p w14:paraId="59AB67D2">
            <w:pPr>
              <w:pStyle w:val="34"/>
              <w:tabs>
                <w:tab w:val="left" w:pos="1389"/>
              </w:tabs>
              <w:jc w:val="center"/>
              <w:rPr>
                <w:rFonts w:hint="default"/>
                <w:color w:val="auto"/>
                <w:sz w:val="21"/>
                <w:szCs w:val="21"/>
                <w:highlight w:val="none"/>
                <w:lang w:val="en-US" w:eastAsia="zh-CN"/>
              </w:rPr>
            </w:pPr>
            <w:r>
              <w:rPr>
                <w:rFonts w:hint="eastAsia"/>
                <w:color w:val="auto"/>
                <w:sz w:val="21"/>
                <w:szCs w:val="21"/>
                <w:highlight w:val="none"/>
                <w:lang w:val="en-US" w:eastAsia="zh-CN"/>
              </w:rPr>
              <w:t>100</w:t>
            </w:r>
          </w:p>
        </w:tc>
        <w:tc>
          <w:tcPr>
            <w:tcW w:w="1029" w:type="dxa"/>
            <w:tcBorders>
              <w:tl2br w:val="nil"/>
              <w:tr2bl w:val="nil"/>
            </w:tcBorders>
            <w:noWrap/>
            <w:tcMar>
              <w:top w:w="15" w:type="dxa"/>
              <w:left w:w="15" w:type="dxa"/>
              <w:right w:w="15" w:type="dxa"/>
            </w:tcMar>
            <w:vAlign w:val="center"/>
          </w:tcPr>
          <w:p w14:paraId="7EADAB67">
            <w:pPr>
              <w:pStyle w:val="34"/>
              <w:tabs>
                <w:tab w:val="left" w:pos="1389"/>
              </w:tabs>
              <w:bidi w:val="0"/>
              <w:rPr>
                <w:rFonts w:hint="default"/>
                <w:color w:val="auto"/>
                <w:lang w:val="en-US" w:eastAsia="zh-CN"/>
              </w:rPr>
            </w:pPr>
            <w:r>
              <w:rPr>
                <w:rFonts w:hint="default"/>
                <w:color w:val="auto"/>
                <w:lang w:val="en-US" w:eastAsia="zh-CN"/>
              </w:rPr>
              <w:t>1135.3951</w:t>
            </w:r>
          </w:p>
        </w:tc>
        <w:tc>
          <w:tcPr>
            <w:tcW w:w="1029" w:type="dxa"/>
            <w:tcBorders>
              <w:tl2br w:val="nil"/>
              <w:tr2bl w:val="nil"/>
            </w:tcBorders>
            <w:noWrap/>
            <w:tcMar>
              <w:top w:w="15" w:type="dxa"/>
              <w:left w:w="15" w:type="dxa"/>
              <w:right w:w="15" w:type="dxa"/>
            </w:tcMar>
            <w:vAlign w:val="center"/>
          </w:tcPr>
          <w:p w14:paraId="693624E3">
            <w:pPr>
              <w:pStyle w:val="34"/>
              <w:tabs>
                <w:tab w:val="left" w:pos="1389"/>
              </w:tabs>
              <w:bidi w:val="0"/>
              <w:rPr>
                <w:rFonts w:hint="default"/>
                <w:color w:val="auto"/>
                <w:lang w:val="en-US" w:eastAsia="zh-CN"/>
              </w:rPr>
            </w:pPr>
            <w:r>
              <w:rPr>
                <w:rFonts w:hint="default"/>
                <w:color w:val="auto"/>
                <w:lang w:val="en-US" w:eastAsia="zh-CN"/>
              </w:rPr>
              <w:t>100.00</w:t>
            </w:r>
          </w:p>
        </w:tc>
      </w:tr>
    </w:tbl>
    <w:p w14:paraId="24A33E89">
      <w:pPr>
        <w:pStyle w:val="42"/>
        <w:bidi w:val="0"/>
        <w:rPr>
          <w:color w:val="auto"/>
        </w:rPr>
      </w:pPr>
    </w:p>
    <w:p w14:paraId="66AB5C16">
      <w:pPr>
        <w:pStyle w:val="41"/>
        <w:bidi w:val="0"/>
        <w:rPr>
          <w:rFonts w:hint="eastAsia"/>
          <w:color w:val="auto"/>
          <w:lang w:val="en-US" w:eastAsia="zh-CN"/>
        </w:rPr>
      </w:pPr>
      <w:r>
        <w:rPr>
          <w:rFonts w:hint="eastAsia"/>
          <w:color w:val="auto"/>
          <w:lang w:val="en-US" w:eastAsia="zh-CN"/>
        </w:rPr>
        <w:t>（2）评价区植被类型及特点</w:t>
      </w:r>
    </w:p>
    <w:p w14:paraId="03023A89">
      <w:pPr>
        <w:pStyle w:val="41"/>
        <w:bidi w:val="0"/>
        <w:rPr>
          <w:color w:val="auto"/>
          <w:highlight w:val="none"/>
        </w:rPr>
      </w:pPr>
      <w:r>
        <w:rPr>
          <w:color w:val="auto"/>
          <w:highlight w:val="none"/>
        </w:rPr>
        <w:t>评价区面积</w:t>
      </w:r>
      <w:r>
        <w:rPr>
          <w:rFonts w:hint="eastAsia"/>
          <w:color w:val="auto"/>
          <w:highlight w:val="none"/>
          <w:lang w:val="en-US" w:eastAsia="zh-CN"/>
        </w:rPr>
        <w:t>1135.3951</w:t>
      </w:r>
      <w:r>
        <w:rPr>
          <w:color w:val="auto"/>
          <w:highlight w:val="none"/>
        </w:rPr>
        <w:t>hm</w:t>
      </w:r>
      <w:r>
        <w:rPr>
          <w:color w:val="auto"/>
          <w:highlight w:val="none"/>
          <w:vertAlign w:val="superscript"/>
        </w:rPr>
        <w:t>2</w:t>
      </w:r>
      <w:r>
        <w:rPr>
          <w:color w:val="auto"/>
          <w:highlight w:val="none"/>
        </w:rPr>
        <w:t>，周边村寨、耕地较多，受人为影响较大；目前植被类型主要是飞播造林</w:t>
      </w:r>
      <w:r>
        <w:rPr>
          <w:rFonts w:hint="eastAsia"/>
          <w:color w:val="auto"/>
          <w:highlight w:val="none"/>
          <w:lang w:val="en-US" w:eastAsia="zh-CN"/>
        </w:rPr>
        <w:t>形成的</w:t>
      </w:r>
      <w:r>
        <w:rPr>
          <w:color w:val="auto"/>
          <w:highlight w:val="none"/>
        </w:rPr>
        <w:t>暖温性针叶林</w:t>
      </w:r>
      <w:r>
        <w:rPr>
          <w:rFonts w:hint="eastAsia"/>
          <w:color w:val="auto"/>
          <w:highlight w:val="none"/>
          <w:lang w:eastAsia="zh-CN"/>
        </w:rPr>
        <w:t>，</w:t>
      </w:r>
      <w:r>
        <w:rPr>
          <w:rFonts w:hint="eastAsia"/>
          <w:color w:val="auto"/>
          <w:highlight w:val="none"/>
          <w:lang w:val="en-US" w:eastAsia="zh-CN"/>
        </w:rPr>
        <w:t>其次是由撂荒地演替而来的次生性禾草草丛。</w:t>
      </w:r>
      <w:r>
        <w:rPr>
          <w:color w:val="auto"/>
          <w:highlight w:val="none"/>
        </w:rPr>
        <w:t>其中自然植被共</w:t>
      </w:r>
      <w:r>
        <w:rPr>
          <w:rFonts w:hint="eastAsia"/>
          <w:color w:val="auto"/>
          <w:highlight w:val="none"/>
          <w:lang w:val="en-US" w:eastAsia="zh-CN"/>
        </w:rPr>
        <w:t>894.5127</w:t>
      </w:r>
      <w:r>
        <w:rPr>
          <w:color w:val="auto"/>
          <w:highlight w:val="none"/>
        </w:rPr>
        <w:t>hm</w:t>
      </w:r>
      <w:r>
        <w:rPr>
          <w:color w:val="auto"/>
          <w:highlight w:val="none"/>
          <w:vertAlign w:val="superscript"/>
        </w:rPr>
        <w:t>2</w:t>
      </w:r>
      <w:r>
        <w:rPr>
          <w:color w:val="auto"/>
          <w:highlight w:val="none"/>
        </w:rPr>
        <w:t>，占评价区总面积的</w:t>
      </w:r>
      <w:r>
        <w:rPr>
          <w:rFonts w:hint="eastAsia"/>
          <w:color w:val="auto"/>
          <w:highlight w:val="none"/>
          <w:lang w:val="en-US" w:eastAsia="zh-CN"/>
        </w:rPr>
        <w:t>78.78</w:t>
      </w:r>
      <w:r>
        <w:rPr>
          <w:color w:val="auto"/>
          <w:highlight w:val="none"/>
        </w:rPr>
        <w:t>%；人工植被</w:t>
      </w:r>
      <w:r>
        <w:rPr>
          <w:rFonts w:hint="eastAsia"/>
          <w:color w:val="auto"/>
          <w:highlight w:val="none"/>
          <w:lang w:val="en-US" w:eastAsia="zh-CN"/>
        </w:rPr>
        <w:t>202.9908</w:t>
      </w:r>
      <w:r>
        <w:rPr>
          <w:color w:val="auto"/>
          <w:highlight w:val="none"/>
        </w:rPr>
        <w:t>hm</w:t>
      </w:r>
      <w:r>
        <w:rPr>
          <w:color w:val="auto"/>
          <w:highlight w:val="none"/>
          <w:vertAlign w:val="superscript"/>
        </w:rPr>
        <w:t>2</w:t>
      </w:r>
      <w:r>
        <w:rPr>
          <w:color w:val="auto"/>
          <w:highlight w:val="none"/>
        </w:rPr>
        <w:t>，占评价区总面积的</w:t>
      </w:r>
      <w:r>
        <w:rPr>
          <w:rFonts w:hint="eastAsia"/>
          <w:color w:val="auto"/>
          <w:highlight w:val="none"/>
          <w:lang w:val="en-US" w:eastAsia="zh-CN"/>
        </w:rPr>
        <w:t>17.88</w:t>
      </w:r>
      <w:r>
        <w:rPr>
          <w:color w:val="auto"/>
          <w:highlight w:val="none"/>
        </w:rPr>
        <w:t>%。</w:t>
      </w:r>
    </w:p>
    <w:p w14:paraId="2C00647C">
      <w:pPr>
        <w:pStyle w:val="41"/>
        <w:bidi w:val="0"/>
        <w:rPr>
          <w:color w:val="auto"/>
          <w:highlight w:val="none"/>
        </w:rPr>
      </w:pPr>
      <w:r>
        <w:rPr>
          <w:color w:val="auto"/>
          <w:highlight w:val="none"/>
        </w:rPr>
        <w:t>评价区自然植被</w:t>
      </w:r>
      <w:r>
        <w:rPr>
          <w:rFonts w:hint="eastAsia"/>
          <w:color w:val="auto"/>
          <w:highlight w:val="none"/>
          <w:lang w:val="en-US" w:eastAsia="zh-CN"/>
        </w:rPr>
        <w:t>中</w:t>
      </w:r>
      <w:r>
        <w:rPr>
          <w:color w:val="auto"/>
          <w:highlight w:val="none"/>
        </w:rPr>
        <w:t>暖温性针叶林面积最大，为</w:t>
      </w:r>
      <w:r>
        <w:rPr>
          <w:rFonts w:hint="eastAsia"/>
          <w:color w:val="auto"/>
          <w:highlight w:val="none"/>
          <w:lang w:val="en-US" w:eastAsia="zh-CN"/>
        </w:rPr>
        <w:t>683.4023</w:t>
      </w:r>
      <w:r>
        <w:rPr>
          <w:color w:val="auto"/>
          <w:highlight w:val="none"/>
        </w:rPr>
        <w:t>hm</w:t>
      </w:r>
      <w:r>
        <w:rPr>
          <w:color w:val="auto"/>
          <w:highlight w:val="none"/>
          <w:vertAlign w:val="superscript"/>
        </w:rPr>
        <w:t>2</w:t>
      </w:r>
      <w:r>
        <w:rPr>
          <w:color w:val="auto"/>
          <w:highlight w:val="none"/>
        </w:rPr>
        <w:t>，占评价区总面积的</w:t>
      </w:r>
      <w:r>
        <w:rPr>
          <w:rFonts w:hint="eastAsia"/>
          <w:color w:val="auto"/>
          <w:highlight w:val="none"/>
          <w:lang w:val="en-US" w:eastAsia="zh-CN"/>
        </w:rPr>
        <w:t>60.19</w:t>
      </w:r>
      <w:r>
        <w:rPr>
          <w:color w:val="auto"/>
          <w:highlight w:val="none"/>
        </w:rPr>
        <w:t>%；其次</w:t>
      </w:r>
      <w:r>
        <w:rPr>
          <w:rFonts w:hint="eastAsia"/>
          <w:color w:val="auto"/>
          <w:highlight w:val="none"/>
          <w:lang w:val="en-US" w:eastAsia="zh-CN"/>
        </w:rPr>
        <w:t>为次生性禾草草丛，为120.4412</w:t>
      </w:r>
      <w:r>
        <w:rPr>
          <w:color w:val="auto"/>
          <w:highlight w:val="none"/>
        </w:rPr>
        <w:t>hm</w:t>
      </w:r>
      <w:r>
        <w:rPr>
          <w:color w:val="auto"/>
          <w:highlight w:val="none"/>
          <w:vertAlign w:val="superscript"/>
        </w:rPr>
        <w:t>2</w:t>
      </w:r>
      <w:r>
        <w:rPr>
          <w:color w:val="auto"/>
          <w:highlight w:val="none"/>
        </w:rPr>
        <w:t>，占评价区总面积的</w:t>
      </w:r>
      <w:r>
        <w:rPr>
          <w:rFonts w:hint="eastAsia"/>
          <w:color w:val="auto"/>
          <w:highlight w:val="none"/>
          <w:lang w:val="en-US" w:eastAsia="zh-CN"/>
        </w:rPr>
        <w:t>10.61</w:t>
      </w:r>
      <w:r>
        <w:rPr>
          <w:color w:val="auto"/>
          <w:highlight w:val="none"/>
        </w:rPr>
        <w:t>%。</w:t>
      </w:r>
    </w:p>
    <w:p w14:paraId="642CFE57">
      <w:pPr>
        <w:pStyle w:val="41"/>
        <w:bidi w:val="0"/>
        <w:rPr>
          <w:color w:val="auto"/>
          <w:highlight w:val="none"/>
        </w:rPr>
      </w:pPr>
      <w:r>
        <w:rPr>
          <w:color w:val="auto"/>
          <w:highlight w:val="none"/>
        </w:rPr>
        <w:t>人工植被</w:t>
      </w:r>
      <w:r>
        <w:rPr>
          <w:rFonts w:hint="eastAsia"/>
          <w:color w:val="auto"/>
          <w:highlight w:val="none"/>
          <w:lang w:val="en-US" w:eastAsia="zh-CN"/>
        </w:rPr>
        <w:t>以</w:t>
      </w:r>
      <w:r>
        <w:rPr>
          <w:color w:val="auto"/>
          <w:highlight w:val="none"/>
        </w:rPr>
        <w:t>耕地面积</w:t>
      </w:r>
      <w:r>
        <w:rPr>
          <w:rFonts w:hint="eastAsia"/>
          <w:color w:val="auto"/>
          <w:highlight w:val="none"/>
          <w:lang w:val="en-US" w:eastAsia="zh-CN"/>
        </w:rPr>
        <w:t>为主</w:t>
      </w:r>
      <w:r>
        <w:rPr>
          <w:color w:val="auto"/>
          <w:highlight w:val="none"/>
        </w:rPr>
        <w:t>，</w:t>
      </w:r>
      <w:r>
        <w:rPr>
          <w:rFonts w:hint="eastAsia"/>
          <w:color w:val="auto"/>
          <w:highlight w:val="none"/>
          <w:lang w:val="en-US" w:eastAsia="zh-CN"/>
        </w:rPr>
        <w:t>耕地植被面积</w:t>
      </w:r>
      <w:r>
        <w:rPr>
          <w:color w:val="auto"/>
          <w:highlight w:val="none"/>
        </w:rPr>
        <w:t>为</w:t>
      </w:r>
      <w:r>
        <w:rPr>
          <w:rFonts w:hint="eastAsia"/>
          <w:color w:val="auto"/>
          <w:highlight w:val="none"/>
          <w:lang w:val="en-US" w:eastAsia="zh-CN"/>
        </w:rPr>
        <w:t>202.9908</w:t>
      </w:r>
      <w:r>
        <w:rPr>
          <w:color w:val="auto"/>
          <w:highlight w:val="none"/>
        </w:rPr>
        <w:t>hm</w:t>
      </w:r>
      <w:r>
        <w:rPr>
          <w:color w:val="auto"/>
          <w:highlight w:val="none"/>
          <w:vertAlign w:val="superscript"/>
        </w:rPr>
        <w:t>2</w:t>
      </w:r>
      <w:r>
        <w:rPr>
          <w:color w:val="auto"/>
          <w:highlight w:val="none"/>
        </w:rPr>
        <w:t>，占评价区的面积的</w:t>
      </w:r>
      <w:r>
        <w:rPr>
          <w:rFonts w:hint="eastAsia"/>
          <w:color w:val="auto"/>
          <w:highlight w:val="none"/>
          <w:lang w:val="en-US" w:eastAsia="zh-CN"/>
        </w:rPr>
        <w:t>17.88</w:t>
      </w:r>
      <w:r>
        <w:rPr>
          <w:color w:val="auto"/>
          <w:highlight w:val="none"/>
        </w:rPr>
        <w:t>%；</w:t>
      </w:r>
      <w:r>
        <w:rPr>
          <w:rFonts w:hint="eastAsia"/>
          <w:color w:val="auto"/>
          <w:highlight w:val="none"/>
          <w:lang w:val="en-US" w:eastAsia="zh-CN"/>
        </w:rPr>
        <w:t>其他无植被区共计37.8916</w:t>
      </w:r>
      <w:r>
        <w:rPr>
          <w:color w:val="auto"/>
          <w:highlight w:val="none"/>
        </w:rPr>
        <w:t>hm</w:t>
      </w:r>
      <w:r>
        <w:rPr>
          <w:color w:val="auto"/>
          <w:highlight w:val="none"/>
          <w:vertAlign w:val="superscript"/>
        </w:rPr>
        <w:t>2</w:t>
      </w:r>
      <w:r>
        <w:rPr>
          <w:color w:val="auto"/>
          <w:highlight w:val="none"/>
        </w:rPr>
        <w:t>，占评价区的面积的</w:t>
      </w:r>
      <w:r>
        <w:rPr>
          <w:rFonts w:hint="eastAsia"/>
          <w:color w:val="auto"/>
          <w:highlight w:val="none"/>
          <w:lang w:val="en-US" w:eastAsia="zh-CN"/>
        </w:rPr>
        <w:t>3.34</w:t>
      </w:r>
      <w:r>
        <w:rPr>
          <w:color w:val="auto"/>
          <w:highlight w:val="none"/>
        </w:rPr>
        <w:t>%。</w:t>
      </w:r>
    </w:p>
    <w:p w14:paraId="5CB0FA37">
      <w:pPr>
        <w:pStyle w:val="41"/>
        <w:bidi w:val="0"/>
        <w:rPr>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color w:val="auto"/>
        </w:rPr>
        <w:t>自然植被</w:t>
      </w:r>
    </w:p>
    <w:p w14:paraId="1BC57A19">
      <w:pPr>
        <w:pStyle w:val="41"/>
        <w:bidi w:val="0"/>
        <w:rPr>
          <w:rFonts w:hint="eastAsia"/>
          <w:color w:val="auto"/>
        </w:rPr>
      </w:pPr>
      <w:r>
        <w:rPr>
          <w:rFonts w:hint="eastAsia"/>
          <w:color w:val="auto"/>
        </w:rPr>
        <w:t>评价区内的主要植被类型</w:t>
      </w:r>
      <w:r>
        <w:rPr>
          <w:rFonts w:hint="eastAsia"/>
          <w:color w:val="auto"/>
          <w:lang w:eastAsia="zh-CN"/>
        </w:rPr>
        <w:t>（</w:t>
      </w:r>
      <w:r>
        <w:rPr>
          <w:rFonts w:hint="eastAsia"/>
          <w:color w:val="auto"/>
        </w:rPr>
        <w:t>植被型)包括暖性针叶林、灌丛和草地。区内各自然植被的主要特征叙述如下：</w:t>
      </w:r>
    </w:p>
    <w:p w14:paraId="74109B89">
      <w:pPr>
        <w:pStyle w:val="41"/>
        <w:bidi w:val="0"/>
        <w:rPr>
          <w:rFonts w:hint="default" w:ascii="Times New Roman" w:hAnsi="Times New Roman" w:cs="Times New Roman"/>
          <w:color w:val="auto"/>
        </w:rPr>
      </w:pPr>
      <w:r>
        <w:rPr>
          <w:rFonts w:hint="default" w:ascii="Times New Roman" w:hAnsi="Times New Roman" w:cs="Times New Roman"/>
          <w:color w:val="auto"/>
        </w:rPr>
        <w:fldChar w:fldCharType="begin"/>
      </w:r>
      <w:r>
        <w:rPr>
          <w:rFonts w:hint="default" w:ascii="Times New Roman" w:hAnsi="Times New Roman" w:cs="Times New Roman"/>
          <w:color w:val="auto"/>
        </w:rPr>
        <w:instrText xml:space="preserve"> = 1 \* ROMAN </w:instrText>
      </w:r>
      <w:r>
        <w:rPr>
          <w:rFonts w:hint="default" w:ascii="Times New Roman" w:hAnsi="Times New Roman" w:cs="Times New Roman"/>
          <w:color w:val="auto"/>
        </w:rPr>
        <w:fldChar w:fldCharType="separate"/>
      </w:r>
      <w:r>
        <w:rPr>
          <w:rFonts w:hint="default" w:ascii="Times New Roman" w:hAnsi="Times New Roman" w:cs="Times New Roman"/>
          <w:color w:val="auto"/>
        </w:rPr>
        <w:t>I</w:t>
      </w:r>
      <w:r>
        <w:rPr>
          <w:rFonts w:hint="default" w:ascii="Times New Roman" w:hAnsi="Times New Roman" w:cs="Times New Roman"/>
          <w:color w:val="auto"/>
        </w:rPr>
        <w:fldChar w:fldCharType="end"/>
      </w:r>
      <w:r>
        <w:rPr>
          <w:rFonts w:hint="default" w:ascii="Times New Roman" w:hAnsi="Times New Roman" w:cs="Times New Roman"/>
          <w:color w:val="auto"/>
        </w:rPr>
        <w:t>.半湿润常绿阔叶林</w:t>
      </w:r>
    </w:p>
    <w:p w14:paraId="4A955AB5">
      <w:pPr>
        <w:pStyle w:val="41"/>
        <w:bidi w:val="0"/>
        <w:rPr>
          <w:rFonts w:hint="default" w:ascii="Times New Roman" w:hAnsi="Times New Roman" w:cs="Times New Roman"/>
          <w:color w:val="auto"/>
        </w:rPr>
      </w:pPr>
      <w:r>
        <w:rPr>
          <w:rFonts w:hint="default" w:ascii="Times New Roman" w:hAnsi="Times New Roman" w:cs="Times New Roman"/>
          <w:color w:val="auto"/>
        </w:rPr>
        <w:t>调查区的半湿润常绿阔叶林分布海拔2300m左右。该区的半湿润常绿阔叶林主要分布于XZB1</w:t>
      </w:r>
      <w:r>
        <w:rPr>
          <w:rFonts w:hint="default" w:ascii="Times New Roman" w:hAnsi="Times New Roman" w:cs="Times New Roman"/>
          <w:color w:val="auto"/>
          <w:lang w:val="en-US" w:eastAsia="zh-CN"/>
        </w:rPr>
        <w:t>6</w:t>
      </w:r>
      <w:r>
        <w:rPr>
          <w:rFonts w:hint="default" w:ascii="Times New Roman" w:hAnsi="Times New Roman" w:cs="Times New Roman"/>
          <w:color w:val="auto"/>
        </w:rPr>
        <w:t>-02风机周边，未被风机占用，</w:t>
      </w:r>
      <w:r>
        <w:rPr>
          <w:rFonts w:hint="default" w:ascii="Times New Roman" w:hAnsi="Times New Roman" w:cs="Times New Roman"/>
          <w:color w:val="auto"/>
          <w:lang w:val="en-US" w:eastAsia="zh-CN"/>
        </w:rPr>
        <w:t>位于</w:t>
      </w:r>
      <w:r>
        <w:rPr>
          <w:rFonts w:hint="eastAsia" w:cs="Times New Roman"/>
          <w:color w:val="auto"/>
          <w:lang w:eastAsia="zh-CN"/>
        </w:rPr>
        <w:t>风机平台</w:t>
      </w:r>
      <w:r>
        <w:rPr>
          <w:rFonts w:hint="default" w:ascii="Times New Roman" w:hAnsi="Times New Roman" w:cs="Times New Roman"/>
          <w:color w:val="auto"/>
          <w:lang w:val="en-US" w:eastAsia="zh-CN"/>
        </w:rPr>
        <w:t>300m评价范围之内</w:t>
      </w:r>
      <w:r>
        <w:rPr>
          <w:rFonts w:hint="default" w:ascii="Times New Roman" w:hAnsi="Times New Roman" w:cs="Times New Roman"/>
          <w:color w:val="auto"/>
        </w:rPr>
        <w:t>，以滇青冈、滇石栎为主，由于经过</w:t>
      </w:r>
      <w:r>
        <w:rPr>
          <w:rFonts w:hint="eastAsia" w:cs="Times New Roman"/>
          <w:color w:val="auto"/>
          <w:lang w:val="en-US" w:eastAsia="zh-CN"/>
        </w:rPr>
        <w:t>连续不断</w:t>
      </w:r>
      <w:r>
        <w:rPr>
          <w:rFonts w:hint="eastAsia" w:cs="Times New Roman"/>
          <w:color w:val="auto"/>
          <w:lang w:eastAsia="zh-CN"/>
        </w:rPr>
        <w:t>地</w:t>
      </w:r>
      <w:r>
        <w:rPr>
          <w:rFonts w:hint="default" w:ascii="Times New Roman" w:hAnsi="Times New Roman" w:cs="Times New Roman"/>
          <w:color w:val="auto"/>
        </w:rPr>
        <w:t>采伐、砍伐，目前大径级的林木已经不再存在，多数林木高度不高，胸径也不大，处于中幼林阶段，长势差。根据群落的</w:t>
      </w:r>
      <w:r>
        <w:rPr>
          <w:rFonts w:hint="eastAsia" w:cs="Times New Roman"/>
          <w:color w:val="auto"/>
          <w:lang w:eastAsia="zh-CN"/>
        </w:rPr>
        <w:t>主要</w:t>
      </w:r>
      <w:r>
        <w:rPr>
          <w:rFonts w:hint="default" w:ascii="Times New Roman" w:hAnsi="Times New Roman" w:cs="Times New Roman"/>
          <w:color w:val="auto"/>
        </w:rPr>
        <w:t>优势成分，调查区的半湿润常绿阔叶林仅1个群系即滇青冈-滇石栎群</w:t>
      </w:r>
      <w:r>
        <w:rPr>
          <w:rFonts w:hint="default" w:ascii="Times New Roman" w:hAnsi="Times New Roman" w:cs="Times New Roman"/>
          <w:color w:val="auto"/>
          <w:lang w:val="en-US" w:eastAsia="zh-CN"/>
        </w:rPr>
        <w:t>落</w:t>
      </w:r>
      <w:r>
        <w:rPr>
          <w:rFonts w:hint="default" w:ascii="Times New Roman" w:hAnsi="Times New Roman" w:cs="Times New Roman"/>
          <w:color w:val="auto"/>
        </w:rPr>
        <w:t>。</w:t>
      </w:r>
    </w:p>
    <w:p w14:paraId="6B3BA542">
      <w:pPr>
        <w:pStyle w:val="41"/>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①</w:t>
      </w:r>
      <w:r>
        <w:rPr>
          <w:rFonts w:hint="default" w:ascii="Times New Roman" w:hAnsi="Times New Roman" w:cs="Times New Roman"/>
          <w:color w:val="auto"/>
        </w:rPr>
        <w:t>滇青冈-滇石栎群</w:t>
      </w:r>
      <w:r>
        <w:rPr>
          <w:rFonts w:hint="default" w:ascii="Times New Roman" w:hAnsi="Times New Roman" w:cs="Times New Roman"/>
          <w:color w:val="auto"/>
          <w:lang w:val="en-US" w:eastAsia="zh-CN"/>
        </w:rPr>
        <w:t>落</w:t>
      </w:r>
    </w:p>
    <w:p w14:paraId="752B54F2">
      <w:pPr>
        <w:pStyle w:val="41"/>
        <w:bidi w:val="0"/>
        <w:rPr>
          <w:color w:val="auto"/>
        </w:rPr>
      </w:pPr>
      <w:r>
        <w:rPr>
          <w:color w:val="auto"/>
        </w:rPr>
        <w:t>乔木层盖度50%，高5</w:t>
      </w:r>
      <w:r>
        <w:rPr>
          <w:rFonts w:hint="eastAsia"/>
          <w:color w:val="auto"/>
          <w:lang w:eastAsia="zh-CN"/>
        </w:rPr>
        <w:t>～</w:t>
      </w:r>
      <w:r>
        <w:rPr>
          <w:color w:val="auto"/>
        </w:rPr>
        <w:t>9.5</w:t>
      </w:r>
      <w:r>
        <w:rPr>
          <w:i/>
          <w:iCs/>
          <w:color w:val="auto"/>
        </w:rPr>
        <w:t>m</w:t>
      </w:r>
      <w:r>
        <w:rPr>
          <w:color w:val="auto"/>
        </w:rPr>
        <w:t>，胸径5</w:t>
      </w:r>
      <w:r>
        <w:rPr>
          <w:rFonts w:hint="eastAsia"/>
          <w:color w:val="auto"/>
          <w:lang w:eastAsia="zh-CN"/>
        </w:rPr>
        <w:t>～</w:t>
      </w:r>
      <w:r>
        <w:rPr>
          <w:color w:val="auto"/>
        </w:rPr>
        <w:t>12.6</w:t>
      </w:r>
      <w:r>
        <w:rPr>
          <w:i/>
          <w:iCs/>
          <w:color w:val="auto"/>
        </w:rPr>
        <w:t>cm</w:t>
      </w:r>
      <w:r>
        <w:rPr>
          <w:color w:val="auto"/>
        </w:rPr>
        <w:t>。以滇青冈</w:t>
      </w:r>
      <w:r>
        <w:rPr>
          <w:i/>
          <w:iCs/>
          <w:color w:val="auto"/>
        </w:rPr>
        <w:t>Cyclobalanopsis</w:t>
      </w:r>
      <w:r>
        <w:rPr>
          <w:color w:val="auto"/>
        </w:rPr>
        <w:t xml:space="preserve"> </w:t>
      </w:r>
      <w:r>
        <w:rPr>
          <w:i/>
          <w:iCs/>
          <w:color w:val="auto"/>
        </w:rPr>
        <w:t>glaucoide</w:t>
      </w:r>
      <w:r>
        <w:rPr>
          <w:color w:val="auto"/>
        </w:rPr>
        <w:t>、滇石栎</w:t>
      </w:r>
      <w:r>
        <w:rPr>
          <w:i/>
          <w:iCs/>
          <w:color w:val="auto"/>
        </w:rPr>
        <w:t>Lithocarpus</w:t>
      </w:r>
      <w:r>
        <w:rPr>
          <w:color w:val="auto"/>
        </w:rPr>
        <w:t xml:space="preserve"> </w:t>
      </w:r>
      <w:r>
        <w:rPr>
          <w:i/>
          <w:iCs/>
          <w:color w:val="auto"/>
        </w:rPr>
        <w:t>dealbatus</w:t>
      </w:r>
      <w:r>
        <w:rPr>
          <w:color w:val="auto"/>
        </w:rPr>
        <w:t>为优势，亚优势以云南松</w:t>
      </w:r>
      <w:r>
        <w:rPr>
          <w:i/>
          <w:iCs/>
          <w:color w:val="auto"/>
        </w:rPr>
        <w:t>Pinus</w:t>
      </w:r>
      <w:r>
        <w:rPr>
          <w:color w:val="auto"/>
        </w:rPr>
        <w:t xml:space="preserve"> </w:t>
      </w:r>
      <w:r>
        <w:rPr>
          <w:i/>
          <w:iCs/>
          <w:color w:val="auto"/>
        </w:rPr>
        <w:t>yunnanensis</w:t>
      </w:r>
      <w:r>
        <w:rPr>
          <w:color w:val="auto"/>
        </w:rPr>
        <w:t>为主，其他的还有川梨</w:t>
      </w:r>
      <w:r>
        <w:rPr>
          <w:i/>
          <w:iCs/>
          <w:color w:val="auto"/>
        </w:rPr>
        <w:t>Pyrus</w:t>
      </w:r>
      <w:r>
        <w:rPr>
          <w:rFonts w:hint="eastAsia"/>
          <w:color w:val="auto"/>
          <w:lang w:val="en-US" w:eastAsia="zh-CN"/>
        </w:rPr>
        <w:t xml:space="preserve"> </w:t>
      </w:r>
      <w:r>
        <w:rPr>
          <w:i/>
          <w:iCs/>
          <w:color w:val="auto"/>
        </w:rPr>
        <w:t>pashia</w:t>
      </w:r>
      <w:r>
        <w:rPr>
          <w:color w:val="auto"/>
        </w:rPr>
        <w:t>、野柿</w:t>
      </w:r>
      <w:r>
        <w:rPr>
          <w:i/>
          <w:iCs/>
          <w:color w:val="auto"/>
        </w:rPr>
        <w:t>Diospyros</w:t>
      </w:r>
      <w:r>
        <w:rPr>
          <w:color w:val="auto"/>
        </w:rPr>
        <w:t xml:space="preserve"> </w:t>
      </w:r>
      <w:r>
        <w:rPr>
          <w:i/>
          <w:iCs/>
          <w:color w:val="auto"/>
        </w:rPr>
        <w:t>kaki</w:t>
      </w:r>
      <w:r>
        <w:rPr>
          <w:color w:val="auto"/>
        </w:rPr>
        <w:t>等。</w:t>
      </w:r>
    </w:p>
    <w:p w14:paraId="21F610B1">
      <w:pPr>
        <w:pStyle w:val="41"/>
        <w:bidi w:val="0"/>
        <w:rPr>
          <w:color w:val="auto"/>
        </w:rPr>
      </w:pPr>
      <w:r>
        <w:rPr>
          <w:color w:val="auto"/>
        </w:rPr>
        <w:t>灌木层盖度</w:t>
      </w:r>
      <w:r>
        <w:rPr>
          <w:rFonts w:hint="eastAsia"/>
          <w:color w:val="auto"/>
          <w:lang w:eastAsia="zh-CN"/>
        </w:rPr>
        <w:t>15%～20%</w:t>
      </w:r>
      <w:r>
        <w:rPr>
          <w:color w:val="auto"/>
        </w:rPr>
        <w:t>，高0.5</w:t>
      </w:r>
      <w:r>
        <w:rPr>
          <w:rFonts w:hint="eastAsia"/>
          <w:color w:val="auto"/>
          <w:lang w:eastAsia="zh-CN"/>
        </w:rPr>
        <w:t>～</w:t>
      </w:r>
      <w:r>
        <w:rPr>
          <w:color w:val="auto"/>
        </w:rPr>
        <w:t>3</w:t>
      </w:r>
      <w:r>
        <w:rPr>
          <w:i/>
          <w:iCs/>
          <w:color w:val="auto"/>
        </w:rPr>
        <w:t>m</w:t>
      </w:r>
      <w:r>
        <w:rPr>
          <w:color w:val="auto"/>
        </w:rPr>
        <w:t>。灌木以臭荚蒾</w:t>
      </w:r>
      <w:r>
        <w:rPr>
          <w:i/>
          <w:iCs/>
          <w:color w:val="auto"/>
        </w:rPr>
        <w:t>Viburnumfoetidum</w:t>
      </w:r>
      <w:r>
        <w:rPr>
          <w:color w:val="auto"/>
        </w:rPr>
        <w:t>、川梨</w:t>
      </w:r>
      <w:r>
        <w:rPr>
          <w:i/>
          <w:iCs/>
          <w:color w:val="auto"/>
        </w:rPr>
        <w:t>Pyrus</w:t>
      </w:r>
      <w:r>
        <w:rPr>
          <w:color w:val="auto"/>
        </w:rPr>
        <w:t xml:space="preserve"> </w:t>
      </w:r>
      <w:r>
        <w:rPr>
          <w:i/>
          <w:iCs/>
          <w:color w:val="auto"/>
        </w:rPr>
        <w:t>pashia</w:t>
      </w:r>
      <w:r>
        <w:rPr>
          <w:color w:val="auto"/>
        </w:rPr>
        <w:t>为优势，乔木幼树有滇青冈</w:t>
      </w:r>
      <w:r>
        <w:rPr>
          <w:i/>
          <w:iCs/>
          <w:color w:val="auto"/>
        </w:rPr>
        <w:t>Cyclobalanopsis</w:t>
      </w:r>
      <w:r>
        <w:rPr>
          <w:color w:val="auto"/>
        </w:rPr>
        <w:t xml:space="preserve"> </w:t>
      </w:r>
      <w:r>
        <w:rPr>
          <w:i/>
          <w:iCs/>
          <w:color w:val="auto"/>
        </w:rPr>
        <w:t>glaucoides</w:t>
      </w:r>
      <w:r>
        <w:rPr>
          <w:color w:val="auto"/>
        </w:rPr>
        <w:t>、构树</w:t>
      </w:r>
      <w:r>
        <w:rPr>
          <w:i/>
          <w:iCs/>
          <w:color w:val="auto"/>
        </w:rPr>
        <w:t>Broussonetia</w:t>
      </w:r>
      <w:r>
        <w:rPr>
          <w:rFonts w:hint="eastAsia"/>
          <w:color w:val="auto"/>
          <w:lang w:val="en-US" w:eastAsia="zh-CN"/>
        </w:rPr>
        <w:t xml:space="preserve"> </w:t>
      </w:r>
      <w:r>
        <w:rPr>
          <w:i/>
          <w:iCs/>
          <w:color w:val="auto"/>
        </w:rPr>
        <w:t>papyrifera</w:t>
      </w:r>
      <w:r>
        <w:rPr>
          <w:color w:val="auto"/>
        </w:rPr>
        <w:t>，其他的灌木还有楤木</w:t>
      </w:r>
      <w:r>
        <w:rPr>
          <w:i/>
          <w:iCs/>
          <w:color w:val="auto"/>
        </w:rPr>
        <w:t>Aralia</w:t>
      </w:r>
      <w:r>
        <w:rPr>
          <w:color w:val="auto"/>
        </w:rPr>
        <w:t xml:space="preserve"> </w:t>
      </w:r>
      <w:r>
        <w:rPr>
          <w:i/>
          <w:iCs/>
          <w:color w:val="auto"/>
        </w:rPr>
        <w:t>chinensis</w:t>
      </w:r>
      <w:r>
        <w:rPr>
          <w:color w:val="auto"/>
        </w:rPr>
        <w:t>、滇鼠刺</w:t>
      </w:r>
      <w:r>
        <w:rPr>
          <w:i/>
          <w:iCs/>
          <w:color w:val="auto"/>
        </w:rPr>
        <w:t>Itea</w:t>
      </w:r>
      <w:r>
        <w:rPr>
          <w:color w:val="auto"/>
        </w:rPr>
        <w:t xml:space="preserve"> </w:t>
      </w:r>
      <w:r>
        <w:rPr>
          <w:i/>
          <w:iCs/>
          <w:color w:val="auto"/>
        </w:rPr>
        <w:t>yunnanensis</w:t>
      </w:r>
      <w:r>
        <w:rPr>
          <w:color w:val="auto"/>
        </w:rPr>
        <w:t>、多花勾儿茶</w:t>
      </w:r>
      <w:r>
        <w:rPr>
          <w:i/>
          <w:iCs/>
          <w:color w:val="auto"/>
        </w:rPr>
        <w:t>Berchemia</w:t>
      </w:r>
      <w:r>
        <w:rPr>
          <w:rFonts w:hint="eastAsia"/>
          <w:color w:val="auto"/>
          <w:lang w:val="en-US" w:eastAsia="zh-CN"/>
        </w:rPr>
        <w:t xml:space="preserve"> </w:t>
      </w:r>
      <w:r>
        <w:rPr>
          <w:i/>
          <w:iCs/>
          <w:color w:val="auto"/>
        </w:rPr>
        <w:t>floribunda</w:t>
      </w:r>
      <w:r>
        <w:rPr>
          <w:color w:val="auto"/>
        </w:rPr>
        <w:t>、红雾水葛</w:t>
      </w:r>
      <w:r>
        <w:rPr>
          <w:i/>
          <w:iCs/>
          <w:color w:val="auto"/>
        </w:rPr>
        <w:t>Pouzolzia</w:t>
      </w:r>
      <w:r>
        <w:rPr>
          <w:color w:val="auto"/>
        </w:rPr>
        <w:t xml:space="preserve"> </w:t>
      </w:r>
      <w:r>
        <w:rPr>
          <w:i/>
          <w:iCs/>
          <w:color w:val="auto"/>
        </w:rPr>
        <w:t>sanguinea</w:t>
      </w:r>
      <w:r>
        <w:rPr>
          <w:color w:val="auto"/>
        </w:rPr>
        <w:t>、牛筋条</w:t>
      </w:r>
      <w:r>
        <w:rPr>
          <w:i/>
          <w:iCs/>
          <w:color w:val="auto"/>
        </w:rPr>
        <w:t>Dichotomanthes</w:t>
      </w:r>
      <w:r>
        <w:rPr>
          <w:color w:val="auto"/>
        </w:rPr>
        <mc:AlternateContent>
          <mc:Choice Requires="wps">
            <w:drawing>
              <wp:anchor distT="0" distB="0" distL="114300" distR="114300" simplePos="0" relativeHeight="251684864" behindDoc="0" locked="0" layoutInCell="0" allowOverlap="1">
                <wp:simplePos x="0" y="0"/>
                <wp:positionH relativeFrom="page">
                  <wp:posOffset>1007110</wp:posOffset>
                </wp:positionH>
                <wp:positionV relativeFrom="page">
                  <wp:posOffset>938530</wp:posOffset>
                </wp:positionV>
                <wp:extent cx="5546090" cy="8255"/>
                <wp:effectExtent l="0" t="0" r="0" b="0"/>
                <wp:wrapNone/>
                <wp:docPr id="45" name="任意多边形 45"/>
                <wp:cNvGraphicFramePr/>
                <a:graphic xmlns:a="http://schemas.openxmlformats.org/drawingml/2006/main">
                  <a:graphicData uri="http://schemas.microsoft.com/office/word/2010/wordprocessingShape">
                    <wps:wsp>
                      <wps:cNvSpPr/>
                      <wps:spPr>
                        <a:xfrm>
                          <a:off x="0" y="0"/>
                          <a:ext cx="5546090" cy="8255"/>
                        </a:xfrm>
                        <a:custGeom>
                          <a:avLst/>
                          <a:gdLst/>
                          <a:ahLst/>
                          <a:cxnLst/>
                          <a:pathLst>
                            <a:path w="8734" h="12">
                              <a:moveTo>
                                <a:pt x="0" y="0"/>
                              </a:moveTo>
                              <a:lnTo>
                                <a:pt x="8733" y="0"/>
                              </a:lnTo>
                              <a:lnTo>
                                <a:pt x="8733" y="12"/>
                              </a:lnTo>
                              <a:lnTo>
                                <a:pt x="0" y="12"/>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79.3pt;margin-top:73.9pt;height:0.65pt;width:436.7pt;mso-position-horizontal-relative:page;mso-position-vertical-relative:page;z-index:251684864;mso-width-relative:page;mso-height-relative:page;" fillcolor="#000000" filled="t" stroked="f" coordsize="8734,12" o:allowincell="f" o:gfxdata="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Bj/w9zYAAAADAEAAA8AAAAAAAAA&#10;AQAgAAAAIgAAAGRycy9kb3ducmV2LnhtbFBLAQIUABQAAAAIAIdO4kAnPOANEQIAAH0EAAAOAAAA&#10;AAAAAAEAIAAAACcBAABkcnMvZTJvRG9jLnhtbFBLBQYAAAAABgAGAFkBAACqBQAAAAA=&#10;" path="m0,0l8733,0,8733,12,0,12,0,0xe">
                <v:fill on="t" focussize="0,0"/>
                <v:stroke on="f"/>
                <v:imagedata o:title=""/>
                <o:lock v:ext="edit" aspectratio="f"/>
              </v:shape>
            </w:pict>
          </mc:Fallback>
        </mc:AlternateContent>
      </w:r>
      <w:r>
        <w:rPr>
          <w:rFonts w:hint="eastAsia"/>
          <w:color w:val="auto"/>
          <w:lang w:val="en-US" w:eastAsia="zh-CN"/>
        </w:rPr>
        <w:t xml:space="preserve"> </w:t>
      </w:r>
      <w:r>
        <w:rPr>
          <w:i/>
          <w:iCs/>
          <w:color w:val="auto"/>
        </w:rPr>
        <w:t>tristaniaecarpa</w:t>
      </w:r>
      <w:r>
        <w:rPr>
          <w:color w:val="auto"/>
        </w:rPr>
        <w:t>、小铁仔</w:t>
      </w:r>
      <w:r>
        <w:rPr>
          <w:i/>
          <w:iCs/>
          <w:color w:val="auto"/>
        </w:rPr>
        <w:t>Myrsine</w:t>
      </w:r>
      <w:r>
        <w:rPr>
          <w:color w:val="auto"/>
        </w:rPr>
        <w:t xml:space="preserve"> </w:t>
      </w:r>
      <w:r>
        <w:rPr>
          <w:i/>
          <w:iCs/>
          <w:color w:val="auto"/>
        </w:rPr>
        <w:t>africana</w:t>
      </w:r>
      <w:r>
        <w:rPr>
          <w:color w:val="auto"/>
        </w:rPr>
        <w:t>、无刺菝葜</w:t>
      </w:r>
      <w:r>
        <w:rPr>
          <w:i/>
          <w:iCs/>
          <w:color w:val="auto"/>
        </w:rPr>
        <w:t>Smilax</w:t>
      </w:r>
      <w:r>
        <w:rPr>
          <w:color w:val="auto"/>
        </w:rPr>
        <w:t xml:space="preserve"> </w:t>
      </w:r>
      <w:r>
        <w:rPr>
          <w:i/>
          <w:iCs/>
          <w:color w:val="auto"/>
        </w:rPr>
        <w:t>mairei</w:t>
      </w:r>
      <w:r>
        <w:rPr>
          <w:color w:val="auto"/>
        </w:rPr>
        <w:t>、盐肤木</w:t>
      </w:r>
      <w:r>
        <w:rPr>
          <w:i/>
          <w:iCs/>
          <w:color w:val="auto"/>
        </w:rPr>
        <w:t>Rhus</w:t>
      </w:r>
      <w:r>
        <w:rPr>
          <w:color w:val="auto"/>
        </w:rPr>
        <w:t xml:space="preserve"> </w:t>
      </w:r>
      <w:r>
        <w:rPr>
          <w:i/>
          <w:iCs/>
          <w:color w:val="auto"/>
        </w:rPr>
        <w:t>chinensis</w:t>
      </w:r>
      <w:r>
        <w:rPr>
          <w:color w:val="auto"/>
        </w:rPr>
        <w:t>、竹叶椒</w:t>
      </w:r>
      <w:r>
        <w:rPr>
          <w:i/>
          <w:iCs/>
          <w:color w:val="auto"/>
        </w:rPr>
        <w:t>Zanthoxylum</w:t>
      </w:r>
      <w:r>
        <w:rPr>
          <w:color w:val="auto"/>
        </w:rPr>
        <w:t xml:space="preserve"> </w:t>
      </w:r>
      <w:r>
        <w:rPr>
          <w:i/>
          <w:iCs/>
          <w:color w:val="auto"/>
        </w:rPr>
        <w:t>armatum</w:t>
      </w:r>
      <w:r>
        <w:rPr>
          <w:color w:val="auto"/>
        </w:rPr>
        <w:t>等。</w:t>
      </w:r>
    </w:p>
    <w:p w14:paraId="04B58FF0">
      <w:pPr>
        <w:pStyle w:val="41"/>
        <w:bidi w:val="0"/>
        <w:rPr>
          <w:color w:val="auto"/>
        </w:rPr>
      </w:pPr>
      <w:r>
        <w:rPr>
          <w:color w:val="auto"/>
        </w:rPr>
        <w:t>草本层盖度约5%，高度0.2</w:t>
      </w:r>
      <w:r>
        <w:rPr>
          <w:rFonts w:hint="eastAsia"/>
          <w:color w:val="auto"/>
          <w:lang w:eastAsia="zh-CN"/>
        </w:rPr>
        <w:t>～</w:t>
      </w:r>
      <w:r>
        <w:rPr>
          <w:color w:val="auto"/>
        </w:rPr>
        <w:t>1.2</w:t>
      </w:r>
      <w:r>
        <w:rPr>
          <w:i/>
          <w:iCs/>
          <w:color w:val="auto"/>
        </w:rPr>
        <w:t>m</w:t>
      </w:r>
      <w:r>
        <w:rPr>
          <w:color w:val="auto"/>
        </w:rPr>
        <w:t>，主要物种有白酒草</w:t>
      </w:r>
      <w:r>
        <w:rPr>
          <w:i/>
          <w:iCs/>
          <w:color w:val="auto"/>
        </w:rPr>
        <w:t>Conyza</w:t>
      </w:r>
      <w:r>
        <w:rPr>
          <w:color w:val="auto"/>
        </w:rPr>
        <w:t xml:space="preserve"> </w:t>
      </w:r>
      <w:r>
        <w:rPr>
          <w:i/>
          <w:iCs/>
          <w:color w:val="auto"/>
        </w:rPr>
        <w:t>japonica</w:t>
      </w:r>
      <w:r>
        <w:rPr>
          <w:color w:val="auto"/>
        </w:rPr>
        <w:t>、粗齿鳞毛蕨</w:t>
      </w:r>
      <w:r>
        <w:rPr>
          <w:i/>
          <w:iCs/>
          <w:color w:val="auto"/>
        </w:rPr>
        <w:t>Dryopteris</w:t>
      </w:r>
      <w:r>
        <w:rPr>
          <w:color w:val="auto"/>
        </w:rPr>
        <w:t xml:space="preserve"> </w:t>
      </w:r>
      <w:r>
        <w:rPr>
          <w:i/>
          <w:iCs/>
          <w:color w:val="auto"/>
        </w:rPr>
        <w:t>juxtaposita</w:t>
      </w:r>
      <w:r>
        <w:rPr>
          <w:color w:val="auto"/>
        </w:rPr>
        <w:t>、寸金草</w:t>
      </w:r>
      <w:r>
        <w:rPr>
          <w:i/>
          <w:iCs/>
          <w:color w:val="auto"/>
        </w:rPr>
        <w:t>Clinopodium</w:t>
      </w:r>
      <w:r>
        <w:rPr>
          <w:color w:val="auto"/>
        </w:rPr>
        <w:t xml:space="preserve"> </w:t>
      </w:r>
      <w:r>
        <w:rPr>
          <w:i/>
          <w:iCs/>
          <w:color w:val="auto"/>
        </w:rPr>
        <w:t>megalanthum</w:t>
      </w:r>
      <w:r>
        <w:rPr>
          <w:color w:val="auto"/>
        </w:rPr>
        <w:t>、凤尾蕨</w:t>
      </w:r>
      <w:r>
        <w:rPr>
          <w:i/>
          <w:iCs/>
          <w:color w:val="auto"/>
        </w:rPr>
        <w:t>Pteris</w:t>
      </w:r>
      <w:r>
        <w:rPr>
          <w:color w:val="auto"/>
        </w:rPr>
        <w:t xml:space="preserve"> </w:t>
      </w:r>
      <w:r>
        <w:rPr>
          <w:i/>
          <w:iCs/>
          <w:color w:val="auto"/>
        </w:rPr>
        <w:t>nervosa</w:t>
      </w:r>
      <w:r>
        <w:rPr>
          <w:color w:val="auto"/>
        </w:rPr>
        <w:t>、接骨草</w:t>
      </w:r>
      <w:r>
        <w:rPr>
          <w:i/>
          <w:iCs/>
          <w:color w:val="auto"/>
        </w:rPr>
        <w:t>Sambucus</w:t>
      </w:r>
      <w:r>
        <w:rPr>
          <w:color w:val="auto"/>
        </w:rPr>
        <w:t xml:space="preserve"> </w:t>
      </w:r>
      <w:r>
        <w:rPr>
          <w:i/>
          <w:iCs/>
          <w:color w:val="auto"/>
        </w:rPr>
        <w:t>chinensis</w:t>
      </w:r>
      <w:r>
        <w:rPr>
          <w:color w:val="auto"/>
        </w:rPr>
        <w:t>、苦荬菜</w:t>
      </w:r>
      <w:r>
        <w:rPr>
          <w:i/>
          <w:iCs/>
          <w:color w:val="auto"/>
        </w:rPr>
        <w:t>Ixeris</w:t>
      </w:r>
      <w:r>
        <w:rPr>
          <w:color w:val="auto"/>
        </w:rPr>
        <w:t xml:space="preserve"> </w:t>
      </w:r>
      <w:r>
        <w:rPr>
          <w:i/>
          <w:iCs/>
          <w:color w:val="auto"/>
        </w:rPr>
        <w:t>polycephala</w:t>
      </w:r>
      <w:r>
        <w:rPr>
          <w:color w:val="auto"/>
        </w:rPr>
        <w:t>、乌蔹莓</w:t>
      </w:r>
      <w:r>
        <w:rPr>
          <w:i/>
          <w:iCs/>
          <w:color w:val="auto"/>
        </w:rPr>
        <w:t>Cayratia</w:t>
      </w:r>
      <w:r>
        <w:rPr>
          <w:color w:val="auto"/>
        </w:rPr>
        <w:t xml:space="preserve"> </w:t>
      </w:r>
      <w:r>
        <w:rPr>
          <w:i/>
          <w:iCs/>
          <w:color w:val="auto"/>
        </w:rPr>
        <w:t>japonica</w:t>
      </w:r>
      <w:r>
        <w:rPr>
          <w:color w:val="auto"/>
        </w:rPr>
        <w:t>、五叶草</w:t>
      </w:r>
      <w:r>
        <w:rPr>
          <w:i/>
          <w:iCs/>
          <w:color w:val="auto"/>
        </w:rPr>
        <w:t>Geranium</w:t>
      </w:r>
      <w:r>
        <w:rPr>
          <w:color w:val="auto"/>
        </w:rPr>
        <w:t xml:space="preserve"> </w:t>
      </w:r>
      <w:r>
        <w:rPr>
          <w:i/>
          <w:iCs/>
          <w:color w:val="auto"/>
        </w:rPr>
        <w:t>nepalense</w:t>
      </w:r>
      <w:r>
        <w:rPr>
          <w:color w:val="auto"/>
        </w:rPr>
        <w:t>、西南委陵菜</w:t>
      </w:r>
      <w:r>
        <w:rPr>
          <w:i/>
          <w:iCs/>
          <w:color w:val="auto"/>
        </w:rPr>
        <w:t>Potentilla</w:t>
      </w:r>
      <w:r>
        <w:rPr>
          <w:color w:val="auto"/>
        </w:rPr>
        <w:t xml:space="preserve"> </w:t>
      </w:r>
      <w:r>
        <w:rPr>
          <w:i/>
          <w:iCs/>
          <w:color w:val="auto"/>
        </w:rPr>
        <w:t>fulgens</w:t>
      </w:r>
      <w:r>
        <w:rPr>
          <w:color w:val="auto"/>
        </w:rPr>
        <w:t>、夏枯草</w:t>
      </w:r>
      <w:r>
        <w:rPr>
          <w:i/>
          <w:iCs/>
          <w:color w:val="auto"/>
        </w:rPr>
        <w:t>Prunella</w:t>
      </w:r>
      <w:r>
        <w:rPr>
          <w:color w:val="auto"/>
        </w:rPr>
        <w:t xml:space="preserve"> </w:t>
      </w:r>
      <w:r>
        <w:rPr>
          <w:i/>
          <w:iCs/>
          <w:color w:val="auto"/>
        </w:rPr>
        <w:t>vulgaris</w:t>
      </w:r>
      <w:r>
        <w:rPr>
          <w:color w:val="auto"/>
        </w:rPr>
        <w:t>、羊齿天门冬</w:t>
      </w:r>
      <w:r>
        <w:rPr>
          <w:i/>
          <w:iCs/>
          <w:color w:val="auto"/>
        </w:rPr>
        <w:t>Asparagus</w:t>
      </w:r>
      <w:r>
        <w:rPr>
          <w:color w:val="auto"/>
        </w:rPr>
        <w:t xml:space="preserve"> </w:t>
      </w:r>
      <w:r>
        <w:rPr>
          <w:i/>
          <w:iCs/>
          <w:color w:val="auto"/>
        </w:rPr>
        <w:t>filicinus</w:t>
      </w:r>
      <w:r>
        <w:rPr>
          <w:color w:val="auto"/>
        </w:rPr>
        <w:t>、长蕊珍珠菜</w:t>
      </w:r>
      <w:r>
        <w:rPr>
          <w:i/>
          <w:iCs/>
          <w:color w:val="auto"/>
        </w:rPr>
        <w:t>Lysimachia</w:t>
      </w:r>
      <w:r>
        <w:rPr>
          <w:color w:val="auto"/>
        </w:rPr>
        <w:t xml:space="preserve"> </w:t>
      </w:r>
      <w:r>
        <w:rPr>
          <w:i/>
          <w:iCs/>
          <w:color w:val="auto"/>
        </w:rPr>
        <w:t>lobelioides</w:t>
      </w:r>
      <w:r>
        <w:rPr>
          <w:color w:val="auto"/>
        </w:rPr>
        <w:t>等。</w:t>
      </w:r>
    </w:p>
    <w:p w14:paraId="26B7C511">
      <w:pPr>
        <w:pStyle w:val="41"/>
        <w:bidi w:val="0"/>
        <w:rPr>
          <w:color w:val="auto"/>
        </w:rPr>
      </w:pPr>
      <w:r>
        <w:rPr>
          <w:color w:val="auto"/>
        </w:rPr>
        <w:t>群落中有较多的层间植物，其中藤本植物如茅莓</w:t>
      </w:r>
      <w:r>
        <w:rPr>
          <w:i/>
          <w:iCs/>
          <w:color w:val="auto"/>
        </w:rPr>
        <w:t>Rubus</w:t>
      </w:r>
      <w:r>
        <w:rPr>
          <w:color w:val="auto"/>
        </w:rPr>
        <w:t xml:space="preserve"> </w:t>
      </w:r>
      <w:r>
        <w:rPr>
          <w:i/>
          <w:iCs/>
          <w:color w:val="auto"/>
        </w:rPr>
        <w:t>parvifolius</w:t>
      </w:r>
      <w:r>
        <w:rPr>
          <w:color w:val="auto"/>
        </w:rPr>
        <w:t>、地果</w:t>
      </w:r>
      <w:r>
        <w:rPr>
          <w:i/>
          <w:iCs/>
          <w:color w:val="auto"/>
        </w:rPr>
        <w:t>Ficus</w:t>
      </w:r>
      <w:r>
        <w:rPr>
          <w:color w:val="auto"/>
        </w:rPr>
        <w:t xml:space="preserve"> </w:t>
      </w:r>
      <w:r>
        <w:rPr>
          <w:i/>
          <w:iCs/>
          <w:color w:val="auto"/>
        </w:rPr>
        <w:t>tikoua</w:t>
      </w:r>
      <w:r>
        <w:rPr>
          <w:color w:val="auto"/>
        </w:rPr>
        <w:t>、土茯苓</w:t>
      </w:r>
      <w:r>
        <w:rPr>
          <w:i/>
          <w:iCs/>
          <w:color w:val="auto"/>
        </w:rPr>
        <w:t>Smilax</w:t>
      </w:r>
      <w:r>
        <w:rPr>
          <w:color w:val="auto"/>
        </w:rPr>
        <w:t xml:space="preserve"> </w:t>
      </w:r>
      <w:r>
        <w:rPr>
          <w:i/>
          <w:iCs/>
          <w:color w:val="auto"/>
        </w:rPr>
        <w:t>glabra</w:t>
      </w:r>
      <w:r>
        <w:rPr>
          <w:color w:val="auto"/>
        </w:rPr>
        <w:t>等，附生植物主要附生于乔木树种树上或被砍伐留下的树桩上，如石韦</w:t>
      </w:r>
      <w:r>
        <w:rPr>
          <w:i/>
          <w:iCs/>
          <w:color w:val="auto"/>
        </w:rPr>
        <w:t>Pyrrosia</w:t>
      </w:r>
      <w:r>
        <w:rPr>
          <w:color w:val="auto"/>
        </w:rPr>
        <w:t xml:space="preserve"> </w:t>
      </w:r>
      <w:r>
        <w:rPr>
          <w:i/>
          <w:iCs/>
          <w:color w:val="auto"/>
        </w:rPr>
        <w:t>lingua</w:t>
      </w:r>
      <w:r>
        <w:rPr>
          <w:color w:val="auto"/>
        </w:rPr>
        <w:t>等。</w:t>
      </w:r>
    </w:p>
    <w:p w14:paraId="7C154B5B">
      <w:pPr>
        <w:pStyle w:val="41"/>
        <w:bidi w:val="0"/>
        <w:rPr>
          <w:rFonts w:hint="eastAsia" w:eastAsia="宋体"/>
          <w:color w:val="auto"/>
          <w:lang w:val="en-US" w:eastAsia="zh-CN"/>
        </w:rPr>
      </w:pPr>
      <w:r>
        <w:rPr>
          <w:rFonts w:hint="default" w:ascii="Times New Roman" w:hAnsi="Times New Roman" w:eastAsia="微软雅黑" w:cs="Times New Roman"/>
          <w:color w:val="auto"/>
        </w:rPr>
        <w:t>Ⅱ</w:t>
      </w:r>
      <w:r>
        <w:rPr>
          <w:rFonts w:hint="default" w:ascii="Times New Roman" w:hAnsi="Times New Roman" w:eastAsia="微软雅黑" w:cs="Times New Roman"/>
          <w:color w:val="auto"/>
          <w:lang w:val="en-US" w:eastAsia="zh-CN"/>
        </w:rPr>
        <w:t>.</w:t>
      </w:r>
      <w:r>
        <w:rPr>
          <w:rFonts w:hint="eastAsia" w:ascii="Times New Roman" w:hAnsi="Times New Roman" w:eastAsia="宋体" w:cs="Times New Roman"/>
          <w:color w:val="auto"/>
          <w:lang w:val="en-US" w:eastAsia="zh-CN"/>
        </w:rPr>
        <w:t>旱冬瓜林</w:t>
      </w:r>
    </w:p>
    <w:p w14:paraId="689E1575">
      <w:pPr>
        <w:pStyle w:val="41"/>
        <w:bidi w:val="0"/>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②旱冬瓜、蕨菜群落</w:t>
      </w:r>
    </w:p>
    <w:p w14:paraId="6613D3E7">
      <w:pPr>
        <w:pStyle w:val="41"/>
        <w:bidi w:val="0"/>
        <w:rPr>
          <w:rFonts w:hint="eastAsia"/>
          <w:color w:val="auto"/>
          <w:lang w:val="en-US" w:eastAsia="zh-CN"/>
        </w:rPr>
      </w:pPr>
      <w:r>
        <w:rPr>
          <w:rFonts w:hint="eastAsia"/>
          <w:color w:val="auto"/>
          <w:lang w:val="en-US" w:eastAsia="zh-CN"/>
        </w:rPr>
        <w:t>林冠整齐，蓝度一般在90%左右。外貌呈深绿色。环境中度湿润。群落结构极为简单，分为两个层次：乔木层，高5—8（或2-4)米，主要由旱冬瓜</w:t>
      </w:r>
      <w:r>
        <w:rPr>
          <w:rFonts w:hint="eastAsia"/>
          <w:i/>
          <w:iCs/>
          <w:color w:val="auto"/>
        </w:rPr>
        <w:t>Alnusnepalensis</w:t>
      </w:r>
      <w:r>
        <w:rPr>
          <w:rFonts w:hint="eastAsia"/>
          <w:color w:val="auto"/>
          <w:lang w:val="en-US" w:eastAsia="zh-CN"/>
        </w:rPr>
        <w:t>组成，树木胸径10—15厘米，乔木分布比较稀，每400平方米内约有旱冬瓜13株；树冠伸展，但彼此不太接近，此层中有少量云南松混生。林下灌木极为稀疏，偶见有大白杜鹃、珍珠花等零星分布，但不成层。草本层，高1米以下，盖度达80%—85%，由蕨菜构成显著优势，另有白果草莓、草玉梅、竹叶草、兰花参等少量混生，此外，尚有杏叶防风、野棉花等个别出现；其乔木层中偶有栎类混生；草本层除以蕨菜为优势外，</w:t>
      </w:r>
      <w:r>
        <w:rPr>
          <w:rFonts w:ascii="宋体" w:hAnsi="宋体" w:eastAsia="宋体" w:cs="宋体"/>
          <w:color w:val="auto"/>
          <w:spacing w:val="-1"/>
          <w:sz w:val="24"/>
          <w:szCs w:val="24"/>
        </w:rPr>
        <w:t>尚</w:t>
      </w:r>
      <w:r>
        <w:rPr>
          <w:rFonts w:hint="eastAsia" w:ascii="宋体" w:hAnsi="宋体" w:cs="宋体"/>
          <w:color w:val="auto"/>
          <w:spacing w:val="-1"/>
          <w:sz w:val="24"/>
          <w:szCs w:val="24"/>
          <w:lang w:eastAsia="zh-CN"/>
        </w:rPr>
        <w:t>有</w:t>
      </w:r>
      <w:r>
        <w:rPr>
          <w:rFonts w:ascii="宋体" w:hAnsi="宋体" w:eastAsia="宋体" w:cs="宋体"/>
          <w:color w:val="auto"/>
          <w:spacing w:val="-1"/>
          <w:sz w:val="24"/>
          <w:szCs w:val="24"/>
        </w:rPr>
        <w:t>西南委陵菜</w:t>
      </w:r>
      <w:r>
        <w:rPr>
          <w:rFonts w:ascii="宋体" w:hAnsi="宋体" w:eastAsia="宋体" w:cs="宋体"/>
          <w:color w:val="auto"/>
          <w:spacing w:val="-61"/>
          <w:sz w:val="24"/>
          <w:szCs w:val="24"/>
        </w:rPr>
        <w:t xml:space="preserve"> </w:t>
      </w:r>
      <w:r>
        <w:rPr>
          <w:rFonts w:ascii="Times New Roman" w:hAnsi="Times New Roman" w:eastAsia="Times New Roman" w:cs="Times New Roman"/>
          <w:i/>
          <w:iCs/>
          <w:color w:val="auto"/>
          <w:spacing w:val="-1"/>
          <w:sz w:val="24"/>
          <w:szCs w:val="24"/>
        </w:rPr>
        <w:t>Potentilla</w:t>
      </w:r>
      <w:r>
        <w:rPr>
          <w:rFonts w:ascii="Times New Roman" w:hAnsi="Times New Roman" w:eastAsia="Times New Roman" w:cs="Times New Roman"/>
          <w:i/>
          <w:iCs/>
          <w:color w:val="auto"/>
          <w:spacing w:val="-44"/>
          <w:sz w:val="24"/>
          <w:szCs w:val="24"/>
        </w:rPr>
        <w:t xml:space="preserve"> </w:t>
      </w:r>
      <w:r>
        <w:rPr>
          <w:rFonts w:ascii="Times New Roman" w:hAnsi="Times New Roman" w:eastAsia="Times New Roman" w:cs="Times New Roman"/>
          <w:i/>
          <w:iCs/>
          <w:color w:val="auto"/>
          <w:spacing w:val="-1"/>
          <w:sz w:val="24"/>
          <w:szCs w:val="24"/>
        </w:rPr>
        <w:t>fulgens</w:t>
      </w:r>
      <w:r>
        <w:rPr>
          <w:rFonts w:ascii="Times New Roman" w:hAnsi="Times New Roman" w:eastAsia="Times New Roman" w:cs="Times New Roman"/>
          <w:i/>
          <w:iCs/>
          <w:color w:val="auto"/>
          <w:spacing w:val="-34"/>
          <w:sz w:val="24"/>
          <w:szCs w:val="24"/>
        </w:rPr>
        <w:t xml:space="preserve"> </w:t>
      </w:r>
      <w:r>
        <w:rPr>
          <w:rFonts w:ascii="宋体" w:hAnsi="宋体" w:eastAsia="宋体" w:cs="宋体"/>
          <w:color w:val="auto"/>
          <w:spacing w:val="-1"/>
          <w:sz w:val="24"/>
          <w:szCs w:val="24"/>
        </w:rPr>
        <w:t>、云南莎草</w:t>
      </w:r>
      <w:r>
        <w:rPr>
          <w:rFonts w:ascii="宋体" w:hAnsi="宋体" w:eastAsia="宋体" w:cs="宋体"/>
          <w:color w:val="auto"/>
          <w:spacing w:val="-44"/>
          <w:sz w:val="24"/>
          <w:szCs w:val="24"/>
        </w:rPr>
        <w:t xml:space="preserve"> </w:t>
      </w:r>
      <w:r>
        <w:rPr>
          <w:rFonts w:ascii="Times New Roman" w:hAnsi="Times New Roman" w:eastAsia="Times New Roman" w:cs="Times New Roman"/>
          <w:i/>
          <w:iCs/>
          <w:color w:val="auto"/>
          <w:spacing w:val="-1"/>
          <w:sz w:val="24"/>
          <w:szCs w:val="24"/>
        </w:rPr>
        <w:t>Cyperus duclouxii</w:t>
      </w:r>
      <w:r>
        <w:rPr>
          <w:rFonts w:ascii="Times New Roman" w:hAnsi="Times New Roman" w:eastAsia="Times New Roman" w:cs="Times New Roman"/>
          <w:i/>
          <w:iCs/>
          <w:color w:val="auto"/>
          <w:spacing w:val="-33"/>
          <w:sz w:val="24"/>
          <w:szCs w:val="24"/>
        </w:rPr>
        <w:t xml:space="preserve"> </w:t>
      </w:r>
      <w:r>
        <w:rPr>
          <w:rFonts w:ascii="宋体" w:hAnsi="宋体" w:eastAsia="宋体" w:cs="宋体"/>
          <w:color w:val="auto"/>
          <w:spacing w:val="-1"/>
          <w:sz w:val="24"/>
          <w:szCs w:val="24"/>
        </w:rPr>
        <w:t>、白茅</w:t>
      </w:r>
      <w:r>
        <w:rPr>
          <w:rFonts w:ascii="宋体" w:hAnsi="宋体" w:eastAsia="宋体" w:cs="宋体"/>
          <w:color w:val="auto"/>
          <w:spacing w:val="-67"/>
          <w:sz w:val="24"/>
          <w:szCs w:val="24"/>
        </w:rPr>
        <w:t xml:space="preserve"> </w:t>
      </w:r>
      <w:r>
        <w:rPr>
          <w:rFonts w:ascii="Times New Roman" w:hAnsi="Times New Roman" w:eastAsia="Times New Roman" w:cs="Times New Roman"/>
          <w:i/>
          <w:iCs/>
          <w:color w:val="auto"/>
          <w:spacing w:val="-1"/>
          <w:sz w:val="24"/>
          <w:szCs w:val="24"/>
        </w:rPr>
        <w:t>Imperata</w:t>
      </w:r>
      <w:r>
        <w:rPr>
          <w:rFonts w:ascii="Times New Roman" w:hAnsi="Times New Roman" w:eastAsia="Times New Roman" w:cs="Times New Roman"/>
          <w:i/>
          <w:iCs/>
          <w:color w:val="auto"/>
          <w:sz w:val="24"/>
          <w:szCs w:val="24"/>
        </w:rPr>
        <w:t xml:space="preserve"> </w:t>
      </w:r>
      <w:r>
        <w:rPr>
          <w:rFonts w:hint="eastAsia" w:ascii="Times New Roman" w:hAnsi="Times New Roman" w:eastAsia="Times New Roman" w:cs="Times New Roman"/>
          <w:i/>
          <w:iCs/>
          <w:color w:val="auto"/>
          <w:spacing w:val="-1"/>
          <w:sz w:val="24"/>
          <w:szCs w:val="24"/>
        </w:rPr>
        <w:t>cylindrica</w:t>
      </w:r>
      <w:r>
        <w:rPr>
          <w:rFonts w:ascii="Times New Roman" w:hAnsi="Times New Roman" w:eastAsia="Times New Roman" w:cs="Times New Roman"/>
          <w:i/>
          <w:iCs/>
          <w:color w:val="auto"/>
          <w:spacing w:val="-28"/>
          <w:sz w:val="24"/>
          <w:szCs w:val="24"/>
        </w:rPr>
        <w:t xml:space="preserve"> </w:t>
      </w:r>
      <w:r>
        <w:rPr>
          <w:rFonts w:ascii="宋体" w:hAnsi="宋体" w:eastAsia="宋体" w:cs="宋体"/>
          <w:color w:val="auto"/>
          <w:spacing w:val="-1"/>
          <w:sz w:val="24"/>
          <w:szCs w:val="24"/>
        </w:rPr>
        <w:t>、滇香薷</w:t>
      </w:r>
      <w:r>
        <w:rPr>
          <w:rFonts w:ascii="宋体" w:hAnsi="宋体" w:eastAsia="宋体" w:cs="宋体"/>
          <w:color w:val="auto"/>
          <w:spacing w:val="-45"/>
          <w:sz w:val="24"/>
          <w:szCs w:val="24"/>
        </w:rPr>
        <w:t xml:space="preserve"> </w:t>
      </w:r>
      <w:r>
        <w:rPr>
          <w:rFonts w:ascii="Times New Roman" w:hAnsi="Times New Roman" w:eastAsia="Times New Roman" w:cs="Times New Roman"/>
          <w:i/>
          <w:iCs/>
          <w:color w:val="auto"/>
          <w:spacing w:val="-1"/>
          <w:sz w:val="24"/>
          <w:szCs w:val="24"/>
        </w:rPr>
        <w:t>Origanum vulgare</w:t>
      </w:r>
      <w:r>
        <w:rPr>
          <w:rFonts w:ascii="宋体" w:hAnsi="宋体" w:eastAsia="宋体" w:cs="宋体"/>
          <w:color w:val="auto"/>
          <w:spacing w:val="-1"/>
          <w:sz w:val="24"/>
          <w:szCs w:val="24"/>
        </w:rPr>
        <w:t>、荩草</w:t>
      </w:r>
      <w:r>
        <w:rPr>
          <w:rStyle w:val="46"/>
          <w:i/>
          <w:iCs/>
          <w:color w:val="auto"/>
        </w:rPr>
        <w:t>Arthraxon ispidus</w:t>
      </w:r>
      <w:r>
        <w:rPr>
          <w:rFonts w:ascii="宋体" w:hAnsi="宋体" w:eastAsia="宋体" w:cs="宋体"/>
          <w:color w:val="auto"/>
          <w:spacing w:val="-1"/>
          <w:sz w:val="24"/>
          <w:szCs w:val="24"/>
        </w:rPr>
        <w:t>等伴生。</w:t>
      </w:r>
    </w:p>
    <w:p w14:paraId="3D70BB9F">
      <w:pPr>
        <w:pStyle w:val="41"/>
        <w:bidi w:val="0"/>
        <w:rPr>
          <w:color w:val="auto"/>
        </w:rPr>
      </w:pPr>
      <w:r>
        <w:rPr>
          <w:rFonts w:hint="default" w:ascii="Times New Roman" w:hAnsi="Times New Roman" w:eastAsia="微软雅黑" w:cs="Times New Roman"/>
          <w:color w:val="auto"/>
        </w:rPr>
        <w:t>Ⅲ</w:t>
      </w:r>
      <w:r>
        <w:rPr>
          <w:rFonts w:hint="default" w:ascii="Times New Roman" w:hAnsi="Times New Roman" w:eastAsia="微软雅黑" w:cs="Times New Roman"/>
          <w:color w:val="auto"/>
          <w:lang w:val="en-US" w:eastAsia="zh-CN"/>
        </w:rPr>
        <w:t>.</w:t>
      </w:r>
      <w:r>
        <w:rPr>
          <w:color w:val="auto"/>
        </w:rPr>
        <w:t>暖温性针叶林</w:t>
      </w:r>
    </w:p>
    <w:p w14:paraId="71F0848C">
      <w:pPr>
        <w:pStyle w:val="41"/>
        <w:bidi w:val="0"/>
        <w:rPr>
          <w:color w:val="auto"/>
        </w:rPr>
      </w:pPr>
      <w:r>
        <w:rPr>
          <w:color w:val="auto"/>
        </w:rPr>
        <w:t>暖性针叶林是一类以暖性针叶林树种为优势种的森林植被类型，它们多半为旱性或半旱性的森林，在云南广泛分布，成为山地垂直带的一个重要特征。其分布的海拔范围一般为800</w:t>
      </w:r>
      <w:r>
        <w:rPr>
          <w:rFonts w:hint="eastAsia"/>
          <w:color w:val="auto"/>
          <w:lang w:eastAsia="zh-CN"/>
        </w:rPr>
        <w:t>～</w:t>
      </w:r>
      <w:r>
        <w:rPr>
          <w:color w:val="auto"/>
        </w:rPr>
        <w:t>2800m，个别林地分布范围为600</w:t>
      </w:r>
      <w:r>
        <w:rPr>
          <w:rFonts w:hint="eastAsia"/>
          <w:color w:val="auto"/>
          <w:lang w:eastAsia="zh-CN"/>
        </w:rPr>
        <w:t>～</w:t>
      </w:r>
      <w:r>
        <w:rPr>
          <w:color w:val="auto"/>
        </w:rPr>
        <w:t>3100m。这类森林的乔木层优势种是一些发生古老的松柏类科属，主要属为松，其次为油杉、柏等。</w:t>
      </w:r>
    </w:p>
    <w:p w14:paraId="550C13CA">
      <w:pPr>
        <w:pStyle w:val="41"/>
        <w:bidi w:val="0"/>
        <w:rPr>
          <w:color w:val="auto"/>
        </w:rPr>
      </w:pPr>
      <w:r>
        <w:rPr>
          <w:color w:val="auto"/>
        </w:rPr>
        <w:t>根据建群种的生态特点，结合群落的结构、种类组成和生境，暖性针叶林可分为两个植被亚型：暖温性针叶林和暖热性针叶林，前者以云南松林</w:t>
      </w:r>
      <w:r>
        <w:rPr>
          <w:rFonts w:hint="eastAsia"/>
          <w:color w:val="auto"/>
        </w:rPr>
        <w:t>、华山松林</w:t>
      </w:r>
      <w:r>
        <w:rPr>
          <w:color w:val="auto"/>
        </w:rPr>
        <w:t>为代表，后者以思茅松林为代表。在研究区内，其优势种主要是</w:t>
      </w:r>
      <w:r>
        <w:rPr>
          <w:rFonts w:hint="eastAsia"/>
          <w:color w:val="auto"/>
        </w:rPr>
        <w:t>华山松</w:t>
      </w:r>
      <w:r>
        <w:rPr>
          <w:color w:val="auto"/>
        </w:rPr>
        <w:t>这样的暖温性树种，故而在本植被型下仅有一个植被亚型，即暖温性针叶林。</w:t>
      </w:r>
    </w:p>
    <w:p w14:paraId="0D8147A7">
      <w:pPr>
        <w:pStyle w:val="41"/>
        <w:bidi w:val="0"/>
        <w:rPr>
          <w:color w:val="auto"/>
        </w:rPr>
      </w:pPr>
      <w:r>
        <w:rPr>
          <w:color w:val="auto"/>
        </w:rPr>
        <w:t>暖温性针叶林在云南主要分布于云南亚热带北部地区，以滇中高原为主体。分布的主要海拔范围在1500</w:t>
      </w:r>
      <w:r>
        <w:rPr>
          <w:rFonts w:hint="eastAsia"/>
          <w:color w:val="auto"/>
          <w:lang w:eastAsia="zh-CN"/>
        </w:rPr>
        <w:t>～</w:t>
      </w:r>
      <w:r>
        <w:rPr>
          <w:color w:val="auto"/>
        </w:rPr>
        <w:t>2800m，但在一些个别的干热河谷附近地区，如红河河谷、南盘江河谷和金沙江河谷的边缘山地，常见分布海拔1500m以下，甚至1000m左右。</w:t>
      </w:r>
    </w:p>
    <w:p w14:paraId="13867FBB">
      <w:pPr>
        <w:pStyle w:val="41"/>
        <w:bidi w:val="0"/>
        <w:rPr>
          <w:color w:val="auto"/>
        </w:rPr>
      </w:pPr>
      <w:r>
        <w:rPr>
          <w:color w:val="auto"/>
        </w:rPr>
        <w:t>评价区内分布有</w:t>
      </w:r>
      <w:r>
        <w:rPr>
          <w:rFonts w:hint="eastAsia"/>
          <w:color w:val="auto"/>
          <w:lang w:val="en-US" w:eastAsia="zh-CN"/>
        </w:rPr>
        <w:t>2</w:t>
      </w:r>
      <w:r>
        <w:rPr>
          <w:color w:val="auto"/>
        </w:rPr>
        <w:t>个群系：</w:t>
      </w:r>
      <w:r>
        <w:rPr>
          <w:rFonts w:hint="eastAsia"/>
          <w:color w:val="auto"/>
        </w:rPr>
        <w:t>云南松</w:t>
      </w:r>
      <w:r>
        <w:rPr>
          <w:rFonts w:hint="eastAsia"/>
          <w:color w:val="auto"/>
          <w:lang w:val="en-US" w:eastAsia="zh-CN"/>
        </w:rPr>
        <w:t>群落和华山松群落</w:t>
      </w:r>
      <w:r>
        <w:rPr>
          <w:color w:val="auto"/>
        </w:rPr>
        <w:t>。</w:t>
      </w:r>
    </w:p>
    <w:p w14:paraId="44E458F3">
      <w:pPr>
        <w:pStyle w:val="41"/>
        <w:bidi w:val="0"/>
        <w:rPr>
          <w:rFonts w:hint="default"/>
          <w:color w:val="auto"/>
          <w:lang w:val="en-US"/>
        </w:rPr>
      </w:pPr>
      <w:r>
        <w:rPr>
          <w:rFonts w:hint="eastAsia"/>
          <w:color w:val="auto"/>
          <w:lang w:val="en-US" w:eastAsia="zh-CN"/>
        </w:rPr>
        <w:t>③</w:t>
      </w:r>
      <w:r>
        <w:rPr>
          <w:rFonts w:hint="eastAsia"/>
          <w:color w:val="auto"/>
        </w:rPr>
        <w:t>云南</w:t>
      </w:r>
      <w:r>
        <w:rPr>
          <w:rFonts w:hint="eastAsia"/>
          <w:color w:val="auto"/>
          <w:lang w:val="en-US" w:eastAsia="zh-CN"/>
        </w:rPr>
        <w:t>松群落</w:t>
      </w:r>
    </w:p>
    <w:p w14:paraId="2C586355">
      <w:pPr>
        <w:pStyle w:val="41"/>
        <w:bidi w:val="0"/>
        <w:ind w:left="274" w:leftChars="114" w:firstLine="240" w:firstLineChars="100"/>
        <w:rPr>
          <w:color w:val="auto"/>
        </w:rPr>
      </w:pPr>
      <w:r>
        <w:rPr>
          <w:rFonts w:hint="eastAsia"/>
          <w:color w:val="auto"/>
          <w:lang w:val="en-US" w:eastAsia="zh-CN"/>
        </w:rPr>
        <w:t>云南松群落在调查区分布广泛，主要涉及风机</w:t>
      </w:r>
      <w:r>
        <w:rPr>
          <w:rFonts w:hint="eastAsia"/>
          <w:i w:val="0"/>
          <w:iCs w:val="0"/>
          <w:color w:val="auto"/>
          <w:lang w:val="en-US" w:eastAsia="zh-CN"/>
        </w:rPr>
        <w:t>XZB016-1</w:t>
      </w:r>
      <w:r>
        <w:rPr>
          <w:rFonts w:hint="eastAsia"/>
          <w:color w:val="auto"/>
          <w:lang w:val="en-US" w:eastAsia="zh-CN"/>
        </w:rPr>
        <w:t>风机及集电线路，附近有分布云南松林。区域内人为活动明显，农林交错复杂，云南松林多为人为破坏留下的疏林，且植株矮小，长势较差，杆形弯曲。</w:t>
      </w:r>
    </w:p>
    <w:p w14:paraId="702D5178">
      <w:pPr>
        <w:pStyle w:val="41"/>
        <w:bidi w:val="0"/>
        <w:rPr>
          <w:color w:val="auto"/>
        </w:rPr>
      </w:pPr>
      <w:r>
        <w:rPr>
          <w:color w:val="auto"/>
        </w:rPr>
        <w:t>乔木层盖度</w:t>
      </w:r>
      <w:r>
        <w:rPr>
          <w:rFonts w:hint="eastAsia"/>
          <w:color w:val="auto"/>
          <w:lang w:eastAsia="zh-CN"/>
        </w:rPr>
        <w:t>25%～45%</w:t>
      </w:r>
      <w:r>
        <w:rPr>
          <w:color w:val="auto"/>
        </w:rPr>
        <w:t>，高度5.5</w:t>
      </w:r>
      <w:r>
        <w:rPr>
          <w:rFonts w:hint="eastAsia"/>
          <w:color w:val="auto"/>
          <w:lang w:eastAsia="zh-CN"/>
        </w:rPr>
        <w:t>～</w:t>
      </w:r>
      <w:r>
        <w:rPr>
          <w:color w:val="auto"/>
        </w:rPr>
        <w:t>11</w:t>
      </w:r>
      <w:r>
        <w:rPr>
          <w:i/>
          <w:iCs/>
          <w:color w:val="auto"/>
        </w:rPr>
        <w:t>m</w:t>
      </w:r>
      <w:r>
        <w:rPr>
          <w:color w:val="auto"/>
        </w:rPr>
        <w:t>，以云南松为</w:t>
      </w:r>
      <w:r>
        <w:rPr>
          <w:i/>
          <w:iCs/>
          <w:color w:val="auto"/>
        </w:rPr>
        <w:t>Pinus</w:t>
      </w:r>
      <w:r>
        <w:rPr>
          <w:color w:val="auto"/>
        </w:rPr>
        <w:t xml:space="preserve"> </w:t>
      </w:r>
      <w:r>
        <w:rPr>
          <w:i/>
          <w:iCs/>
          <w:color w:val="auto"/>
        </w:rPr>
        <w:t>yunnanensis</w:t>
      </w:r>
      <w:r>
        <w:rPr>
          <w:color w:val="auto"/>
        </w:rPr>
        <w:t>为主要优势，其他乔木如华山松</w:t>
      </w:r>
      <w:r>
        <w:rPr>
          <w:i/>
          <w:iCs/>
          <w:color w:val="auto"/>
        </w:rPr>
        <w:t>Pinus</w:t>
      </w:r>
      <w:r>
        <w:rPr>
          <w:color w:val="auto"/>
        </w:rPr>
        <w:t xml:space="preserve"> </w:t>
      </w:r>
      <w:r>
        <w:rPr>
          <w:i/>
          <w:iCs/>
          <w:color w:val="auto"/>
        </w:rPr>
        <w:t>armandi</w:t>
      </w:r>
      <w:r>
        <w:rPr>
          <w:color w:val="auto"/>
        </w:rPr>
        <w:t>、栓皮栎</w:t>
      </w:r>
      <w:r>
        <w:rPr>
          <w:i/>
          <w:iCs/>
          <w:color w:val="auto"/>
        </w:rPr>
        <w:t>Quercus</w:t>
      </w:r>
      <w:r>
        <w:rPr>
          <w:color w:val="auto"/>
        </w:rPr>
        <w:t xml:space="preserve"> </w:t>
      </w:r>
      <w:r>
        <w:rPr>
          <w:i/>
          <w:iCs/>
          <w:color w:val="auto"/>
        </w:rPr>
        <w:t>variabilis</w:t>
      </w:r>
      <w:r>
        <w:rPr>
          <w:color w:val="auto"/>
        </w:rPr>
        <w:t>、旱冬瓜</w:t>
      </w:r>
      <w:r>
        <w:rPr>
          <w:i/>
          <w:iCs/>
          <w:color w:val="auto"/>
        </w:rPr>
        <w:t>Alnus</w:t>
      </w:r>
      <w:r>
        <w:rPr>
          <w:rFonts w:hint="eastAsia"/>
          <w:i/>
          <w:iCs/>
          <w:color w:val="auto"/>
          <w:lang w:val="en-US" w:eastAsia="zh-CN"/>
        </w:rPr>
        <w:t xml:space="preserve"> </w:t>
      </w:r>
      <w:r>
        <w:rPr>
          <w:i/>
          <w:iCs/>
          <w:color w:val="auto"/>
        </w:rPr>
        <w:t>nepalensis</w:t>
      </w:r>
      <w:r>
        <w:rPr>
          <w:color w:val="auto"/>
        </w:rPr>
        <w:t>伴生其中。</w:t>
      </w:r>
    </w:p>
    <w:p w14:paraId="4531144E">
      <w:pPr>
        <w:pStyle w:val="41"/>
        <w:bidi w:val="0"/>
        <w:rPr>
          <w:color w:val="auto"/>
        </w:rPr>
      </w:pPr>
      <w:r>
        <w:rPr>
          <w:color w:val="auto"/>
        </w:rPr>
        <w:t>灌木层盖度</w:t>
      </w:r>
      <w:r>
        <w:rPr>
          <w:rFonts w:hint="eastAsia"/>
          <w:color w:val="auto"/>
          <w:lang w:eastAsia="zh-CN"/>
        </w:rPr>
        <w:t>10%～25%</w:t>
      </w:r>
      <w:r>
        <w:rPr>
          <w:color w:val="auto"/>
        </w:rPr>
        <w:t>，高度0.5</w:t>
      </w:r>
      <w:r>
        <w:rPr>
          <w:rFonts w:hint="eastAsia"/>
          <w:color w:val="auto"/>
          <w:lang w:eastAsia="zh-CN"/>
        </w:rPr>
        <w:t>～</w:t>
      </w:r>
      <w:r>
        <w:rPr>
          <w:color w:val="auto"/>
        </w:rPr>
        <w:t>2.5</w:t>
      </w:r>
      <w:r>
        <w:rPr>
          <w:i/>
          <w:iCs/>
          <w:color w:val="auto"/>
        </w:rPr>
        <w:t>m</w:t>
      </w:r>
      <w:r>
        <w:rPr>
          <w:color w:val="auto"/>
        </w:rPr>
        <w:t>，火棘</w:t>
      </w:r>
      <w:r>
        <w:rPr>
          <w:i/>
          <w:iCs/>
          <w:color w:val="auto"/>
        </w:rPr>
        <w:t>Pyracantha</w:t>
      </w:r>
      <w:r>
        <w:rPr>
          <w:color w:val="auto"/>
        </w:rPr>
        <w:t xml:space="preserve"> </w:t>
      </w:r>
      <w:r>
        <w:rPr>
          <w:i/>
          <w:iCs/>
          <w:color w:val="auto"/>
        </w:rPr>
        <w:t>fortuneana</w:t>
      </w:r>
      <w:r>
        <w:rPr>
          <w:color w:val="auto"/>
        </w:rPr>
        <w:t>、小铁仔</w:t>
      </w:r>
      <w:r>
        <w:rPr>
          <w:i/>
          <w:iCs/>
          <w:color w:val="auto"/>
        </w:rPr>
        <w:t>Myrsine</w:t>
      </w:r>
      <w:r>
        <w:rPr>
          <w:color w:val="auto"/>
        </w:rPr>
        <w:t xml:space="preserve"> </w:t>
      </w:r>
      <w:r>
        <w:rPr>
          <w:i/>
          <w:iCs/>
          <w:color w:val="auto"/>
        </w:rPr>
        <w:t>africana</w:t>
      </w:r>
      <w:r>
        <w:rPr>
          <w:color w:val="auto"/>
        </w:rPr>
        <w:t>等在灌木层中形成优势。其他灌木如小叶栒子</w:t>
      </w:r>
      <w:r>
        <w:rPr>
          <w:i/>
          <w:iCs/>
          <w:color w:val="auto"/>
        </w:rPr>
        <w:t>Cotoneaster</w:t>
      </w:r>
      <w:r>
        <w:rPr>
          <w:color w:val="auto"/>
        </w:rPr>
        <w:t xml:space="preserve"> </w:t>
      </w:r>
      <w:r>
        <w:rPr>
          <w:i/>
          <w:iCs/>
          <w:color w:val="auto"/>
        </w:rPr>
        <w:t>microphyllus</w:t>
      </w:r>
      <w:r>
        <w:rPr>
          <w:color w:val="auto"/>
        </w:rPr>
        <w:t>、茅莓</w:t>
      </w:r>
      <w:r>
        <w:rPr>
          <w:i/>
          <w:iCs/>
          <w:color w:val="auto"/>
        </w:rPr>
        <w:t>Rubus</w:t>
      </w:r>
      <w:r>
        <w:rPr>
          <w:color w:val="auto"/>
        </w:rPr>
        <w:t xml:space="preserve"> </w:t>
      </w:r>
      <w:r>
        <w:rPr>
          <w:i/>
          <w:iCs/>
          <w:color w:val="auto"/>
        </w:rPr>
        <w:t>parvifolius</w:t>
      </w:r>
      <w:r>
        <w:rPr>
          <w:color w:val="auto"/>
        </w:rPr>
        <w:t>、矮杨梅</w:t>
      </w:r>
      <w:r>
        <w:rPr>
          <w:i/>
          <w:iCs/>
          <w:color w:val="auto"/>
        </w:rPr>
        <w:t>Myrica</w:t>
      </w:r>
      <w:r>
        <w:rPr>
          <w:color w:val="auto"/>
        </w:rPr>
        <w:t xml:space="preserve"> </w:t>
      </w:r>
      <w:r>
        <w:rPr>
          <w:i/>
          <w:iCs/>
          <w:color w:val="auto"/>
        </w:rPr>
        <w:t>nanta</w:t>
      </w:r>
      <w:r>
        <w:rPr>
          <w:color w:val="auto"/>
        </w:rPr>
        <w:t>、长尖叶蔷薇</w:t>
      </w:r>
      <w:r>
        <w:rPr>
          <w:i/>
          <w:iCs/>
          <w:color w:val="auto"/>
        </w:rPr>
        <w:t>Rosa</w:t>
      </w:r>
      <w:r>
        <w:rPr>
          <w:color w:val="auto"/>
        </w:rPr>
        <w:t xml:space="preserve"> </w:t>
      </w:r>
      <w:r>
        <w:rPr>
          <w:i/>
          <w:iCs/>
          <w:color w:val="auto"/>
        </w:rPr>
        <w:t>longicuspis</w:t>
      </w:r>
      <w:r>
        <w:rPr>
          <w:color w:val="auto"/>
        </w:rPr>
        <w:t>、乌鸦果</w:t>
      </w:r>
      <w:r>
        <w:rPr>
          <w:i/>
          <w:iCs/>
          <w:color w:val="auto"/>
        </w:rPr>
        <w:t>Vaccinium</w:t>
      </w:r>
      <w:r>
        <w:rPr>
          <w:rFonts w:hint="eastAsia"/>
          <w:i/>
          <w:iCs/>
          <w:color w:val="auto"/>
          <w:lang w:val="en-US" w:eastAsia="zh-CN"/>
        </w:rPr>
        <w:t xml:space="preserve"> </w:t>
      </w:r>
      <w:r>
        <w:rPr>
          <w:i/>
          <w:iCs/>
          <w:color w:val="auto"/>
        </w:rPr>
        <w:t>fragile</w:t>
      </w:r>
      <w:r>
        <w:rPr>
          <w:color w:val="auto"/>
        </w:rPr>
        <w:t>、异叶泽兰</w:t>
      </w:r>
      <w:r>
        <w:rPr>
          <w:i/>
          <w:iCs/>
          <w:color w:val="auto"/>
        </w:rPr>
        <w:t>Eupatorium</w:t>
      </w:r>
      <w:r>
        <w:rPr>
          <w:color w:val="auto"/>
        </w:rPr>
        <w:t xml:space="preserve"> </w:t>
      </w:r>
      <w:r>
        <w:rPr>
          <w:i/>
          <w:iCs/>
          <w:color w:val="auto"/>
        </w:rPr>
        <w:t>heterophyllum</w:t>
      </w:r>
      <w:r>
        <w:rPr>
          <w:color w:val="auto"/>
        </w:rPr>
        <w:t>、无刺菝葜</w:t>
      </w:r>
      <w:r>
        <w:rPr>
          <w:i/>
          <w:iCs/>
          <w:color w:val="auto"/>
        </w:rPr>
        <w:t>Smilax</w:t>
      </w:r>
      <w:r>
        <w:rPr>
          <w:color w:val="auto"/>
        </w:rPr>
        <w:t xml:space="preserve"> </w:t>
      </w:r>
      <w:r>
        <w:rPr>
          <w:i/>
          <w:iCs/>
          <w:color w:val="auto"/>
        </w:rPr>
        <w:t>mairei</w:t>
      </w:r>
      <w:r>
        <w:rPr>
          <w:color w:val="auto"/>
        </w:rPr>
        <w:t>、滑竹</w:t>
      </w:r>
      <w:r>
        <w:rPr>
          <w:i/>
          <w:iCs/>
          <w:color w:val="auto"/>
        </w:rPr>
        <w:t>Yushania</w:t>
      </w:r>
      <w:r>
        <w:rPr>
          <w:color w:val="auto"/>
        </w:rPr>
        <w:t xml:space="preserve"> </w:t>
      </w:r>
      <w:r>
        <w:rPr>
          <w:i/>
          <w:iCs/>
          <w:color w:val="auto"/>
        </w:rPr>
        <w:t>polytricha</w:t>
      </w:r>
      <w:r>
        <w:rPr>
          <w:color w:val="auto"/>
        </w:rPr>
        <w:t>、滇榛</w:t>
      </w:r>
      <w:r>
        <w:rPr>
          <w:i/>
          <w:iCs/>
          <w:color w:val="auto"/>
        </w:rPr>
        <w:t>Corylus</w:t>
      </w:r>
      <w:r>
        <w:rPr>
          <w:color w:val="auto"/>
        </w:rPr>
        <w:t xml:space="preserve"> </w:t>
      </w:r>
      <w:r>
        <w:rPr>
          <w:i/>
          <w:iCs/>
          <w:color w:val="auto"/>
        </w:rPr>
        <w:t>yunnanensis</w:t>
      </w:r>
      <w:r>
        <w:rPr>
          <w:color w:val="auto"/>
        </w:rPr>
        <w:t>、帚枝鼠李</w:t>
      </w:r>
      <w:r>
        <w:rPr>
          <w:i/>
          <w:iCs/>
          <w:color w:val="auto"/>
        </w:rPr>
        <w:t>Rhamnus</w:t>
      </w:r>
      <w:r>
        <w:rPr>
          <w:color w:val="auto"/>
        </w:rPr>
        <w:t xml:space="preserve"> </w:t>
      </w:r>
      <w:r>
        <w:rPr>
          <w:i/>
          <w:iCs/>
          <w:color w:val="auto"/>
        </w:rPr>
        <w:t>virgata</w:t>
      </w:r>
      <w:r>
        <w:rPr>
          <w:color w:val="auto"/>
        </w:rPr>
        <w:t>、臭荚蒾</w:t>
      </w:r>
      <w:r>
        <w:rPr>
          <w:i/>
          <w:iCs/>
          <w:color w:val="auto"/>
        </w:rPr>
        <w:t>Viburnumfoetidum</w:t>
      </w:r>
      <w:r>
        <w:rPr>
          <w:color w:val="auto"/>
        </w:rPr>
        <w:t>、水红木</w:t>
      </w:r>
      <w:r>
        <w:rPr>
          <w:i/>
          <w:iCs/>
          <w:color w:val="auto"/>
        </w:rPr>
        <w:t>Viburnum</w:t>
      </w:r>
      <w:r>
        <w:rPr>
          <w:color w:val="auto"/>
        </w:rPr>
        <w:t xml:space="preserve"> </w:t>
      </w:r>
      <w:r>
        <w:rPr>
          <w:i/>
          <w:iCs/>
          <w:color w:val="auto"/>
        </w:rPr>
        <w:t>cylindricum</w:t>
      </w:r>
      <w:r>
        <w:rPr>
          <w:color w:val="auto"/>
        </w:rPr>
        <w:t>、细齿叶柃</w:t>
      </w:r>
      <w:r>
        <w:rPr>
          <w:i/>
          <w:iCs/>
          <w:color w:val="auto"/>
        </w:rPr>
        <w:t>Eurya</w:t>
      </w:r>
      <w:r>
        <w:rPr>
          <w:color w:val="auto"/>
        </w:rPr>
        <w:t xml:space="preserve"> </w:t>
      </w:r>
      <w:r>
        <w:rPr>
          <w:i/>
          <w:iCs/>
          <w:color w:val="auto"/>
        </w:rPr>
        <w:t>nitida</w:t>
      </w:r>
      <w:r>
        <w:rPr>
          <w:color w:val="auto"/>
        </w:rPr>
        <w:t>等。</w:t>
      </w:r>
    </w:p>
    <w:p w14:paraId="2D408A46">
      <w:pPr>
        <w:pStyle w:val="41"/>
        <w:bidi w:val="0"/>
        <w:rPr>
          <w:color w:val="auto"/>
        </w:rPr>
      </w:pPr>
      <w:r>
        <w:rPr>
          <w:color w:val="auto"/>
        </w:rPr>
        <w:t>草本层</w:t>
      </w:r>
      <w:r>
        <w:rPr>
          <w:rFonts w:hint="eastAsia"/>
          <w:color w:val="auto"/>
          <w:lang w:eastAsia="zh-CN"/>
        </w:rPr>
        <w:t>盖度15%～30%</w:t>
      </w:r>
      <w:r>
        <w:rPr>
          <w:color w:val="auto"/>
        </w:rPr>
        <w:t>，高度0.1</w:t>
      </w:r>
      <w:r>
        <w:rPr>
          <w:rFonts w:hint="eastAsia"/>
          <w:color w:val="auto"/>
          <w:lang w:eastAsia="zh-CN"/>
        </w:rPr>
        <w:t>～</w:t>
      </w:r>
      <w:r>
        <w:rPr>
          <w:color w:val="auto"/>
        </w:rPr>
        <w:t>2</w:t>
      </w:r>
      <w:r>
        <w:rPr>
          <w:i/>
          <w:iCs/>
          <w:color w:val="auto"/>
        </w:rPr>
        <w:t>m</w:t>
      </w:r>
      <w:r>
        <w:rPr>
          <w:color w:val="auto"/>
        </w:rPr>
        <w:t>，草本层分布较多的为白茅</w:t>
      </w:r>
      <w:r>
        <w:rPr>
          <w:i/>
          <w:iCs/>
          <w:color w:val="auto"/>
        </w:rPr>
        <w:t>Imperata</w:t>
      </w:r>
      <w:r>
        <w:rPr>
          <w:color w:val="auto"/>
        </w:rPr>
        <w:t xml:space="preserve"> </w:t>
      </w:r>
      <w:r>
        <w:rPr>
          <w:i/>
          <w:iCs/>
          <w:color w:val="auto"/>
        </w:rPr>
        <w:t>cylindrica</w:t>
      </w:r>
      <w:r>
        <w:rPr>
          <w:color w:val="auto"/>
        </w:rPr>
        <w:t>、蕨</w:t>
      </w:r>
      <w:r>
        <w:rPr>
          <w:i/>
          <w:iCs/>
          <w:color w:val="auto"/>
        </w:rPr>
        <w:t>Pteridium</w:t>
      </w:r>
      <w:r>
        <w:rPr>
          <w:color w:val="auto"/>
        </w:rPr>
        <w:t xml:space="preserve"> </w:t>
      </w:r>
      <w:r>
        <w:rPr>
          <w:i/>
          <w:iCs/>
          <w:color w:val="auto"/>
        </w:rPr>
        <w:t>aquilinum</w:t>
      </w:r>
      <w:r>
        <w:rPr>
          <w:color w:val="auto"/>
        </w:rPr>
        <w:t>，其它有火石花</w:t>
      </w:r>
      <w:r>
        <w:rPr>
          <w:i/>
          <w:iCs/>
          <w:color w:val="auto"/>
        </w:rPr>
        <w:t>Gerbera</w:t>
      </w:r>
      <w:r>
        <w:rPr>
          <w:color w:val="auto"/>
        </w:rPr>
        <w:t xml:space="preserve"> </w:t>
      </w:r>
      <w:r>
        <w:rPr>
          <w:i/>
          <w:iCs/>
          <w:color w:val="auto"/>
        </w:rPr>
        <w:t>delavayi</w:t>
      </w:r>
      <w:r>
        <w:rPr>
          <w:color w:val="auto"/>
        </w:rPr>
        <w:t>、香薷</w:t>
      </w:r>
      <w:r>
        <w:rPr>
          <w:i/>
          <w:iCs/>
          <w:color w:val="auto"/>
        </w:rPr>
        <w:t>Elsholtzia</w:t>
      </w:r>
      <w:r>
        <w:rPr>
          <w:color w:val="auto"/>
        </w:rPr>
        <w:t xml:space="preserve"> </w:t>
      </w:r>
      <w:r>
        <w:rPr>
          <w:i/>
          <w:iCs/>
          <w:color w:val="auto"/>
        </w:rPr>
        <w:t>ciliata</w:t>
      </w:r>
      <w:r>
        <w:rPr>
          <w:color w:val="auto"/>
        </w:rPr>
        <w:t>、黄腺香青</w:t>
      </w:r>
      <w:r>
        <w:rPr>
          <w:i/>
          <w:iCs/>
          <w:color w:val="auto"/>
        </w:rPr>
        <w:t>Anaphalis</w:t>
      </w:r>
      <w:r>
        <w:rPr>
          <w:color w:val="auto"/>
        </w:rPr>
        <w:t xml:space="preserve"> </w:t>
      </w:r>
      <w:r>
        <w:rPr>
          <w:i/>
          <w:iCs/>
          <w:color w:val="auto"/>
        </w:rPr>
        <w:t>aureopunctata</w:t>
      </w:r>
      <w:r>
        <w:rPr>
          <w:color w:val="auto"/>
        </w:rPr>
        <w:t>、钩毛茜草</w:t>
      </w:r>
      <w:r>
        <w:rPr>
          <w:i/>
          <w:iCs/>
          <w:color w:val="auto"/>
        </w:rPr>
        <w:t>Rubia</w:t>
      </w:r>
      <w:r>
        <w:rPr>
          <w:color w:val="auto"/>
        </w:rPr>
        <w:t xml:space="preserve"> </w:t>
      </w:r>
      <w:r>
        <w:rPr>
          <w:i/>
          <w:iCs/>
          <w:color w:val="auto"/>
        </w:rPr>
        <w:t>oncotricha</w:t>
      </w:r>
      <w:r>
        <w:rPr>
          <w:color w:val="auto"/>
        </w:rPr>
        <w:t xml:space="preserve">、云南龙胆 </w:t>
      </w:r>
      <w:r>
        <w:rPr>
          <w:i/>
          <w:iCs/>
          <w:color w:val="auto"/>
        </w:rPr>
        <w:t>Gentiana</w:t>
      </w:r>
      <w:r>
        <w:rPr>
          <w:color w:val="auto"/>
        </w:rPr>
        <w:t xml:space="preserve"> </w:t>
      </w:r>
      <w:r>
        <w:rPr>
          <w:i/>
          <w:iCs/>
          <w:color w:val="auto"/>
        </w:rPr>
        <w:t>yunnanensis</w:t>
      </w:r>
      <w:r>
        <w:rPr>
          <w:color w:val="auto"/>
        </w:rPr>
        <w:t>、天名精</w:t>
      </w:r>
      <w:r>
        <w:rPr>
          <w:i/>
          <w:iCs/>
          <w:color w:val="auto"/>
        </w:rPr>
        <w:t>Carpesium</w:t>
      </w:r>
      <w:r>
        <w:rPr>
          <w:color w:val="auto"/>
        </w:rPr>
        <w:t xml:space="preserve"> </w:t>
      </w:r>
      <w:r>
        <w:rPr>
          <w:i/>
          <w:iCs/>
          <w:color w:val="auto"/>
        </w:rPr>
        <w:t>abrotanoides</w:t>
      </w:r>
      <w:r>
        <w:rPr>
          <w:color w:val="auto"/>
        </w:rPr>
        <w:t>、粘冠草</w:t>
      </w:r>
      <w:r>
        <w:rPr>
          <w:i/>
          <w:iCs/>
          <w:color w:val="auto"/>
        </w:rPr>
        <w:t>Myriactis</w:t>
      </w:r>
      <w:r>
        <w:rPr>
          <w:color w:val="auto"/>
        </w:rPr>
        <w:t xml:space="preserve"> </w:t>
      </w:r>
      <w:r>
        <w:rPr>
          <w:i/>
          <w:iCs/>
          <w:color w:val="auto"/>
        </w:rPr>
        <w:t>wallichii</w:t>
      </w:r>
      <w:r>
        <w:rPr>
          <w:color w:val="auto"/>
        </w:rPr>
        <w:t>、地果</w:t>
      </w:r>
      <w:r>
        <w:rPr>
          <w:i/>
          <w:iCs/>
          <w:color w:val="auto"/>
        </w:rPr>
        <w:t>Ficus</w:t>
      </w:r>
      <w:r>
        <w:rPr>
          <w:color w:val="auto"/>
        </w:rPr>
        <w:t xml:space="preserve"> </w:t>
      </w:r>
      <w:r>
        <w:rPr>
          <w:i/>
          <w:iCs/>
          <w:color w:val="auto"/>
        </w:rPr>
        <w:t>tikoua</w:t>
      </w:r>
      <w:r>
        <w:rPr>
          <w:color w:val="auto"/>
        </w:rPr>
        <w:t xml:space="preserve"> 、蔗茅</w:t>
      </w:r>
      <w:r>
        <w:rPr>
          <w:i/>
          <w:iCs/>
          <w:color w:val="auto"/>
        </w:rPr>
        <w:t>Erianthus</w:t>
      </w:r>
      <w:r>
        <w:rPr>
          <w:color w:val="auto"/>
        </w:rPr>
        <w:t xml:space="preserve"> </w:t>
      </w:r>
      <w:r>
        <w:rPr>
          <w:i/>
          <w:iCs/>
          <w:color w:val="auto"/>
        </w:rPr>
        <w:t>rufipilus</w:t>
      </w:r>
      <w:r>
        <w:rPr>
          <w:color w:val="auto"/>
        </w:rPr>
        <w:t>、牙刷草（东紫苏）</w:t>
      </w:r>
      <w:r>
        <w:rPr>
          <w:i/>
          <w:iCs/>
          <w:color w:val="auto"/>
        </w:rPr>
        <w:t>Elsholtzia</w:t>
      </w:r>
      <w:r>
        <w:rPr>
          <w:color w:val="auto"/>
        </w:rPr>
        <w:t xml:space="preserve"> </w:t>
      </w:r>
      <w:r>
        <w:rPr>
          <w:i/>
          <w:iCs/>
          <w:color w:val="auto"/>
        </w:rPr>
        <w:t>bodinieri</w:t>
      </w:r>
      <w:r>
        <w:rPr>
          <w:color w:val="auto"/>
        </w:rPr>
        <w:t>、紫茎泽兰</w:t>
      </w:r>
      <w:r>
        <w:rPr>
          <w:i/>
          <w:iCs/>
          <w:color w:val="auto"/>
        </w:rPr>
        <w:t>Ageratina</w:t>
      </w:r>
      <w:r>
        <w:rPr>
          <w:color w:val="auto"/>
        </w:rPr>
        <w:t xml:space="preserve"> </w:t>
      </w:r>
      <w:r>
        <w:rPr>
          <w:i/>
          <w:iCs/>
          <w:color w:val="auto"/>
        </w:rPr>
        <w:t>adenophora</w:t>
      </w:r>
      <w:r>
        <w:rPr>
          <w:color w:val="auto"/>
        </w:rPr>
        <w:t>、野拔子</w:t>
      </w:r>
      <w:r>
        <w:rPr>
          <w:i/>
          <w:iCs/>
          <w:color w:val="auto"/>
        </w:rPr>
        <w:t>Elsholtzia</w:t>
      </w:r>
      <w:r>
        <w:rPr>
          <w:color w:val="auto"/>
        </w:rPr>
        <w:t xml:space="preserve"> </w:t>
      </w:r>
      <w:r>
        <w:rPr>
          <w:i/>
          <w:iCs/>
          <w:color w:val="auto"/>
        </w:rPr>
        <w:t>rugulosa</w:t>
      </w:r>
      <w:r>
        <w:rPr>
          <w:color w:val="auto"/>
        </w:rPr>
        <w:t>、千里光</w:t>
      </w:r>
      <w:r>
        <w:rPr>
          <w:i/>
          <w:iCs/>
          <w:color w:val="auto"/>
        </w:rPr>
        <w:t>enecio</w:t>
      </w:r>
      <w:r>
        <w:rPr>
          <w:color w:val="auto"/>
        </w:rPr>
        <w:t xml:space="preserve"> </w:t>
      </w:r>
      <w:r>
        <w:rPr>
          <w:i/>
          <w:iCs/>
          <w:color w:val="auto"/>
        </w:rPr>
        <w:t>scandens</w:t>
      </w:r>
      <w:r>
        <w:rPr>
          <w:color w:val="auto"/>
        </w:rPr>
        <w:t>、红花龙胆</w:t>
      </w:r>
      <w:r>
        <w:rPr>
          <w:i/>
          <w:iCs/>
          <w:color w:val="auto"/>
        </w:rPr>
        <w:t>Gentiana</w:t>
      </w:r>
      <w:r>
        <w:rPr>
          <w:color w:val="auto"/>
        </w:rPr>
        <w:t xml:space="preserve"> </w:t>
      </w:r>
      <w:r>
        <w:rPr>
          <w:i/>
          <w:iCs/>
          <w:color w:val="auto"/>
        </w:rPr>
        <w:t>rhodantha</w:t>
      </w:r>
      <w:r>
        <w:rPr>
          <w:color w:val="auto"/>
        </w:rPr>
        <w:t>、毛莲菜</w:t>
      </w:r>
      <w:r>
        <w:rPr>
          <w:i/>
          <w:iCs/>
          <w:color w:val="auto"/>
        </w:rPr>
        <w:t>Picris</w:t>
      </w:r>
      <w:r>
        <w:rPr>
          <w:color w:val="auto"/>
        </w:rPr>
        <w:t xml:space="preserve"> </w:t>
      </w:r>
      <w:r>
        <w:rPr>
          <w:i/>
          <w:iCs/>
          <w:color w:val="auto"/>
        </w:rPr>
        <w:t>hieracioides</w:t>
      </w:r>
      <w:r>
        <w:rPr>
          <w:color w:val="auto"/>
        </w:rPr>
        <w:t>等。</w:t>
      </w:r>
    </w:p>
    <w:p w14:paraId="0D6FD552">
      <w:pPr>
        <w:pStyle w:val="41"/>
        <w:bidi w:val="0"/>
        <w:rPr>
          <w:rFonts w:hint="eastAsia"/>
          <w:color w:val="auto"/>
          <w:lang w:val="en-US" w:eastAsia="zh-CN"/>
        </w:rPr>
      </w:pPr>
      <w:r>
        <w:rPr>
          <w:color w:val="auto"/>
        </w:rPr>
        <w:t>群落中包含1种藤本植物，即滑叶藤</w:t>
      </w:r>
      <w:r>
        <w:rPr>
          <w:i/>
          <w:iCs/>
          <w:color w:val="auto"/>
        </w:rPr>
        <w:t>Clematis</w:t>
      </w:r>
      <w:r>
        <w:rPr>
          <w:color w:val="auto"/>
        </w:rPr>
        <w:t xml:space="preserve"> </w:t>
      </w:r>
      <w:r>
        <w:rPr>
          <w:i/>
          <w:iCs/>
          <w:color w:val="auto"/>
        </w:rPr>
        <w:t>fasciculiflora</w:t>
      </w:r>
      <w:r>
        <w:rPr>
          <w:color w:val="auto"/>
        </w:rPr>
        <w:t>，数量较少，主要分布于松林中。</w:t>
      </w:r>
    </w:p>
    <w:p w14:paraId="7698E64E">
      <w:pPr>
        <w:pStyle w:val="41"/>
        <w:bidi w:val="0"/>
        <w:rPr>
          <w:rFonts w:hint="eastAsia"/>
          <w:color w:val="auto"/>
          <w:lang w:val="en-US" w:eastAsia="zh-CN"/>
        </w:rPr>
      </w:pPr>
      <w:r>
        <w:rPr>
          <w:rFonts w:hint="eastAsia"/>
          <w:color w:val="auto"/>
          <w:lang w:val="en-US" w:eastAsia="zh-CN"/>
        </w:rPr>
        <w:t>④华山松群落</w:t>
      </w:r>
    </w:p>
    <w:p w14:paraId="361ADDE0">
      <w:pPr>
        <w:pStyle w:val="41"/>
        <w:bidi w:val="0"/>
        <w:rPr>
          <w:color w:val="auto"/>
        </w:rPr>
      </w:pPr>
      <w:r>
        <w:rPr>
          <w:rFonts w:hint="eastAsia"/>
          <w:color w:val="auto"/>
          <w:lang w:val="en-US" w:eastAsia="zh-CN"/>
        </w:rPr>
        <w:t>调查区华山松林分布广泛，主要分布于</w:t>
      </w:r>
      <w:r>
        <w:rPr>
          <w:rFonts w:hint="default"/>
          <w:color w:val="auto"/>
          <w:lang w:val="en-US" w:eastAsia="zh-CN"/>
        </w:rPr>
        <w:t>XZ</w:t>
      </w:r>
      <w:r>
        <w:rPr>
          <w:rFonts w:hint="eastAsia"/>
          <w:color w:val="auto"/>
          <w:lang w:val="en-US" w:eastAsia="zh-CN"/>
        </w:rPr>
        <w:t>B02和</w:t>
      </w:r>
      <w:r>
        <w:rPr>
          <w:rFonts w:hint="default"/>
          <w:color w:val="auto"/>
          <w:lang w:val="en-US" w:eastAsia="zh-CN"/>
        </w:rPr>
        <w:t>XZ</w:t>
      </w:r>
      <w:r>
        <w:rPr>
          <w:rFonts w:hint="eastAsia"/>
          <w:color w:val="auto"/>
          <w:lang w:val="en-US" w:eastAsia="zh-CN"/>
        </w:rPr>
        <w:t>B04附近，均位于耕地周边，受放牧、砍伐、采果影响，调查区内的华山松林长势一般，人为干扰严重。乔木层盖度35%～65%，高度</w:t>
      </w:r>
      <w:r>
        <w:rPr>
          <w:rFonts w:hint="default"/>
          <w:color w:val="auto"/>
          <w:lang w:val="en-US" w:eastAsia="zh-CN"/>
        </w:rPr>
        <w:t>6</w:t>
      </w:r>
      <w:r>
        <w:rPr>
          <w:rFonts w:hint="eastAsia"/>
          <w:color w:val="auto"/>
          <w:lang w:val="en-US" w:eastAsia="zh-CN"/>
        </w:rPr>
        <w:t>～</w:t>
      </w:r>
      <w:r>
        <w:rPr>
          <w:rFonts w:hint="default"/>
          <w:color w:val="auto"/>
          <w:lang w:val="en-US" w:eastAsia="zh-CN"/>
        </w:rPr>
        <w:t>16m</w:t>
      </w:r>
      <w:r>
        <w:rPr>
          <w:rFonts w:hint="eastAsia"/>
          <w:color w:val="auto"/>
          <w:lang w:val="en-US" w:eastAsia="zh-CN"/>
        </w:rPr>
        <w:t>，</w:t>
      </w:r>
      <w:r>
        <w:rPr>
          <w:color w:val="auto"/>
        </w:rPr>
        <w:t>以华山松</w:t>
      </w:r>
      <w:r>
        <w:rPr>
          <w:i/>
          <w:iCs/>
          <w:color w:val="auto"/>
        </w:rPr>
        <w:t>Pinus armandi</w:t>
      </w:r>
      <w:r>
        <w:rPr>
          <w:color w:val="auto"/>
        </w:rPr>
        <w:t>为单优势种，其中混生云南松</w:t>
      </w:r>
      <w:r>
        <w:rPr>
          <w:i/>
          <w:iCs/>
          <w:color w:val="auto"/>
        </w:rPr>
        <w:t>Pinus yunnanensis</w:t>
      </w:r>
      <w:r>
        <w:rPr>
          <w:color w:val="auto"/>
        </w:rPr>
        <w:t>。</w:t>
      </w:r>
    </w:p>
    <w:p w14:paraId="2C671619">
      <w:pPr>
        <w:pStyle w:val="41"/>
        <w:bidi w:val="0"/>
        <w:rPr>
          <w:color w:val="auto"/>
        </w:rPr>
      </w:pPr>
      <w:r>
        <w:rPr>
          <w:color w:val="auto"/>
        </w:rPr>
        <w:t>灌木层盖度约5%，高度0.5</w:t>
      </w:r>
      <w:r>
        <w:rPr>
          <w:rFonts w:hint="eastAsia"/>
          <w:color w:val="auto"/>
          <w:lang w:eastAsia="zh-CN"/>
        </w:rPr>
        <w:t>～</w:t>
      </w:r>
      <w:r>
        <w:rPr>
          <w:color w:val="auto"/>
        </w:rPr>
        <w:t>2.5m，火棘</w:t>
      </w:r>
      <w:r>
        <w:rPr>
          <w:i/>
          <w:iCs/>
          <w:color w:val="auto"/>
        </w:rPr>
        <w:t>Pyracantha</w:t>
      </w:r>
      <w:r>
        <w:rPr>
          <w:color w:val="auto"/>
        </w:rPr>
        <w:t xml:space="preserve"> </w:t>
      </w:r>
      <w:r>
        <w:rPr>
          <w:i/>
          <w:iCs/>
          <w:color w:val="auto"/>
        </w:rPr>
        <w:t>fortuneana</w:t>
      </w:r>
      <w:r>
        <w:rPr>
          <w:color w:val="auto"/>
        </w:rPr>
        <w:t>、中华绣线菊</w:t>
      </w:r>
      <w:r>
        <w:rPr>
          <w:i/>
          <w:iCs/>
          <w:color w:val="auto"/>
        </w:rPr>
        <w:t>Spiraea</w:t>
      </w:r>
      <w:r>
        <w:rPr>
          <w:color w:val="auto"/>
        </w:rPr>
        <w:t xml:space="preserve"> </w:t>
      </w:r>
      <w:r>
        <w:rPr>
          <w:i/>
          <w:iCs/>
          <w:color w:val="auto"/>
        </w:rPr>
        <w:t>chinensis</w:t>
      </w:r>
      <w:r>
        <w:rPr>
          <w:color w:val="auto"/>
        </w:rPr>
        <w:t>、小铁仔</w:t>
      </w:r>
      <w:r>
        <w:rPr>
          <w:i/>
          <w:iCs/>
          <w:color w:val="auto"/>
        </w:rPr>
        <w:t>Myrsine</w:t>
      </w:r>
      <w:r>
        <w:rPr>
          <w:color w:val="auto"/>
        </w:rPr>
        <w:t xml:space="preserve"> </w:t>
      </w:r>
      <w:r>
        <w:rPr>
          <w:i/>
          <w:iCs/>
          <w:color w:val="auto"/>
        </w:rPr>
        <w:t>africana</w:t>
      </w:r>
      <w:r>
        <w:rPr>
          <w:color w:val="auto"/>
        </w:rPr>
        <w:t>等在灌木层中形成优势。其他灌木如小叶栒子</w:t>
      </w:r>
      <w:r>
        <w:rPr>
          <w:i/>
          <w:iCs/>
          <w:color w:val="auto"/>
        </w:rPr>
        <w:t>Cotoneaster</w:t>
      </w:r>
      <w:r>
        <w:rPr>
          <w:color w:val="auto"/>
        </w:rPr>
        <w:t xml:space="preserve"> </w:t>
      </w:r>
      <w:r>
        <w:rPr>
          <w:i/>
          <w:iCs/>
          <w:color w:val="auto"/>
        </w:rPr>
        <w:t>microphyllus</w:t>
      </w:r>
      <w:r>
        <w:rPr>
          <w:color w:val="auto"/>
        </w:rPr>
        <w:t>、茅莓</w:t>
      </w:r>
      <w:r>
        <w:rPr>
          <w:i/>
          <w:iCs/>
          <w:color w:val="auto"/>
        </w:rPr>
        <w:t>Rubus</w:t>
      </w:r>
      <w:r>
        <w:rPr>
          <w:color w:val="auto"/>
        </w:rPr>
        <w:t xml:space="preserve"> </w:t>
      </w:r>
      <w:r>
        <w:rPr>
          <w:i/>
          <w:iCs/>
          <w:color w:val="auto"/>
        </w:rPr>
        <w:t>parvifolius</w:t>
      </w:r>
      <w:r>
        <w:rPr>
          <w:color w:val="auto"/>
        </w:rPr>
        <w:t>、矮杨梅</w:t>
      </w:r>
      <w:r>
        <w:rPr>
          <w:i/>
          <w:iCs/>
          <w:color w:val="auto"/>
        </w:rPr>
        <w:t>Myrica</w:t>
      </w:r>
      <w:r>
        <w:rPr>
          <w:color w:val="auto"/>
        </w:rPr>
        <w:t xml:space="preserve"> </w:t>
      </w:r>
      <w:r>
        <w:rPr>
          <w:i/>
          <w:iCs/>
          <w:color w:val="auto"/>
        </w:rPr>
        <w:t>nanta</w:t>
      </w:r>
      <w:r>
        <w:rPr>
          <w:color w:val="auto"/>
        </w:rPr>
        <w:t>、长尖叶蔷薇</w:t>
      </w:r>
      <w:r>
        <w:rPr>
          <w:i/>
          <w:iCs/>
          <w:color w:val="auto"/>
        </w:rPr>
        <w:t>Rosa</w:t>
      </w:r>
      <w:r>
        <w:rPr>
          <w:color w:val="auto"/>
        </w:rPr>
        <w:t xml:space="preserve"> </w:t>
      </w:r>
      <w:r>
        <w:rPr>
          <w:i/>
          <w:iCs/>
          <w:color w:val="auto"/>
        </w:rPr>
        <w:t>longicuspis</w:t>
      </w:r>
      <w:r>
        <w:rPr>
          <w:color w:val="auto"/>
        </w:rPr>
        <w:t>、乌鸦果</w:t>
      </w:r>
      <w:r>
        <w:rPr>
          <w:i/>
          <w:iCs/>
          <w:color w:val="auto"/>
        </w:rPr>
        <w:t>Vacciniumfragile</w:t>
      </w:r>
      <w:r>
        <w:rPr>
          <w:color w:val="auto"/>
        </w:rPr>
        <w:t>、异叶泽兰</w:t>
      </w:r>
      <w:r>
        <w:rPr>
          <w:i/>
          <w:iCs/>
          <w:color w:val="auto"/>
        </w:rPr>
        <w:t>Eupatorium</w:t>
      </w:r>
      <w:r>
        <w:rPr>
          <w:color w:val="auto"/>
        </w:rPr>
        <w:t xml:space="preserve"> </w:t>
      </w:r>
      <w:r>
        <w:rPr>
          <w:i/>
          <w:iCs/>
          <w:color w:val="auto"/>
        </w:rPr>
        <w:t>heterophyllum</w:t>
      </w:r>
      <w:r>
        <w:rPr>
          <w:color w:val="auto"/>
        </w:rPr>
        <w:t>、无刺菝葜</w:t>
      </w:r>
      <w:r>
        <w:rPr>
          <w:i/>
          <w:iCs/>
          <w:color w:val="auto"/>
        </w:rPr>
        <w:t>Smilax</w:t>
      </w:r>
      <w:r>
        <w:rPr>
          <w:color w:val="auto"/>
        </w:rPr>
        <w:t xml:space="preserve"> </w:t>
      </w:r>
      <w:r>
        <w:rPr>
          <w:i/>
          <w:iCs/>
          <w:color w:val="auto"/>
        </w:rPr>
        <w:t>mairei</w:t>
      </w:r>
      <w:r>
        <w:rPr>
          <w:color w:val="auto"/>
        </w:rPr>
        <w:t>、滑竹</w:t>
      </w:r>
      <w:r>
        <w:rPr>
          <w:i/>
          <w:iCs/>
          <w:color w:val="auto"/>
        </w:rPr>
        <w:t>Yushania</w:t>
      </w:r>
      <w:r>
        <w:rPr>
          <w:color w:val="auto"/>
        </w:rPr>
        <w:t xml:space="preserve"> </w:t>
      </w:r>
      <w:r>
        <w:rPr>
          <w:i/>
          <w:iCs/>
          <w:color w:val="auto"/>
        </w:rPr>
        <w:t>polytricha</w:t>
      </w:r>
      <w:r>
        <w:rPr>
          <w:color w:val="auto"/>
        </w:rPr>
        <w:t>、滇榛</w:t>
      </w:r>
      <w:r>
        <w:rPr>
          <w:i/>
          <w:iCs/>
          <w:color w:val="auto"/>
        </w:rPr>
        <w:t>Corylus</w:t>
      </w:r>
      <w:r>
        <w:rPr>
          <w:color w:val="auto"/>
        </w:rPr>
        <w:t xml:space="preserve"> </w:t>
      </w:r>
      <w:r>
        <w:rPr>
          <w:i/>
          <w:iCs/>
          <w:color w:val="auto"/>
        </w:rPr>
        <w:t>yunnanensis</w:t>
      </w:r>
      <w:r>
        <w:rPr>
          <w:color w:val="auto"/>
        </w:rPr>
        <w:t>、帚枝鼠李</w:t>
      </w:r>
      <w:r>
        <w:rPr>
          <w:i/>
          <w:iCs/>
          <w:color w:val="auto"/>
        </w:rPr>
        <w:t>Rhamnus</w:t>
      </w:r>
      <w:r>
        <w:rPr>
          <w:color w:val="auto"/>
        </w:rPr>
        <w:t xml:space="preserve"> </w:t>
      </w:r>
      <w:r>
        <w:rPr>
          <w:i/>
          <w:iCs/>
          <w:color w:val="auto"/>
        </w:rPr>
        <w:t>virgata</w:t>
      </w:r>
      <w:r>
        <w:rPr>
          <w:color w:val="auto"/>
        </w:rPr>
        <w:t>、臭荚蒾</w:t>
      </w:r>
      <w:r>
        <w:rPr>
          <w:i/>
          <w:iCs/>
          <w:color w:val="auto"/>
        </w:rPr>
        <w:t>Viburnumfoetidum</w:t>
      </w:r>
      <w:r>
        <w:rPr>
          <w:color w:val="auto"/>
        </w:rPr>
        <w:t>、水红木</w:t>
      </w:r>
      <w:r>
        <w:rPr>
          <w:i/>
          <w:iCs/>
          <w:color w:val="auto"/>
        </w:rPr>
        <w:t>Viburnum</w:t>
      </w:r>
      <w:r>
        <w:rPr>
          <w:color w:val="auto"/>
        </w:rPr>
        <w:t xml:space="preserve"> </w:t>
      </w:r>
      <w:r>
        <w:rPr>
          <w:i/>
          <w:iCs/>
          <w:color w:val="auto"/>
        </w:rPr>
        <w:t>cylindricum</w:t>
      </w:r>
      <w:r>
        <w:rPr>
          <w:color w:val="auto"/>
        </w:rPr>
        <w:t>、细齿叶柃</w:t>
      </w:r>
      <w:r>
        <w:rPr>
          <w:i/>
          <w:iCs/>
          <w:color w:val="auto"/>
        </w:rPr>
        <w:t>Eurya</w:t>
      </w:r>
      <w:r>
        <w:rPr>
          <w:color w:val="auto"/>
        </w:rPr>
        <w:t xml:space="preserve"> </w:t>
      </w:r>
      <w:r>
        <w:rPr>
          <w:i/>
          <w:iCs/>
          <w:color w:val="auto"/>
        </w:rPr>
        <w:t>nitida</w:t>
      </w:r>
      <w:r>
        <w:rPr>
          <w:color w:val="auto"/>
        </w:rPr>
        <w:t>等。</w:t>
      </w:r>
    </w:p>
    <w:p w14:paraId="2C772E47">
      <w:pPr>
        <w:pStyle w:val="41"/>
        <w:bidi w:val="0"/>
        <w:rPr>
          <w:color w:val="auto"/>
        </w:rPr>
      </w:pPr>
      <w:r>
        <w:rPr>
          <w:color w:val="auto"/>
        </w:rPr>
        <w:t>草本层</w:t>
      </w:r>
      <w:r>
        <w:rPr>
          <w:rFonts w:hint="eastAsia"/>
          <w:color w:val="auto"/>
          <w:lang w:eastAsia="zh-CN"/>
        </w:rPr>
        <w:t>盖度15%～30%</w:t>
      </w:r>
      <w:r>
        <w:rPr>
          <w:color w:val="auto"/>
        </w:rPr>
        <w:t>，高度0.1</w:t>
      </w:r>
      <w:r>
        <w:rPr>
          <w:rFonts w:hint="eastAsia"/>
          <w:color w:val="auto"/>
          <w:lang w:eastAsia="zh-CN"/>
        </w:rPr>
        <w:t>～</w:t>
      </w:r>
      <w:r>
        <w:rPr>
          <w:color w:val="auto"/>
        </w:rPr>
        <w:t>2</w:t>
      </w:r>
      <w:r>
        <w:rPr>
          <w:i/>
          <w:iCs/>
          <w:color w:val="auto"/>
        </w:rPr>
        <w:t>m</w:t>
      </w:r>
      <w:r>
        <w:rPr>
          <w:color w:val="auto"/>
        </w:rPr>
        <w:t>，草本层分布较多的为白茅</w:t>
      </w:r>
      <w:r>
        <w:rPr>
          <w:i/>
          <w:iCs/>
          <w:color w:val="auto"/>
        </w:rPr>
        <w:t>Imperata</w:t>
      </w:r>
      <w:r>
        <w:rPr>
          <w:color w:val="auto"/>
        </w:rPr>
        <w:t xml:space="preserve"> </w:t>
      </w:r>
      <w:r>
        <w:rPr>
          <w:i/>
          <w:iCs/>
          <w:color w:val="auto"/>
        </w:rPr>
        <w:t>cylindrica</w:t>
      </w:r>
      <w:r>
        <w:rPr>
          <w:color w:val="auto"/>
        </w:rPr>
        <w:t>，其它有火石花</w:t>
      </w:r>
      <w:r>
        <w:rPr>
          <w:i/>
          <w:iCs/>
          <w:color w:val="auto"/>
        </w:rPr>
        <w:t>Gerbera</w:t>
      </w:r>
      <w:r>
        <w:rPr>
          <w:color w:val="auto"/>
        </w:rPr>
        <w:t xml:space="preserve"> </w:t>
      </w:r>
      <w:r>
        <w:rPr>
          <w:i/>
          <w:iCs/>
          <w:color w:val="auto"/>
        </w:rPr>
        <w:t>delavayi</w:t>
      </w:r>
      <w:r>
        <w:rPr>
          <w:color w:val="auto"/>
        </w:rPr>
        <w:t>、香薷</w:t>
      </w:r>
      <w:r>
        <w:rPr>
          <w:i/>
          <w:iCs/>
          <w:color w:val="auto"/>
        </w:rPr>
        <w:t>Elsholtzia</w:t>
      </w:r>
      <w:r>
        <w:rPr>
          <w:color w:val="auto"/>
        </w:rPr>
        <w:t xml:space="preserve"> </w:t>
      </w:r>
      <w:r>
        <w:rPr>
          <w:i/>
          <w:iCs/>
          <w:color w:val="auto"/>
        </w:rPr>
        <w:t>ciliata</w:t>
      </w:r>
      <w:r>
        <w:rPr>
          <w:color w:val="auto"/>
        </w:rPr>
        <w:t>、黄腺香青</w:t>
      </w:r>
      <w:r>
        <w:rPr>
          <w:i/>
          <w:iCs/>
          <w:color w:val="auto"/>
        </w:rPr>
        <w:t>Anaphalis</w:t>
      </w:r>
      <w:r>
        <w:rPr>
          <w:color w:val="auto"/>
        </w:rPr>
        <w:t xml:space="preserve"> </w:t>
      </w:r>
      <w:r>
        <w:rPr>
          <w:i/>
          <w:iCs/>
          <w:color w:val="auto"/>
        </w:rPr>
        <w:t>aureopunctata</w:t>
      </w:r>
      <w:r>
        <w:rPr>
          <w:color w:val="auto"/>
        </w:rPr>
        <w:t>、钩毛茜草</w:t>
      </w:r>
      <w:r>
        <w:rPr>
          <w:i/>
          <w:iCs/>
          <w:color w:val="auto"/>
        </w:rPr>
        <w:t>Rubia</w:t>
      </w:r>
      <w:r>
        <w:rPr>
          <w:color w:val="auto"/>
        </w:rPr>
        <w:t xml:space="preserve"> </w:t>
      </w:r>
      <w:r>
        <w:rPr>
          <w:i/>
          <w:iCs/>
          <w:color w:val="auto"/>
        </w:rPr>
        <w:t>oncotricha</w:t>
      </w:r>
      <w:r>
        <w:rPr>
          <w:color w:val="auto"/>
        </w:rPr>
        <w:t>、云南龙胆</w:t>
      </w:r>
      <w:r>
        <w:rPr>
          <w:i/>
          <w:iCs/>
          <w:color w:val="auto"/>
        </w:rPr>
        <w:t>Gentiana</w:t>
      </w:r>
      <w:r>
        <w:rPr>
          <w:color w:val="auto"/>
        </w:rPr>
        <w:t xml:space="preserve"> </w:t>
      </w:r>
      <w:r>
        <w:rPr>
          <w:i/>
          <w:iCs/>
          <w:color w:val="auto"/>
        </w:rPr>
        <w:t>yunnanensis</w:t>
      </w:r>
      <w:r>
        <w:rPr>
          <w:color w:val="auto"/>
        </w:rPr>
        <w:t>、天名精</w:t>
      </w:r>
      <w:r>
        <w:rPr>
          <w:i/>
          <w:iCs/>
          <w:color w:val="auto"/>
        </w:rPr>
        <w:t>Carpesium</w:t>
      </w:r>
      <w:r>
        <w:rPr>
          <w:color w:val="auto"/>
        </w:rPr>
        <w:t xml:space="preserve"> </w:t>
      </w:r>
      <w:r>
        <w:rPr>
          <w:i/>
          <w:iCs/>
          <w:color w:val="auto"/>
        </w:rPr>
        <w:t>abrotanoides</w:t>
      </w:r>
      <w:r>
        <w:rPr>
          <w:color w:val="auto"/>
        </w:rPr>
        <w:t>、粘冠草</w:t>
      </w:r>
      <w:r>
        <w:rPr>
          <w:i/>
          <w:iCs/>
          <w:color w:val="auto"/>
        </w:rPr>
        <w:t>Myriactis</w:t>
      </w:r>
      <w:r>
        <w:rPr>
          <w:color w:val="auto"/>
        </w:rPr>
        <w:t xml:space="preserve"> </w:t>
      </w:r>
      <w:r>
        <w:rPr>
          <w:i/>
          <w:iCs/>
          <w:color w:val="auto"/>
        </w:rPr>
        <w:t>wallichii</w:t>
      </w:r>
      <w:r>
        <w:rPr>
          <w:color w:val="auto"/>
        </w:rPr>
        <w:t>、地果</w:t>
      </w:r>
      <w:r>
        <w:rPr>
          <w:i/>
          <w:iCs/>
          <w:color w:val="auto"/>
        </w:rPr>
        <w:t>Ficus</w:t>
      </w:r>
      <w:r>
        <w:rPr>
          <w:color w:val="auto"/>
        </w:rPr>
        <w:t xml:space="preserve"> </w:t>
      </w:r>
      <w:r>
        <w:rPr>
          <w:i/>
          <w:iCs/>
          <w:color w:val="auto"/>
        </w:rPr>
        <w:t>tikoua</w:t>
      </w:r>
      <w:r>
        <w:rPr>
          <w:color w:val="auto"/>
        </w:rPr>
        <w:t>、蕨</w:t>
      </w:r>
      <w:r>
        <w:rPr>
          <w:i/>
          <w:iCs/>
          <w:color w:val="auto"/>
        </w:rPr>
        <w:t>Pteridium</w:t>
      </w:r>
      <w:r>
        <w:rPr>
          <w:color w:val="auto"/>
        </w:rPr>
        <w:t xml:space="preserve"> </w:t>
      </w:r>
      <w:r>
        <w:rPr>
          <w:i/>
          <w:iCs/>
          <w:color w:val="auto"/>
        </w:rPr>
        <w:t>aquilinum</w:t>
      </w:r>
      <w:r>
        <w:rPr>
          <w:color w:val="auto"/>
        </w:rPr>
        <w:t>、蔗茅</w:t>
      </w:r>
      <w:r>
        <w:rPr>
          <w:i/>
          <w:iCs/>
          <w:color w:val="auto"/>
        </w:rPr>
        <w:t>Erianthus</w:t>
      </w:r>
      <w:r>
        <w:rPr>
          <w:color w:val="auto"/>
        </w:rPr>
        <w:t xml:space="preserve"> </w:t>
      </w:r>
      <w:r>
        <w:rPr>
          <w:i/>
          <w:iCs/>
          <w:color w:val="auto"/>
        </w:rPr>
        <w:t>rufipilus</w:t>
      </w:r>
      <w:r>
        <w:rPr>
          <w:color w:val="auto"/>
        </w:rPr>
        <w:t>、牙刷草（东紫苏）</w:t>
      </w:r>
      <w:r>
        <w:rPr>
          <w:i/>
          <w:iCs/>
          <w:color w:val="auto"/>
        </w:rPr>
        <w:t>Elsholtzia</w:t>
      </w:r>
      <w:r>
        <w:rPr>
          <w:color w:val="auto"/>
        </w:rPr>
        <w:t xml:space="preserve"> </w:t>
      </w:r>
      <w:r>
        <w:rPr>
          <w:i/>
          <w:iCs/>
          <w:color w:val="auto"/>
        </w:rPr>
        <w:t>bodinieri</w:t>
      </w:r>
      <w:r>
        <w:rPr>
          <w:color w:val="auto"/>
        </w:rPr>
        <w:t>、紫茎泽兰</w:t>
      </w:r>
      <w:r>
        <w:rPr>
          <w:i/>
          <w:iCs/>
          <w:color w:val="auto"/>
        </w:rPr>
        <w:t>Ageratina</w:t>
      </w:r>
      <w:r>
        <w:rPr>
          <w:color w:val="auto"/>
        </w:rPr>
        <w:t xml:space="preserve"> </w:t>
      </w:r>
      <w:r>
        <w:rPr>
          <w:i/>
          <w:iCs/>
          <w:color w:val="auto"/>
        </w:rPr>
        <w:t>adenophora</w:t>
      </w:r>
      <w:r>
        <w:rPr>
          <w:color w:val="auto"/>
        </w:rPr>
        <w:t>、野拔子</w:t>
      </w:r>
      <w:r>
        <w:rPr>
          <w:i/>
          <w:iCs/>
          <w:color w:val="auto"/>
        </w:rPr>
        <w:t>Elsholtzia</w:t>
      </w:r>
      <w:r>
        <w:rPr>
          <w:color w:val="auto"/>
        </w:rPr>
        <w:t xml:space="preserve"> </w:t>
      </w:r>
      <w:r>
        <w:rPr>
          <w:i/>
          <w:iCs/>
          <w:color w:val="auto"/>
        </w:rPr>
        <w:t>rugulosa</w:t>
      </w:r>
      <w:r>
        <w:rPr>
          <w:color w:val="auto"/>
        </w:rPr>
        <w:t>、千里光</w:t>
      </w:r>
      <w:r>
        <w:rPr>
          <w:i/>
          <w:iCs/>
          <w:color w:val="auto"/>
        </w:rPr>
        <w:t>Senecio</w:t>
      </w:r>
      <w:r>
        <w:rPr>
          <w:color w:val="auto"/>
        </w:rPr>
        <w:t xml:space="preserve"> </w:t>
      </w:r>
      <w:r>
        <w:rPr>
          <w:i/>
          <w:iCs/>
          <w:color w:val="auto"/>
        </w:rPr>
        <w:t>scandens</w:t>
      </w:r>
      <w:r>
        <w:rPr>
          <w:color w:val="auto"/>
        </w:rPr>
        <w:t>、红花龙胆</w:t>
      </w:r>
      <w:r>
        <w:rPr>
          <w:i/>
          <w:iCs/>
          <w:color w:val="auto"/>
        </w:rPr>
        <w:t>Gentiana</w:t>
      </w:r>
      <w:r>
        <w:rPr>
          <w:color w:val="auto"/>
        </w:rPr>
        <w:t xml:space="preserve"> </w:t>
      </w:r>
      <w:r>
        <w:rPr>
          <w:i/>
          <w:iCs/>
          <w:color w:val="auto"/>
        </w:rPr>
        <w:t>rhodantha</w:t>
      </w:r>
      <w:r>
        <w:rPr>
          <w:color w:val="auto"/>
        </w:rPr>
        <w:t>、毛莲菜</w:t>
      </w:r>
      <w:r>
        <w:rPr>
          <w:i/>
          <w:iCs/>
          <w:color w:val="auto"/>
        </w:rPr>
        <w:t>Picris</w:t>
      </w:r>
      <w:r>
        <w:rPr>
          <w:color w:val="auto"/>
        </w:rPr>
        <w:t xml:space="preserve"> </w:t>
      </w:r>
      <w:r>
        <w:rPr>
          <w:i/>
          <w:iCs/>
          <w:color w:val="auto"/>
        </w:rPr>
        <w:t>hieracioides</w:t>
      </w:r>
      <w:r>
        <w:rPr>
          <w:color w:val="auto"/>
        </w:rPr>
        <w:t>、糯米团</w:t>
      </w:r>
      <w:r>
        <w:rPr>
          <w:i/>
          <w:iCs/>
          <w:color w:val="auto"/>
        </w:rPr>
        <w:t>Memorialis</w:t>
      </w:r>
      <w:r>
        <w:rPr>
          <w:color w:val="auto"/>
        </w:rPr>
        <w:t xml:space="preserve"> </w:t>
      </w:r>
      <w:r>
        <w:rPr>
          <w:i/>
          <w:iCs/>
          <w:color w:val="auto"/>
        </w:rPr>
        <w:t>hirta</w:t>
      </w:r>
      <w:r>
        <w:rPr>
          <w:color w:val="auto"/>
        </w:rPr>
        <w:t>、千里光</w:t>
      </w:r>
      <w:r>
        <w:rPr>
          <w:i/>
          <w:iCs/>
          <w:color w:val="auto"/>
        </w:rPr>
        <w:t>Senecio</w:t>
      </w:r>
      <w:r>
        <w:rPr>
          <w:color w:val="auto"/>
        </w:rPr>
        <w:t xml:space="preserve"> </w:t>
      </w:r>
      <w:r>
        <w:rPr>
          <w:i/>
          <w:iCs/>
          <w:color w:val="auto"/>
        </w:rPr>
        <w:t>scandens</w:t>
      </w:r>
      <w:r>
        <w:rPr>
          <w:color w:val="auto"/>
        </w:rPr>
        <w:t>、绣球防风</w:t>
      </w:r>
      <w:r>
        <w:rPr>
          <w:i/>
          <w:iCs/>
          <w:color w:val="auto"/>
        </w:rPr>
        <w:t>Leucas</w:t>
      </w:r>
      <w:r>
        <w:rPr>
          <w:color w:val="auto"/>
        </w:rPr>
        <w:t xml:space="preserve"> </w:t>
      </w:r>
      <w:r>
        <w:rPr>
          <w:i/>
          <w:iCs/>
          <w:color w:val="auto"/>
        </w:rPr>
        <w:t>ciliata</w:t>
      </w:r>
      <w:r>
        <w:rPr>
          <w:color w:val="auto"/>
        </w:rPr>
        <w:t>等。</w:t>
      </w:r>
    </w:p>
    <w:p w14:paraId="3C6576D9">
      <w:pPr>
        <w:pStyle w:val="41"/>
        <w:bidi w:val="0"/>
        <w:rPr>
          <w:color w:val="auto"/>
        </w:rPr>
      </w:pPr>
      <w:r>
        <w:rPr>
          <w:color w:val="auto"/>
        </w:rPr>
        <w:t>群落样方调查表见附录。</w:t>
      </w:r>
    </w:p>
    <w:p w14:paraId="37AB6479">
      <w:pPr>
        <w:pStyle w:val="41"/>
        <w:bidi w:val="0"/>
        <w:rPr>
          <w:rFonts w:hint="default" w:ascii="Times New Roman" w:hAnsi="Times New Roman" w:cs="Times New Roman"/>
          <w:color w:val="auto"/>
        </w:rPr>
      </w:pPr>
      <w:r>
        <w:rPr>
          <w:rFonts w:hint="default" w:ascii="Times New Roman" w:hAnsi="Times New Roman" w:eastAsia="微软雅黑" w:cs="Times New Roman"/>
          <w:color w:val="auto"/>
        </w:rPr>
        <w:t>Ⅳ</w:t>
      </w:r>
      <w:r>
        <w:rPr>
          <w:rFonts w:hint="default" w:ascii="Times New Roman" w:hAnsi="Times New Roman" w:eastAsia="微软雅黑" w:cs="Times New Roman"/>
          <w:color w:val="auto"/>
          <w:lang w:val="en-US" w:eastAsia="zh-CN"/>
        </w:rPr>
        <w:t>.</w:t>
      </w:r>
      <w:r>
        <w:rPr>
          <w:rFonts w:hint="default" w:ascii="Times New Roman" w:hAnsi="Times New Roman" w:cs="Times New Roman"/>
          <w:color w:val="auto"/>
        </w:rPr>
        <w:t>灌丛</w:t>
      </w:r>
    </w:p>
    <w:p w14:paraId="2EE88C6A">
      <w:pPr>
        <w:pStyle w:val="41"/>
        <w:bidi w:val="0"/>
        <w:rPr>
          <w:rFonts w:hint="eastAsia"/>
          <w:color w:val="auto"/>
        </w:rPr>
      </w:pPr>
      <w:r>
        <w:rPr>
          <w:rFonts w:hint="eastAsia"/>
          <w:color w:val="auto"/>
          <w:lang w:val="en-US" w:eastAsia="zh-CN"/>
        </w:rPr>
        <w:t>⑤</w:t>
      </w:r>
      <w:r>
        <w:rPr>
          <w:rFonts w:hint="eastAsia"/>
          <w:color w:val="auto"/>
        </w:rPr>
        <w:t>粉叶小檗-栒子灌丛</w:t>
      </w:r>
    </w:p>
    <w:p w14:paraId="23E69A32">
      <w:pPr>
        <w:pStyle w:val="41"/>
        <w:bidi w:val="0"/>
        <w:rPr>
          <w:rFonts w:hint="eastAsia" w:eastAsia="宋体"/>
          <w:color w:val="auto"/>
          <w:lang w:val="en-US" w:eastAsia="zh-CN"/>
        </w:rPr>
      </w:pPr>
      <w:r>
        <w:rPr>
          <w:rFonts w:hint="eastAsia"/>
          <w:color w:val="auto"/>
        </w:rPr>
        <w:t>粉叶小檗-栒子灌丛在调查区组成物种少，这</w:t>
      </w:r>
      <w:r>
        <w:rPr>
          <w:rFonts w:hint="eastAsia"/>
          <w:color w:val="auto"/>
          <w:lang w:eastAsia="zh-CN"/>
        </w:rPr>
        <w:t>类</w:t>
      </w:r>
      <w:r>
        <w:rPr>
          <w:rFonts w:hint="eastAsia"/>
          <w:color w:val="auto"/>
        </w:rPr>
        <w:t>群系主要分布于XZ</w:t>
      </w:r>
      <w:r>
        <w:rPr>
          <w:rFonts w:hint="eastAsia"/>
          <w:color w:val="auto"/>
          <w:lang w:val="en-US" w:eastAsia="zh-CN"/>
        </w:rPr>
        <w:t>B</w:t>
      </w:r>
      <w:r>
        <w:rPr>
          <w:rFonts w:hint="eastAsia"/>
          <w:color w:val="auto"/>
        </w:rPr>
        <w:t>01风机附近，群落中没有发现高度达到5m的乔木植株</w:t>
      </w:r>
      <w:r>
        <w:rPr>
          <w:rFonts w:hint="eastAsia"/>
          <w:color w:val="auto"/>
          <w:lang w:eastAsia="zh-CN"/>
        </w:rPr>
        <w:t>。</w:t>
      </w:r>
    </w:p>
    <w:p w14:paraId="51400975">
      <w:pPr>
        <w:pStyle w:val="41"/>
        <w:bidi w:val="0"/>
        <w:rPr>
          <w:rFonts w:hint="eastAsia"/>
          <w:color w:val="auto"/>
        </w:rPr>
      </w:pPr>
      <w:r>
        <w:rPr>
          <w:rFonts w:hint="eastAsia"/>
          <w:color w:val="auto"/>
        </w:rPr>
        <w:t>灌木层盖度不大，达</w:t>
      </w:r>
      <w:r>
        <w:rPr>
          <w:rFonts w:hint="eastAsia"/>
          <w:color w:val="auto"/>
          <w:lang w:eastAsia="zh-CN"/>
        </w:rPr>
        <w:t>25%～40%</w:t>
      </w:r>
      <w:r>
        <w:rPr>
          <w:rFonts w:hint="eastAsia"/>
          <w:color w:val="auto"/>
        </w:rPr>
        <w:t>，高度5</w:t>
      </w:r>
      <w:r>
        <w:rPr>
          <w:rFonts w:hint="eastAsia"/>
          <w:i/>
          <w:iCs/>
          <w:color w:val="auto"/>
        </w:rPr>
        <w:t>m</w:t>
      </w:r>
      <w:r>
        <w:rPr>
          <w:rFonts w:hint="eastAsia"/>
          <w:color w:val="auto"/>
        </w:rPr>
        <w:t>以下，以粉叶小檗</w:t>
      </w:r>
      <w:r>
        <w:rPr>
          <w:rFonts w:hint="eastAsia"/>
          <w:i/>
          <w:iCs/>
          <w:color w:val="auto"/>
        </w:rPr>
        <w:t>Berberi</w:t>
      </w:r>
      <w:r>
        <w:rPr>
          <w:rFonts w:hint="eastAsia"/>
          <w:color w:val="auto"/>
          <w:lang w:val="en-US" w:eastAsia="zh-CN"/>
        </w:rPr>
        <w:t xml:space="preserve"> </w:t>
      </w:r>
      <w:r>
        <w:rPr>
          <w:rFonts w:hint="eastAsia"/>
          <w:i/>
          <w:iCs/>
          <w:color w:val="auto"/>
        </w:rPr>
        <w:t>spruinosa</w:t>
      </w:r>
      <w:r>
        <w:rPr>
          <w:rFonts w:hint="eastAsia"/>
          <w:color w:val="auto"/>
        </w:rPr>
        <w:t>、西南栒子</w:t>
      </w:r>
      <w:r>
        <w:rPr>
          <w:rFonts w:hint="eastAsia"/>
          <w:i/>
          <w:iCs/>
          <w:color w:val="auto"/>
        </w:rPr>
        <w:t>Cotoneaster</w:t>
      </w:r>
      <w:r>
        <w:rPr>
          <w:rFonts w:hint="eastAsia"/>
          <w:color w:val="auto"/>
        </w:rPr>
        <w:t xml:space="preserve"> </w:t>
      </w:r>
      <w:r>
        <w:rPr>
          <w:rFonts w:hint="eastAsia"/>
          <w:i/>
          <w:iCs/>
          <w:color w:val="auto"/>
        </w:rPr>
        <w:t>franchetii</w:t>
      </w:r>
      <w:r>
        <w:rPr>
          <w:rFonts w:hint="eastAsia"/>
          <w:color w:val="auto"/>
        </w:rPr>
        <w:t>为主要优势，主要有乔木幼树云南松幼树</w:t>
      </w:r>
      <w:r>
        <w:rPr>
          <w:rFonts w:hint="eastAsia"/>
          <w:i/>
          <w:iCs/>
          <w:color w:val="auto"/>
        </w:rPr>
        <w:t>Pinus</w:t>
      </w:r>
      <w:r>
        <w:rPr>
          <w:rFonts w:hint="eastAsia"/>
          <w:color w:val="auto"/>
          <w:lang w:val="en-US" w:eastAsia="zh-CN"/>
        </w:rPr>
        <w:t xml:space="preserve"> </w:t>
      </w:r>
      <w:r>
        <w:rPr>
          <w:rFonts w:hint="eastAsia"/>
          <w:i/>
          <w:iCs/>
          <w:color w:val="auto"/>
        </w:rPr>
        <w:t>yunnanensis</w:t>
      </w:r>
      <w:r>
        <w:rPr>
          <w:rFonts w:hint="eastAsia"/>
          <w:color w:val="auto"/>
        </w:rPr>
        <w:t>、滇青冈</w:t>
      </w:r>
      <w:r>
        <w:rPr>
          <w:rFonts w:hint="eastAsia"/>
          <w:i/>
          <w:iCs/>
          <w:color w:val="auto"/>
        </w:rPr>
        <w:t>Cyclobalanopsis</w:t>
      </w:r>
      <w:r>
        <w:rPr>
          <w:rFonts w:hint="eastAsia"/>
          <w:color w:val="auto"/>
        </w:rPr>
        <w:t xml:space="preserve"> </w:t>
      </w:r>
      <w:r>
        <w:rPr>
          <w:rFonts w:hint="eastAsia"/>
          <w:i/>
          <w:iCs/>
          <w:color w:val="auto"/>
        </w:rPr>
        <w:t>glaucoides</w:t>
      </w:r>
      <w:r>
        <w:rPr>
          <w:rFonts w:hint="eastAsia"/>
          <w:color w:val="auto"/>
        </w:rPr>
        <w:t>等，其他灌木有铁仔</w:t>
      </w:r>
      <w:r>
        <w:rPr>
          <w:rFonts w:hint="eastAsia"/>
          <w:i/>
          <w:iCs/>
          <w:color w:val="auto"/>
        </w:rPr>
        <w:t>Myrsine</w:t>
      </w:r>
      <w:r>
        <w:rPr>
          <w:rFonts w:hint="eastAsia"/>
          <w:color w:val="auto"/>
        </w:rPr>
        <w:t xml:space="preserve"> </w:t>
      </w:r>
      <w:r>
        <w:rPr>
          <w:rFonts w:hint="eastAsia"/>
          <w:i/>
          <w:iCs/>
          <w:color w:val="auto"/>
        </w:rPr>
        <w:t>africana</w:t>
      </w:r>
      <w:r>
        <w:rPr>
          <w:rFonts w:hint="eastAsia"/>
          <w:color w:val="auto"/>
        </w:rPr>
        <w:t>、密蒙花</w:t>
      </w:r>
      <w:r>
        <w:rPr>
          <w:rFonts w:hint="eastAsia"/>
          <w:i/>
          <w:iCs/>
          <w:color w:val="auto"/>
        </w:rPr>
        <w:t>Buddleja</w:t>
      </w:r>
      <w:r>
        <w:rPr>
          <w:rFonts w:hint="eastAsia"/>
          <w:color w:val="auto"/>
        </w:rPr>
        <w:t xml:space="preserve"> </w:t>
      </w:r>
      <w:r>
        <w:rPr>
          <w:rFonts w:hint="eastAsia"/>
          <w:i/>
          <w:iCs/>
          <w:color w:val="auto"/>
        </w:rPr>
        <w:t>oficinalis</w:t>
      </w:r>
      <w:r>
        <w:rPr>
          <w:rFonts w:hint="eastAsia"/>
          <w:color w:val="auto"/>
        </w:rPr>
        <w:t>、黄花稔</w:t>
      </w:r>
      <w:r>
        <w:rPr>
          <w:rFonts w:hint="eastAsia"/>
          <w:i/>
          <w:iCs/>
          <w:color w:val="auto"/>
        </w:rPr>
        <w:t>Sida</w:t>
      </w:r>
      <w:r>
        <w:rPr>
          <w:rFonts w:hint="eastAsia"/>
          <w:color w:val="auto"/>
        </w:rPr>
        <w:t xml:space="preserve"> </w:t>
      </w:r>
      <w:r>
        <w:rPr>
          <w:rFonts w:hint="eastAsia"/>
          <w:i/>
          <w:iCs/>
          <w:color w:val="auto"/>
        </w:rPr>
        <w:t>acuta</w:t>
      </w:r>
      <w:r>
        <w:rPr>
          <w:rFonts w:hint="eastAsia"/>
          <w:color w:val="auto"/>
        </w:rPr>
        <w:t>、茅莓</w:t>
      </w:r>
      <w:r>
        <w:rPr>
          <w:rFonts w:hint="eastAsia"/>
          <w:i/>
          <w:iCs/>
          <w:color w:val="auto"/>
        </w:rPr>
        <w:t>Rubus</w:t>
      </w:r>
      <w:r>
        <w:rPr>
          <w:rFonts w:hint="eastAsia"/>
          <w:color w:val="auto"/>
        </w:rPr>
        <w:t xml:space="preserve"> </w:t>
      </w:r>
      <w:r>
        <w:rPr>
          <w:rFonts w:hint="eastAsia"/>
          <w:i/>
          <w:iCs/>
          <w:color w:val="auto"/>
        </w:rPr>
        <w:t>parvifolius</w:t>
      </w:r>
      <w:r>
        <w:rPr>
          <w:rFonts w:hint="eastAsia"/>
          <w:color w:val="auto"/>
        </w:rPr>
        <w:t>、爆杖花</w:t>
      </w:r>
      <w:r>
        <w:rPr>
          <w:rFonts w:hint="eastAsia"/>
          <w:i/>
          <w:iCs/>
          <w:color w:val="auto"/>
        </w:rPr>
        <w:t>Rhododendron</w:t>
      </w:r>
      <w:r>
        <w:rPr>
          <w:rFonts w:hint="eastAsia"/>
          <w:color w:val="auto"/>
        </w:rPr>
        <w:t xml:space="preserve"> </w:t>
      </w:r>
      <w:r>
        <w:rPr>
          <w:rFonts w:hint="eastAsia"/>
          <w:i/>
          <w:iCs/>
          <w:color w:val="auto"/>
        </w:rPr>
        <w:t>spinuliferum</w:t>
      </w:r>
      <w:r>
        <w:rPr>
          <w:rFonts w:hint="eastAsia"/>
          <w:color w:val="auto"/>
        </w:rPr>
        <w:t>、亮毛杜鹃</w:t>
      </w:r>
      <w:r>
        <w:rPr>
          <w:rFonts w:hint="eastAsia"/>
          <w:i/>
          <w:iCs/>
          <w:color w:val="auto"/>
        </w:rPr>
        <w:t>Rhododendron</w:t>
      </w:r>
      <w:r>
        <w:rPr>
          <w:rFonts w:hint="eastAsia"/>
          <w:color w:val="auto"/>
        </w:rPr>
        <w:t xml:space="preserve"> </w:t>
      </w:r>
      <w:r>
        <w:rPr>
          <w:rFonts w:hint="eastAsia"/>
          <w:i/>
          <w:iCs/>
          <w:color w:val="auto"/>
        </w:rPr>
        <w:t>microphyton</w:t>
      </w:r>
      <w:r>
        <w:rPr>
          <w:rFonts w:hint="eastAsia"/>
          <w:color w:val="auto"/>
        </w:rPr>
        <w:t>等。</w:t>
      </w:r>
    </w:p>
    <w:p w14:paraId="65F30297">
      <w:pPr>
        <w:pStyle w:val="41"/>
        <w:bidi w:val="0"/>
        <w:rPr>
          <w:rFonts w:hint="eastAsia"/>
          <w:color w:val="auto"/>
        </w:rPr>
      </w:pPr>
      <w:r>
        <w:rPr>
          <w:rFonts w:hint="eastAsia"/>
          <w:color w:val="auto"/>
        </w:rPr>
        <w:t>草本层盖度约40%，高度一般不超过1</w:t>
      </w:r>
      <w:r>
        <w:rPr>
          <w:rFonts w:hint="eastAsia"/>
          <w:i/>
          <w:iCs/>
          <w:color w:val="auto"/>
        </w:rPr>
        <w:t>m</w:t>
      </w:r>
      <w:r>
        <w:rPr>
          <w:rFonts w:hint="eastAsia"/>
          <w:color w:val="auto"/>
        </w:rPr>
        <w:t>，主要种类有西南委陵菜</w:t>
      </w:r>
      <w:r>
        <w:rPr>
          <w:rFonts w:hint="eastAsia"/>
          <w:i/>
          <w:iCs/>
          <w:color w:val="auto"/>
        </w:rPr>
        <w:t>Potentilla</w:t>
      </w:r>
      <w:r>
        <w:rPr>
          <w:rFonts w:hint="eastAsia"/>
          <w:color w:val="auto"/>
          <w:lang w:val="en-US" w:eastAsia="zh-CN"/>
        </w:rPr>
        <w:t xml:space="preserve"> </w:t>
      </w:r>
      <w:r>
        <w:rPr>
          <w:rFonts w:hint="eastAsia"/>
          <w:i/>
          <w:iCs/>
          <w:color w:val="auto"/>
        </w:rPr>
        <w:t>fulgens</w:t>
      </w:r>
      <w:r>
        <w:rPr>
          <w:rFonts w:hint="eastAsia"/>
          <w:color w:val="auto"/>
        </w:rPr>
        <w:t>、沿阶草</w:t>
      </w:r>
      <w:r>
        <w:rPr>
          <w:rFonts w:hint="eastAsia"/>
          <w:i/>
          <w:iCs/>
          <w:color w:val="auto"/>
        </w:rPr>
        <w:t>Ophiopogon</w:t>
      </w:r>
      <w:r>
        <w:rPr>
          <w:rFonts w:hint="eastAsia"/>
          <w:color w:val="auto"/>
        </w:rPr>
        <w:t xml:space="preserve"> </w:t>
      </w:r>
      <w:r>
        <w:rPr>
          <w:rFonts w:hint="eastAsia"/>
          <w:i/>
          <w:iCs/>
          <w:color w:val="auto"/>
        </w:rPr>
        <w:t>bodinieri</w:t>
      </w:r>
      <w:r>
        <w:rPr>
          <w:rFonts w:hint="eastAsia"/>
          <w:color w:val="auto"/>
        </w:rPr>
        <w:t>、野古草</w:t>
      </w:r>
      <w:r>
        <w:rPr>
          <w:rFonts w:hint="eastAsia"/>
          <w:i/>
          <w:iCs/>
          <w:color w:val="auto"/>
        </w:rPr>
        <w:t>Arundinella</w:t>
      </w:r>
      <w:r>
        <w:rPr>
          <w:rFonts w:hint="eastAsia"/>
          <w:color w:val="auto"/>
        </w:rPr>
        <w:t xml:space="preserve"> </w:t>
      </w:r>
      <w:r>
        <w:rPr>
          <w:rFonts w:hint="eastAsia"/>
          <w:i/>
          <w:iCs/>
          <w:color w:val="auto"/>
        </w:rPr>
        <w:t>anomala</w:t>
      </w:r>
      <w:r>
        <w:rPr>
          <w:rFonts w:hint="eastAsia"/>
          <w:color w:val="auto"/>
        </w:rPr>
        <w:t>、云南莎草</w:t>
      </w:r>
      <w:r>
        <w:rPr>
          <w:rFonts w:hint="eastAsia"/>
          <w:i/>
          <w:iCs/>
          <w:color w:val="auto"/>
        </w:rPr>
        <w:t>Cyperus</w:t>
      </w:r>
      <w:r>
        <w:rPr>
          <w:rFonts w:hint="eastAsia"/>
          <w:color w:val="auto"/>
        </w:rPr>
        <w:t xml:space="preserve"> </w:t>
      </w:r>
      <w:r>
        <w:rPr>
          <w:rFonts w:hint="eastAsia"/>
          <w:i/>
          <w:iCs/>
          <w:color w:val="auto"/>
        </w:rPr>
        <w:t>duclouxii</w:t>
      </w:r>
      <w:r>
        <w:rPr>
          <w:rFonts w:hint="eastAsia"/>
          <w:color w:val="auto"/>
        </w:rPr>
        <w:t>、白茅</w:t>
      </w:r>
      <w:r>
        <w:rPr>
          <w:rFonts w:hint="eastAsia"/>
          <w:i/>
          <w:iCs/>
          <w:color w:val="auto"/>
        </w:rPr>
        <w:t>Imperata</w:t>
      </w:r>
      <w:r>
        <w:rPr>
          <w:rFonts w:hint="eastAsia"/>
          <w:color w:val="auto"/>
          <w:lang w:val="en-US" w:eastAsia="zh-CN"/>
        </w:rPr>
        <w:t xml:space="preserve"> </w:t>
      </w:r>
      <w:r>
        <w:rPr>
          <w:rFonts w:hint="eastAsia"/>
          <w:i/>
          <w:iCs/>
          <w:color w:val="auto"/>
        </w:rPr>
        <w:t>cylindrica</w:t>
      </w:r>
      <w:r>
        <w:rPr>
          <w:rFonts w:hint="eastAsia"/>
          <w:color w:val="auto"/>
        </w:rPr>
        <w:t>、滇香薷</w:t>
      </w:r>
      <w:r>
        <w:rPr>
          <w:rFonts w:hint="eastAsia"/>
          <w:i/>
          <w:iCs/>
          <w:color w:val="auto"/>
        </w:rPr>
        <w:t>Origanum</w:t>
      </w:r>
      <w:r>
        <w:rPr>
          <w:rFonts w:hint="eastAsia"/>
          <w:color w:val="auto"/>
        </w:rPr>
        <w:t xml:space="preserve"> </w:t>
      </w:r>
      <w:r>
        <w:rPr>
          <w:rFonts w:hint="eastAsia"/>
          <w:i/>
          <w:iCs/>
          <w:color w:val="auto"/>
        </w:rPr>
        <w:t>vulgare</w:t>
      </w:r>
      <w:r>
        <w:rPr>
          <w:rFonts w:hint="eastAsia"/>
          <w:color w:val="auto"/>
        </w:rPr>
        <w:t>、荩草</w:t>
      </w:r>
      <w:r>
        <w:rPr>
          <w:rFonts w:hint="eastAsia"/>
          <w:i/>
          <w:iCs/>
          <w:color w:val="auto"/>
        </w:rPr>
        <w:t>Arthraxon</w:t>
      </w:r>
      <w:r>
        <w:rPr>
          <w:rFonts w:hint="eastAsia"/>
          <w:color w:val="auto"/>
        </w:rPr>
        <w:t xml:space="preserve"> </w:t>
      </w:r>
      <w:r>
        <w:rPr>
          <w:rFonts w:hint="eastAsia"/>
          <w:i/>
          <w:iCs/>
          <w:color w:val="auto"/>
        </w:rPr>
        <w:t>ispidus</w:t>
      </w:r>
      <w:r>
        <w:rPr>
          <w:rFonts w:hint="eastAsia"/>
          <w:color w:val="auto"/>
        </w:rPr>
        <w:t>、红花龙胆</w:t>
      </w:r>
      <w:r>
        <w:rPr>
          <w:rFonts w:hint="eastAsia"/>
          <w:i/>
          <w:iCs/>
          <w:color w:val="auto"/>
        </w:rPr>
        <w:t>Gentiana</w:t>
      </w:r>
      <w:r>
        <w:rPr>
          <w:rFonts w:hint="eastAsia"/>
          <w:color w:val="auto"/>
        </w:rPr>
        <w:t xml:space="preserve"> </w:t>
      </w:r>
      <w:r>
        <w:rPr>
          <w:rFonts w:hint="eastAsia"/>
          <w:i/>
          <w:iCs/>
          <w:color w:val="auto"/>
        </w:rPr>
        <w:t>rhodantha</w:t>
      </w:r>
      <w:r>
        <w:rPr>
          <w:rFonts w:hint="eastAsia"/>
          <w:color w:val="auto"/>
        </w:rPr>
        <w:t>、黄茅</w:t>
      </w:r>
      <w:r>
        <w:rPr>
          <w:rFonts w:hint="eastAsia"/>
          <w:i/>
          <w:iCs/>
          <w:color w:val="auto"/>
        </w:rPr>
        <w:t>Heteropogon</w:t>
      </w:r>
      <w:r>
        <w:rPr>
          <w:rFonts w:hint="eastAsia"/>
          <w:color w:val="auto"/>
        </w:rPr>
        <w:t xml:space="preserve"> </w:t>
      </w:r>
      <w:r>
        <w:rPr>
          <w:rFonts w:hint="eastAsia"/>
          <w:i/>
          <w:iCs/>
          <w:color w:val="auto"/>
        </w:rPr>
        <w:t>contortus</w:t>
      </w:r>
      <w:r>
        <w:rPr>
          <w:rFonts w:hint="eastAsia"/>
          <w:color w:val="auto"/>
        </w:rPr>
        <w:t>等。</w:t>
      </w:r>
    </w:p>
    <w:p w14:paraId="7D7423D5">
      <w:pPr>
        <w:pStyle w:val="41"/>
        <w:bidi w:val="0"/>
        <w:rPr>
          <w:color w:val="auto"/>
        </w:rPr>
      </w:pPr>
      <w:r>
        <w:rPr>
          <w:color w:val="auto"/>
        </w:rPr>
        <w:t>群落样方调查表见附录。</w:t>
      </w:r>
    </w:p>
    <w:p w14:paraId="27166B36">
      <w:pPr>
        <w:pStyle w:val="41"/>
        <w:bidi w:val="0"/>
        <w:rPr>
          <w:rFonts w:hint="eastAsia" w:ascii="Times New Roman" w:hAnsi="Times New Roman" w:eastAsia="宋体" w:cs="Times New Roman"/>
          <w:color w:val="auto"/>
          <w:lang w:val="en-US" w:eastAsia="zh-CN"/>
        </w:rPr>
      </w:pPr>
      <w:r>
        <w:rPr>
          <w:rFonts w:hint="default" w:ascii="Times New Roman" w:hAnsi="Times New Roman" w:cs="Times New Roman"/>
          <w:color w:val="auto"/>
          <w:lang w:val="en-US" w:eastAsia="zh-CN"/>
        </w:rPr>
        <w:t>Ⅴ</w:t>
      </w:r>
      <w:r>
        <w:rPr>
          <w:rFonts w:hint="default" w:ascii="Times New Roman" w:hAnsi="Times New Roman" w:cs="Times New Roman"/>
          <w:color w:val="auto"/>
        </w:rPr>
        <w:t>.草</w:t>
      </w:r>
      <w:r>
        <w:rPr>
          <w:rFonts w:hint="eastAsia" w:cs="Times New Roman"/>
          <w:color w:val="auto"/>
          <w:lang w:val="en-US" w:eastAsia="zh-CN"/>
        </w:rPr>
        <w:t>丛</w:t>
      </w:r>
    </w:p>
    <w:p w14:paraId="07350A0C">
      <w:pPr>
        <w:pStyle w:val="41"/>
        <w:bidi w:val="0"/>
        <w:rPr>
          <w:rFonts w:hint="eastAsia"/>
          <w:color w:val="auto"/>
        </w:rPr>
      </w:pPr>
      <w:r>
        <w:rPr>
          <w:rFonts w:hint="eastAsia"/>
          <w:color w:val="auto"/>
        </w:rPr>
        <w:t>在云南植被中，此类荒草</w:t>
      </w:r>
      <w:r>
        <w:rPr>
          <w:rFonts w:hint="eastAsia"/>
          <w:color w:val="auto"/>
          <w:lang w:eastAsia="zh-CN"/>
        </w:rPr>
        <w:t>地</w:t>
      </w:r>
      <w:r>
        <w:rPr>
          <w:rFonts w:hint="eastAsia"/>
          <w:color w:val="auto"/>
        </w:rPr>
        <w:t>类似于暖温性稀树灌木草丛，但受人为活动影响和地理条件的综合作用之下，评价区内的草地次生性更加明显，难以见到稀树的分布。此类草地多受到人类耕种活动的影响，弃耕后，区域气候干旱、土壤贫瘠，所以更替为次生荒草地。在此植被中以中草为主，主要以禾本科植物</w:t>
      </w:r>
      <w:r>
        <w:rPr>
          <w:rFonts w:hint="eastAsia"/>
          <w:color w:val="auto"/>
          <w:lang w:eastAsia="zh-CN"/>
        </w:rPr>
        <w:t>为</w:t>
      </w:r>
      <w:r>
        <w:rPr>
          <w:rFonts w:hint="eastAsia"/>
          <w:color w:val="auto"/>
        </w:rPr>
        <w:t>优势种。</w:t>
      </w:r>
    </w:p>
    <w:p w14:paraId="0AFCE69C">
      <w:pPr>
        <w:pStyle w:val="41"/>
        <w:bidi w:val="0"/>
        <w:rPr>
          <w:color w:val="auto"/>
        </w:rPr>
      </w:pPr>
      <w:r>
        <w:rPr>
          <w:rFonts w:hint="eastAsia"/>
          <w:color w:val="auto"/>
        </w:rPr>
        <w:t>评价区内分布有</w:t>
      </w:r>
      <w:r>
        <w:rPr>
          <w:color w:val="auto"/>
        </w:rPr>
        <w:t>1</w:t>
      </w:r>
      <w:r>
        <w:rPr>
          <w:rFonts w:hint="eastAsia"/>
          <w:color w:val="auto"/>
        </w:rPr>
        <w:t>个群系：禾草草丛。</w:t>
      </w:r>
    </w:p>
    <w:p w14:paraId="2980F64B">
      <w:pPr>
        <w:pStyle w:val="41"/>
        <w:bidi w:val="0"/>
        <w:rPr>
          <w:color w:val="auto"/>
        </w:rPr>
      </w:pPr>
      <w:r>
        <w:rPr>
          <w:rFonts w:hint="eastAsia"/>
          <w:color w:val="auto"/>
          <w:lang w:val="en-US" w:eastAsia="zh-CN"/>
        </w:rPr>
        <w:t>⑥</w:t>
      </w:r>
      <w:r>
        <w:rPr>
          <w:rFonts w:hint="eastAsia"/>
          <w:color w:val="auto"/>
        </w:rPr>
        <w:t>禾草草丛</w:t>
      </w:r>
    </w:p>
    <w:p w14:paraId="075E09C7">
      <w:pPr>
        <w:pStyle w:val="41"/>
        <w:bidi w:val="0"/>
        <w:rPr>
          <w:rFonts w:hint="eastAsia"/>
          <w:color w:val="auto"/>
        </w:rPr>
      </w:pPr>
      <w:r>
        <w:rPr>
          <w:rFonts w:hint="eastAsia"/>
          <w:color w:val="auto"/>
        </w:rPr>
        <w:t>蕨-白茅草丛主要分布于</w:t>
      </w:r>
      <w:r>
        <w:rPr>
          <w:rFonts w:hint="eastAsia"/>
          <w:color w:val="auto"/>
          <w:lang w:val="en-US" w:eastAsia="zh-CN"/>
        </w:rPr>
        <w:t>XZB-01、XZB-02、XZB-04</w:t>
      </w:r>
      <w:r>
        <w:rPr>
          <w:rFonts w:hint="eastAsia"/>
          <w:color w:val="auto"/>
          <w:lang w:eastAsia="zh-CN"/>
        </w:rPr>
        <w:t>风机平台</w:t>
      </w:r>
      <w:r>
        <w:rPr>
          <w:rFonts w:hint="eastAsia"/>
          <w:color w:val="auto"/>
        </w:rPr>
        <w:t>及附近，呈片状分布，主要为人为干扰后形成，场地无乔木分布，灌木层盖度极小，为1%，高度不足3米，由于不断砍伐的缘故，多</w:t>
      </w:r>
      <w:r>
        <w:rPr>
          <w:rFonts w:hint="eastAsia"/>
          <w:color w:val="auto"/>
          <w:lang w:eastAsia="zh-CN"/>
        </w:rPr>
        <w:t>呈</w:t>
      </w:r>
      <w:r>
        <w:rPr>
          <w:rFonts w:hint="eastAsia"/>
          <w:color w:val="auto"/>
        </w:rPr>
        <w:t>丛生状。主要组成植物有云南松幼树</w:t>
      </w:r>
      <w:r>
        <w:rPr>
          <w:rFonts w:hint="eastAsia"/>
          <w:i/>
          <w:iCs/>
          <w:color w:val="auto"/>
        </w:rPr>
        <w:t>Pinus</w:t>
      </w:r>
      <w:r>
        <w:rPr>
          <w:rFonts w:hint="eastAsia"/>
          <w:i/>
          <w:iCs/>
          <w:color w:val="auto"/>
          <w:lang w:val="en-US" w:eastAsia="zh-CN"/>
        </w:rPr>
        <w:t xml:space="preserve"> </w:t>
      </w:r>
      <w:r>
        <w:rPr>
          <w:rFonts w:hint="eastAsia"/>
          <w:i/>
          <w:iCs/>
          <w:color w:val="auto"/>
        </w:rPr>
        <w:t>unnanensis</w:t>
      </w:r>
      <w:r>
        <w:rPr>
          <w:rFonts w:hint="eastAsia"/>
          <w:color w:val="auto"/>
        </w:rPr>
        <w:t>、峨眉蔷薇</w:t>
      </w:r>
      <w:r>
        <w:rPr>
          <w:rFonts w:hint="eastAsia"/>
          <w:i/>
          <w:iCs/>
          <w:color w:val="auto"/>
        </w:rPr>
        <w:t>Rosao</w:t>
      </w:r>
      <w:r>
        <w:rPr>
          <w:rFonts w:hint="eastAsia"/>
          <w:i/>
          <w:iCs/>
          <w:color w:val="auto"/>
          <w:lang w:val="en-US" w:eastAsia="zh-CN"/>
        </w:rPr>
        <w:t xml:space="preserve"> </w:t>
      </w:r>
      <w:r>
        <w:rPr>
          <w:rFonts w:hint="eastAsia"/>
          <w:i/>
          <w:iCs/>
          <w:color w:val="auto"/>
        </w:rPr>
        <w:t>meiensis</w:t>
      </w:r>
      <w:r>
        <w:rPr>
          <w:rFonts w:hint="eastAsia"/>
          <w:color w:val="auto"/>
        </w:rPr>
        <w:t>、栒子</w:t>
      </w:r>
      <w:r>
        <w:rPr>
          <w:rFonts w:hint="eastAsia"/>
          <w:i/>
          <w:iCs/>
          <w:color w:val="auto"/>
        </w:rPr>
        <w:t>Cotoneaster</w:t>
      </w:r>
      <w:r>
        <w:rPr>
          <w:rFonts w:hint="eastAsia"/>
          <w:i/>
          <w:iCs/>
          <w:color w:val="auto"/>
          <w:lang w:val="en-US" w:eastAsia="zh-CN"/>
        </w:rPr>
        <w:t xml:space="preserve"> </w:t>
      </w:r>
      <w:r>
        <w:rPr>
          <w:rFonts w:hint="eastAsia"/>
          <w:i/>
          <w:iCs/>
          <w:color w:val="auto"/>
        </w:rPr>
        <w:t>tenuipes</w:t>
      </w:r>
      <w:r>
        <w:rPr>
          <w:rFonts w:hint="eastAsia"/>
          <w:color w:val="auto"/>
        </w:rPr>
        <w:t>等。</w:t>
      </w:r>
    </w:p>
    <w:p w14:paraId="74E9D2AE">
      <w:pPr>
        <w:pStyle w:val="41"/>
        <w:bidi w:val="0"/>
        <w:rPr>
          <w:rFonts w:hint="eastAsia"/>
          <w:color w:val="auto"/>
        </w:rPr>
      </w:pPr>
      <w:r>
        <w:rPr>
          <w:rFonts w:hint="eastAsia"/>
          <w:color w:val="auto"/>
        </w:rPr>
        <w:t>草本层盖度约</w:t>
      </w:r>
      <w:r>
        <w:rPr>
          <w:rFonts w:hint="eastAsia"/>
          <w:color w:val="auto"/>
          <w:lang w:eastAsia="zh-CN"/>
        </w:rPr>
        <w:t>45%～60%</w:t>
      </w:r>
      <w:r>
        <w:rPr>
          <w:rFonts w:hint="eastAsia"/>
          <w:color w:val="auto"/>
        </w:rPr>
        <w:t>，高度不超过1m，主要植物有蕨</w:t>
      </w:r>
      <w:r>
        <w:rPr>
          <w:rFonts w:hint="eastAsia"/>
          <w:i/>
          <w:iCs/>
          <w:color w:val="auto"/>
        </w:rPr>
        <w:t>Pteridium</w:t>
      </w:r>
      <w:r>
        <w:rPr>
          <w:rFonts w:hint="eastAsia"/>
          <w:i/>
          <w:iCs/>
          <w:color w:val="auto"/>
          <w:lang w:val="en-US" w:eastAsia="zh-CN"/>
        </w:rPr>
        <w:t xml:space="preserve"> </w:t>
      </w:r>
      <w:r>
        <w:rPr>
          <w:rFonts w:hint="eastAsia"/>
          <w:i/>
          <w:iCs/>
          <w:color w:val="auto"/>
        </w:rPr>
        <w:t>revolutum</w:t>
      </w:r>
      <w:r>
        <w:rPr>
          <w:rFonts w:hint="eastAsia"/>
          <w:color w:val="auto"/>
        </w:rPr>
        <w:t>、白茅</w:t>
      </w:r>
      <w:r>
        <w:rPr>
          <w:rFonts w:hint="eastAsia"/>
          <w:i/>
          <w:iCs/>
          <w:color w:val="auto"/>
        </w:rPr>
        <w:t>Imperata</w:t>
      </w:r>
      <w:r>
        <w:rPr>
          <w:rFonts w:hint="eastAsia"/>
          <w:i/>
          <w:iCs/>
          <w:color w:val="auto"/>
          <w:lang w:val="en-US" w:eastAsia="zh-CN"/>
        </w:rPr>
        <w:t xml:space="preserve"> </w:t>
      </w:r>
      <w:r>
        <w:rPr>
          <w:rFonts w:hint="eastAsia"/>
          <w:i/>
          <w:iCs/>
          <w:color w:val="auto"/>
        </w:rPr>
        <w:t>cylindrica</w:t>
      </w:r>
      <w:r>
        <w:rPr>
          <w:rFonts w:hint="eastAsia"/>
          <w:color w:val="auto"/>
        </w:rPr>
        <w:t>、香青</w:t>
      </w:r>
      <w:r>
        <w:rPr>
          <w:rFonts w:hint="eastAsia"/>
          <w:i/>
          <w:iCs/>
          <w:color w:val="auto"/>
        </w:rPr>
        <w:t>Anaphalis</w:t>
      </w:r>
      <w:r>
        <w:rPr>
          <w:rFonts w:hint="eastAsia"/>
          <w:i/>
          <w:iCs/>
          <w:color w:val="auto"/>
          <w:lang w:val="en-US" w:eastAsia="zh-CN"/>
        </w:rPr>
        <w:t xml:space="preserve"> </w:t>
      </w:r>
      <w:r>
        <w:rPr>
          <w:rFonts w:hint="eastAsia"/>
          <w:i/>
          <w:iCs/>
          <w:color w:val="auto"/>
        </w:rPr>
        <w:t>sinica</w:t>
      </w:r>
      <w:r>
        <w:rPr>
          <w:rFonts w:hint="eastAsia"/>
          <w:color w:val="auto"/>
        </w:rPr>
        <w:t>、白车轴草</w:t>
      </w:r>
      <w:r>
        <w:rPr>
          <w:rFonts w:hint="eastAsia"/>
          <w:i/>
          <w:iCs/>
          <w:color w:val="auto"/>
        </w:rPr>
        <w:t>Trifolium</w:t>
      </w:r>
      <w:r>
        <w:rPr>
          <w:rFonts w:hint="eastAsia"/>
          <w:i/>
          <w:iCs/>
          <w:color w:val="auto"/>
          <w:lang w:val="en-US" w:eastAsia="zh-CN"/>
        </w:rPr>
        <w:t xml:space="preserve"> </w:t>
      </w:r>
      <w:r>
        <w:rPr>
          <w:rFonts w:hint="eastAsia"/>
          <w:i/>
          <w:iCs/>
          <w:color w:val="auto"/>
        </w:rPr>
        <w:t>repens</w:t>
      </w:r>
      <w:r>
        <w:rPr>
          <w:rFonts w:hint="eastAsia"/>
          <w:color w:val="auto"/>
        </w:rPr>
        <w:t>、束尾草</w:t>
      </w:r>
      <w:r>
        <w:rPr>
          <w:rFonts w:hint="eastAsia"/>
          <w:i/>
          <w:iCs/>
          <w:color w:val="auto"/>
        </w:rPr>
        <w:t>Phacelurus</w:t>
      </w:r>
      <w:r>
        <w:rPr>
          <w:rFonts w:hint="eastAsia"/>
          <w:i/>
          <w:iCs/>
          <w:color w:val="auto"/>
          <w:lang w:val="en-US" w:eastAsia="zh-CN"/>
        </w:rPr>
        <w:t xml:space="preserve"> </w:t>
      </w:r>
      <w:r>
        <w:rPr>
          <w:rFonts w:hint="eastAsia"/>
          <w:i/>
          <w:iCs/>
          <w:color w:val="auto"/>
        </w:rPr>
        <w:t>latifolius</w:t>
      </w:r>
      <w:r>
        <w:rPr>
          <w:rFonts w:hint="eastAsia"/>
          <w:color w:val="auto"/>
        </w:rPr>
        <w:t>、车前</w:t>
      </w:r>
      <w:r>
        <w:rPr>
          <w:rFonts w:hint="eastAsia"/>
          <w:i/>
          <w:iCs/>
          <w:color w:val="auto"/>
        </w:rPr>
        <w:t>Plantago</w:t>
      </w:r>
      <w:r>
        <w:rPr>
          <w:rFonts w:hint="eastAsia"/>
          <w:i/>
          <w:iCs/>
          <w:color w:val="auto"/>
          <w:lang w:val="en-US" w:eastAsia="zh-CN"/>
        </w:rPr>
        <w:t xml:space="preserve"> </w:t>
      </w:r>
      <w:r>
        <w:rPr>
          <w:rFonts w:hint="eastAsia"/>
          <w:i/>
          <w:iCs/>
          <w:color w:val="auto"/>
        </w:rPr>
        <w:t>asiatie</w:t>
      </w:r>
      <w:r>
        <w:rPr>
          <w:rFonts w:hint="eastAsia"/>
          <w:color w:val="auto"/>
        </w:rPr>
        <w:t>a、天胡荽</w:t>
      </w:r>
      <w:r>
        <w:rPr>
          <w:rFonts w:hint="eastAsia"/>
          <w:i/>
          <w:iCs/>
          <w:color w:val="auto"/>
        </w:rPr>
        <w:t>Hydrocotyle</w:t>
      </w:r>
      <w:r>
        <w:rPr>
          <w:rFonts w:hint="eastAsia"/>
          <w:i/>
          <w:iCs/>
          <w:color w:val="auto"/>
          <w:lang w:val="en-US" w:eastAsia="zh-CN"/>
        </w:rPr>
        <w:t xml:space="preserve"> </w:t>
      </w:r>
      <w:r>
        <w:rPr>
          <w:rFonts w:hint="eastAsia"/>
          <w:i/>
          <w:iCs/>
          <w:color w:val="auto"/>
        </w:rPr>
        <w:t>sibthorpioides</w:t>
      </w:r>
      <w:r>
        <w:rPr>
          <w:rFonts w:hint="eastAsia"/>
          <w:color w:val="auto"/>
        </w:rPr>
        <w:t>等。</w:t>
      </w:r>
    </w:p>
    <w:p w14:paraId="70C4D780">
      <w:pPr>
        <w:pStyle w:val="41"/>
        <w:bidi w:val="0"/>
        <w:rPr>
          <w:rFonts w:hint="eastAsia" w:eastAsia="宋体"/>
          <w:color w:val="auto"/>
          <w:lang w:eastAsia="zh-CN"/>
        </w:rPr>
      </w:pPr>
      <w:r>
        <w:rPr>
          <w:rFonts w:hint="eastAsia"/>
          <w:color w:val="auto"/>
        </w:rPr>
        <w:t>样方中未见层间植物。群落样方调查表见附录。</w:t>
      </w:r>
    </w:p>
    <w:p w14:paraId="46F893C7">
      <w:pPr>
        <w:pStyle w:val="41"/>
        <w:bidi w:val="0"/>
        <w:rPr>
          <w:color w:val="auto"/>
        </w:rPr>
      </w:pPr>
      <w:r>
        <w:rPr>
          <w:rFonts w:hint="eastAsia"/>
          <w:color w:val="auto"/>
        </w:rPr>
        <w:t>（2）人工植被</w:t>
      </w:r>
    </w:p>
    <w:p w14:paraId="2C97A144">
      <w:pPr>
        <w:pStyle w:val="41"/>
        <w:bidi w:val="0"/>
        <w:rPr>
          <w:rFonts w:hint="eastAsia"/>
          <w:color w:val="auto"/>
        </w:rPr>
      </w:pPr>
      <w:r>
        <w:rPr>
          <w:rFonts w:hint="eastAsia"/>
          <w:color w:val="auto"/>
        </w:rPr>
        <w:t>评价区在</w:t>
      </w:r>
      <w:r>
        <w:rPr>
          <w:rFonts w:hint="eastAsia"/>
          <w:color w:val="auto"/>
          <w:lang w:val="en-US" w:eastAsia="zh-CN"/>
        </w:rPr>
        <w:t>XZB01风机、XZB02风机、XZB04风机、XZB16风机生态评价范围边缘以及集电线路西南侧</w:t>
      </w:r>
      <w:r>
        <w:rPr>
          <w:rFonts w:hint="eastAsia"/>
          <w:color w:val="auto"/>
        </w:rPr>
        <w:t>附近</w:t>
      </w:r>
      <w:r>
        <w:rPr>
          <w:rFonts w:hint="eastAsia"/>
          <w:color w:val="auto"/>
          <w:lang w:val="en-US" w:eastAsia="zh-CN"/>
        </w:rPr>
        <w:t>分布有</w:t>
      </w:r>
      <w:r>
        <w:rPr>
          <w:rFonts w:hint="eastAsia"/>
          <w:color w:val="auto"/>
        </w:rPr>
        <w:t>坡耕地，为旱地，主要种</w:t>
      </w:r>
      <w:r>
        <w:rPr>
          <w:rFonts w:hint="eastAsia"/>
          <w:color w:val="auto"/>
          <w:highlight w:val="none"/>
        </w:rPr>
        <w:t>植玉米、土豆、辣椒</w:t>
      </w:r>
      <w:r>
        <w:rPr>
          <w:rFonts w:hint="eastAsia"/>
          <w:color w:val="auto"/>
        </w:rPr>
        <w:t>等经济作物。受到人为影响较严重，生物多样性较为单一。</w:t>
      </w:r>
    </w:p>
    <w:p w14:paraId="196833DE">
      <w:pPr>
        <w:pStyle w:val="42"/>
        <w:bidi w:val="0"/>
        <w:rPr>
          <w:rFonts w:hint="default" w:eastAsia="宋体"/>
          <w:color w:val="auto"/>
          <w:lang w:val="en-US" w:eastAsia="zh-CN"/>
        </w:rPr>
      </w:pPr>
      <w:r>
        <w:rPr>
          <w:rFonts w:hint="eastAsia"/>
          <w:color w:val="auto"/>
          <w:lang w:val="en-US" w:eastAsia="zh-CN"/>
        </w:rPr>
        <w:t>表2-4  风机平台植被现状</w:t>
      </w:r>
    </w:p>
    <w:tbl>
      <w:tblPr>
        <w:tblStyle w:val="21"/>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23"/>
        <w:gridCol w:w="1237"/>
        <w:gridCol w:w="2280"/>
        <w:gridCol w:w="4506"/>
      </w:tblGrid>
      <w:tr w14:paraId="5B3AF0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25" w:type="dxa"/>
            <w:tcBorders>
              <w:tl2br w:val="nil"/>
              <w:tr2bl w:val="nil"/>
            </w:tcBorders>
            <w:vAlign w:val="center"/>
          </w:tcPr>
          <w:p w14:paraId="6F66E3ED">
            <w:pPr>
              <w:pStyle w:val="37"/>
              <w:bidi w:val="0"/>
              <w:rPr>
                <w:rFonts w:hint="default"/>
                <w:lang w:val="en-US" w:eastAsia="zh-CN"/>
              </w:rPr>
            </w:pPr>
            <w:r>
              <w:rPr>
                <w:rFonts w:hint="default"/>
                <w:lang w:val="en-US" w:eastAsia="zh-CN"/>
              </w:rPr>
              <w:t>风机</w:t>
            </w:r>
          </w:p>
          <w:p w14:paraId="1D862D8F">
            <w:pPr>
              <w:pStyle w:val="37"/>
              <w:bidi w:val="0"/>
              <w:rPr>
                <w:rFonts w:hint="default"/>
                <w:lang w:val="en-US" w:eastAsia="zh-CN"/>
              </w:rPr>
            </w:pPr>
            <w:r>
              <w:rPr>
                <w:rFonts w:hint="default"/>
                <w:lang w:val="en-US" w:eastAsia="zh-CN"/>
              </w:rPr>
              <w:t>机位</w:t>
            </w:r>
          </w:p>
        </w:tc>
        <w:tc>
          <w:tcPr>
            <w:tcW w:w="1366" w:type="dxa"/>
            <w:tcBorders>
              <w:tl2br w:val="nil"/>
              <w:tr2bl w:val="nil"/>
            </w:tcBorders>
            <w:vAlign w:val="center"/>
          </w:tcPr>
          <w:p w14:paraId="02666966">
            <w:pPr>
              <w:pStyle w:val="37"/>
              <w:bidi w:val="0"/>
              <w:rPr>
                <w:rFonts w:hint="default"/>
                <w:lang w:val="en-US" w:eastAsia="zh-CN"/>
              </w:rPr>
            </w:pPr>
            <w:r>
              <w:rPr>
                <w:rFonts w:hint="default"/>
                <w:lang w:val="en-US" w:eastAsia="zh-CN"/>
              </w:rPr>
              <w:t>植被类型</w:t>
            </w:r>
          </w:p>
        </w:tc>
        <w:tc>
          <w:tcPr>
            <w:tcW w:w="2519" w:type="dxa"/>
            <w:tcBorders>
              <w:tl2br w:val="nil"/>
              <w:tr2bl w:val="nil"/>
            </w:tcBorders>
            <w:vAlign w:val="center"/>
          </w:tcPr>
          <w:p w14:paraId="7CED1A00">
            <w:pPr>
              <w:pStyle w:val="37"/>
              <w:bidi w:val="0"/>
              <w:rPr>
                <w:rFonts w:hint="eastAsia"/>
                <w:lang w:val="en-US" w:eastAsia="zh-CN"/>
              </w:rPr>
            </w:pPr>
            <w:r>
              <w:rPr>
                <w:rFonts w:hint="eastAsia"/>
                <w:lang w:val="en-US" w:eastAsia="zh-CN"/>
              </w:rPr>
              <w:t>群落特征</w:t>
            </w:r>
          </w:p>
        </w:tc>
        <w:tc>
          <w:tcPr>
            <w:tcW w:w="3606" w:type="dxa"/>
            <w:tcBorders>
              <w:tl2br w:val="nil"/>
              <w:tr2bl w:val="nil"/>
            </w:tcBorders>
            <w:vAlign w:val="center"/>
          </w:tcPr>
          <w:p w14:paraId="3E4B692F">
            <w:pPr>
              <w:pStyle w:val="37"/>
              <w:bidi w:val="0"/>
              <w:rPr>
                <w:rFonts w:hint="eastAsia"/>
                <w:lang w:val="en-US" w:eastAsia="zh-CN"/>
              </w:rPr>
            </w:pPr>
            <w:r>
              <w:rPr>
                <w:rFonts w:hint="default"/>
                <w:lang w:val="en-US" w:eastAsia="zh-CN"/>
              </w:rPr>
              <w:t>机位</w:t>
            </w:r>
            <w:r>
              <w:rPr>
                <w:rFonts w:hint="eastAsia"/>
                <w:lang w:val="en-US" w:eastAsia="zh-CN"/>
              </w:rPr>
              <w:t>示意照片</w:t>
            </w:r>
          </w:p>
        </w:tc>
      </w:tr>
      <w:tr w14:paraId="521884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25" w:type="dxa"/>
            <w:tcBorders>
              <w:tl2br w:val="nil"/>
              <w:tr2bl w:val="nil"/>
            </w:tcBorders>
            <w:vAlign w:val="center"/>
          </w:tcPr>
          <w:p w14:paraId="39309287">
            <w:pPr>
              <w:pStyle w:val="37"/>
              <w:bidi w:val="0"/>
              <w:rPr>
                <w:rFonts w:hint="default"/>
                <w:lang w:val="en-US" w:eastAsia="zh-CN"/>
              </w:rPr>
            </w:pPr>
            <w:r>
              <w:rPr>
                <w:rFonts w:hint="default"/>
                <w:lang w:val="en-US" w:eastAsia="zh-CN"/>
              </w:rPr>
              <w:t>L1</w:t>
            </w:r>
          </w:p>
        </w:tc>
        <w:tc>
          <w:tcPr>
            <w:tcW w:w="1366" w:type="dxa"/>
            <w:tcBorders>
              <w:tl2br w:val="nil"/>
              <w:tr2bl w:val="nil"/>
            </w:tcBorders>
            <w:vAlign w:val="center"/>
          </w:tcPr>
          <w:p w14:paraId="2E1E3908">
            <w:pPr>
              <w:pStyle w:val="37"/>
              <w:bidi w:val="0"/>
              <w:rPr>
                <w:rFonts w:hint="default"/>
                <w:lang w:val="en-US" w:eastAsia="zh-CN"/>
              </w:rPr>
            </w:pPr>
            <w:r>
              <w:rPr>
                <w:rFonts w:hint="eastAsia"/>
                <w:lang w:val="en-US" w:eastAsia="zh-CN"/>
              </w:rPr>
              <w:t>禾草草地</w:t>
            </w:r>
          </w:p>
        </w:tc>
        <w:tc>
          <w:tcPr>
            <w:tcW w:w="2519" w:type="dxa"/>
            <w:tcBorders>
              <w:tl2br w:val="nil"/>
              <w:tr2bl w:val="nil"/>
            </w:tcBorders>
            <w:vAlign w:val="center"/>
          </w:tcPr>
          <w:p w14:paraId="4C250C8F">
            <w:pPr>
              <w:pStyle w:val="37"/>
              <w:bidi w:val="0"/>
              <w:rPr>
                <w:rFonts w:hint="default"/>
                <w:lang w:val="en-US" w:eastAsia="zh-CN"/>
              </w:rPr>
            </w:pPr>
            <w:r>
              <w:rPr>
                <w:rFonts w:hint="eastAsia"/>
                <w:lang w:val="en-US" w:eastAsia="zh-CN"/>
              </w:rPr>
              <w:t>仅边缘存在少量灌木层，盖度约8%，主要为粉叶小檗；草本层高0.3m以下，盖度约25%，常见有白茅、蕨菜、</w:t>
            </w:r>
            <w:r>
              <w:rPr>
                <w:rFonts w:hint="eastAsia"/>
              </w:rPr>
              <w:t>野菊</w:t>
            </w:r>
            <w:r>
              <w:rPr>
                <w:rFonts w:hint="eastAsia"/>
                <w:lang w:val="en-US" w:eastAsia="zh-CN"/>
              </w:rPr>
              <w:t>等。</w:t>
            </w:r>
          </w:p>
        </w:tc>
        <w:tc>
          <w:tcPr>
            <w:tcW w:w="3606" w:type="dxa"/>
            <w:tcBorders>
              <w:tl2br w:val="nil"/>
              <w:tr2bl w:val="nil"/>
            </w:tcBorders>
          </w:tcPr>
          <w:p w14:paraId="2ADD4900">
            <w:pPr>
              <w:pStyle w:val="37"/>
              <w:bidi w:val="0"/>
              <w:rPr>
                <w:rFonts w:hint="eastAsia"/>
                <w:lang w:eastAsia="zh-CN"/>
              </w:rPr>
            </w:pPr>
            <w:r>
              <w:drawing>
                <wp:inline distT="0" distB="0" distL="114300" distR="114300">
                  <wp:extent cx="2710180" cy="1806575"/>
                  <wp:effectExtent l="0" t="0" r="13970" b="3175"/>
                  <wp:docPr id="46" name="图片 46" descr="DJI_0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DJI_0191"/>
                          <pic:cNvPicPr>
                            <a:picLocks noChangeAspect="1"/>
                          </pic:cNvPicPr>
                        </pic:nvPicPr>
                        <pic:blipFill>
                          <a:blip r:embed="rId21"/>
                          <a:stretch>
                            <a:fillRect/>
                          </a:stretch>
                        </pic:blipFill>
                        <pic:spPr>
                          <a:xfrm>
                            <a:off x="0" y="0"/>
                            <a:ext cx="2710180" cy="1806575"/>
                          </a:xfrm>
                          <a:prstGeom prst="rect">
                            <a:avLst/>
                          </a:prstGeom>
                        </pic:spPr>
                      </pic:pic>
                    </a:graphicData>
                  </a:graphic>
                </wp:inline>
              </w:drawing>
            </w:r>
            <w:r>
              <mc:AlternateContent>
                <mc:Choice Requires="wps">
                  <w:drawing>
                    <wp:anchor distT="0" distB="0" distL="114300" distR="114300" simplePos="0" relativeHeight="251680768" behindDoc="0" locked="0" layoutInCell="1" allowOverlap="1">
                      <wp:simplePos x="0" y="0"/>
                      <wp:positionH relativeFrom="column">
                        <wp:posOffset>925830</wp:posOffset>
                      </wp:positionH>
                      <wp:positionV relativeFrom="paragraph">
                        <wp:posOffset>1017905</wp:posOffset>
                      </wp:positionV>
                      <wp:extent cx="255270" cy="255270"/>
                      <wp:effectExtent l="9525" t="9525" r="20955" b="20955"/>
                      <wp:wrapNone/>
                      <wp:docPr id="48" name="椭圆 48"/>
                      <wp:cNvGraphicFramePr/>
                      <a:graphic xmlns:a="http://schemas.openxmlformats.org/drawingml/2006/main">
                        <a:graphicData uri="http://schemas.microsoft.com/office/word/2010/wordprocessingShape">
                          <wps:wsp>
                            <wps:cNvSpPr/>
                            <wps:spPr>
                              <a:xfrm>
                                <a:off x="0" y="0"/>
                                <a:ext cx="255270" cy="255270"/>
                              </a:xfrm>
                              <a:prstGeom prst="ellipse">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89DB2C4">
                                  <w:pPr>
                                    <w:jc w:val="center"/>
                                    <w:rPr>
                                      <w:rFonts w:hint="eastAsia" w:eastAsia="宋体"/>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72.9pt;margin-top:80.15pt;height:20.1pt;width:20.1pt;z-index:251680768;v-text-anchor:middle;mso-width-relative:page;mso-height-relative:page;" filled="f" stroked="t" coordsize="21600,21600" o:gfxdata="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3qDTutYAAAALAQAADwAAAAAAAAABACAAAAAiAAAAZHJzL2Rvd25yZXYu&#10;eG1sUEsBAhQAFAAAAAgAh07iQH/YrY1vAgAA2gQAAA4AAAAAAAAAAQAgAAAAJQEAAGRycy9lMm9E&#10;b2MueG1sUEsFBgAAAAAGAAYAWQEAAAYGAAAAAA==&#10;">
                      <v:fill on="f" focussize="0,0"/>
                      <v:stroke weight="1.5pt" color="#FF0000 [2404]" miterlimit="8" joinstyle="miter"/>
                      <v:imagedata o:title=""/>
                      <o:lock v:ext="edit" aspectratio="f"/>
                      <v:textbox>
                        <w:txbxContent>
                          <w:p w14:paraId="589DB2C4">
                            <w:pPr>
                              <w:jc w:val="center"/>
                              <w:rPr>
                                <w:rFonts w:hint="eastAsia" w:eastAsia="宋体"/>
                                <w:lang w:val="en-US" w:eastAsia="zh-CN"/>
                              </w:rPr>
                            </w:pPr>
                          </w:p>
                        </w:txbxContent>
                      </v:textbox>
                    </v:shape>
                  </w:pict>
                </mc:Fallback>
              </mc:AlternateContent>
            </w:r>
          </w:p>
        </w:tc>
      </w:tr>
      <w:tr w14:paraId="125395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25" w:type="dxa"/>
            <w:tcBorders>
              <w:tl2br w:val="nil"/>
              <w:tr2bl w:val="nil"/>
            </w:tcBorders>
            <w:vAlign w:val="center"/>
          </w:tcPr>
          <w:p w14:paraId="43F751EC">
            <w:pPr>
              <w:pStyle w:val="37"/>
              <w:bidi w:val="0"/>
              <w:rPr>
                <w:rFonts w:hint="default"/>
              </w:rPr>
            </w:pPr>
            <w:r>
              <w:rPr>
                <w:rFonts w:hint="default"/>
                <w:lang w:val="en-US" w:eastAsia="zh-CN"/>
              </w:rPr>
              <w:t>L2</w:t>
            </w:r>
          </w:p>
        </w:tc>
        <w:tc>
          <w:tcPr>
            <w:tcW w:w="1366" w:type="dxa"/>
            <w:tcBorders>
              <w:tl2br w:val="nil"/>
              <w:tr2bl w:val="nil"/>
            </w:tcBorders>
            <w:vAlign w:val="center"/>
          </w:tcPr>
          <w:p w14:paraId="73B435D8">
            <w:pPr>
              <w:pStyle w:val="37"/>
              <w:bidi w:val="0"/>
              <w:rPr>
                <w:rFonts w:hint="default"/>
              </w:rPr>
            </w:pPr>
            <w:r>
              <w:rPr>
                <w:rFonts w:hint="eastAsia"/>
                <w:lang w:val="en-US" w:eastAsia="zh-CN"/>
              </w:rPr>
              <w:t>禾草草地、云南松林</w:t>
            </w:r>
          </w:p>
        </w:tc>
        <w:tc>
          <w:tcPr>
            <w:tcW w:w="2519" w:type="dxa"/>
            <w:tcBorders>
              <w:tl2br w:val="nil"/>
              <w:tr2bl w:val="nil"/>
            </w:tcBorders>
            <w:vAlign w:val="top"/>
          </w:tcPr>
          <w:p w14:paraId="2E1B672B">
            <w:pPr>
              <w:pStyle w:val="37"/>
              <w:bidi w:val="0"/>
              <w:rPr>
                <w:rFonts w:hint="default"/>
                <w:lang w:val="en-US" w:eastAsia="zh-CN"/>
              </w:rPr>
            </w:pPr>
            <w:r>
              <w:rPr>
                <w:rFonts w:hint="eastAsia"/>
                <w:lang w:val="en-US" w:eastAsia="zh-CN"/>
              </w:rPr>
              <w:t>乔木层高度3—5m，盖度约25%，以云南松为主；灌木层0.5—2m，盖度约30%，主要为火棘、粉叶小檗；草本层高0.3m以下，盖度约10%，常见菜蕨。</w:t>
            </w:r>
          </w:p>
        </w:tc>
        <w:tc>
          <w:tcPr>
            <w:tcW w:w="3606" w:type="dxa"/>
            <w:tcBorders>
              <w:tl2br w:val="nil"/>
              <w:tr2bl w:val="nil"/>
            </w:tcBorders>
          </w:tcPr>
          <w:p w14:paraId="0DC29FE4">
            <w:pPr>
              <w:pStyle w:val="37"/>
              <w:bidi w:val="0"/>
              <w:rPr>
                <w:rFonts w:hint="eastAsia"/>
                <w:lang w:eastAsia="zh-CN"/>
              </w:rPr>
            </w:pPr>
            <w:r>
              <mc:AlternateContent>
                <mc:Choice Requires="wps">
                  <w:drawing>
                    <wp:anchor distT="0" distB="0" distL="114300" distR="114300" simplePos="0" relativeHeight="251681792" behindDoc="0" locked="0" layoutInCell="1" allowOverlap="1">
                      <wp:simplePos x="0" y="0"/>
                      <wp:positionH relativeFrom="column">
                        <wp:posOffset>1289685</wp:posOffset>
                      </wp:positionH>
                      <wp:positionV relativeFrom="paragraph">
                        <wp:posOffset>944880</wp:posOffset>
                      </wp:positionV>
                      <wp:extent cx="255270" cy="255270"/>
                      <wp:effectExtent l="9525" t="9525" r="20955" b="20955"/>
                      <wp:wrapNone/>
                      <wp:docPr id="49" name="椭圆 49"/>
                      <wp:cNvGraphicFramePr/>
                      <a:graphic xmlns:a="http://schemas.openxmlformats.org/drawingml/2006/main">
                        <a:graphicData uri="http://schemas.microsoft.com/office/word/2010/wordprocessingShape">
                          <wps:wsp>
                            <wps:cNvSpPr/>
                            <wps:spPr>
                              <a:xfrm>
                                <a:off x="0" y="0"/>
                                <a:ext cx="255270" cy="255270"/>
                              </a:xfrm>
                              <a:prstGeom prst="ellipse">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56DD6A5">
                                  <w:pPr>
                                    <w:jc w:val="center"/>
                                    <w:rPr>
                                      <w:rFonts w:hint="eastAsia" w:eastAsia="宋体"/>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01.55pt;margin-top:74.4pt;height:20.1pt;width:20.1pt;z-index:251681792;v-text-anchor:middle;mso-width-relative:page;mso-height-relative:page;" filled="f" stroked="t" coordsize="21600,21600" o:gfxdata="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uvu8H1wAAAAsBAAAPAAAAAAAAAAEAIAAAACIAAABkcnMvZG93bnJl&#10;di54bWxQSwECFAAUAAAACACHTuJAPBMMr3ACAADaBAAADgAAAAAAAAABACAAAAAmAQAAZHJzL2Uy&#10;b0RvYy54bWxQSwUGAAAAAAYABgBZAQAACAYAAAAA&#10;">
                      <v:fill on="f" focussize="0,0"/>
                      <v:stroke weight="1.5pt" color="#FF0000 [2404]" miterlimit="8" joinstyle="miter"/>
                      <v:imagedata o:title=""/>
                      <o:lock v:ext="edit" aspectratio="f"/>
                      <v:textbox>
                        <w:txbxContent>
                          <w:p w14:paraId="656DD6A5">
                            <w:pPr>
                              <w:jc w:val="center"/>
                              <w:rPr>
                                <w:rFonts w:hint="eastAsia" w:eastAsia="宋体"/>
                                <w:lang w:val="en-US" w:eastAsia="zh-CN"/>
                              </w:rPr>
                            </w:pPr>
                          </w:p>
                        </w:txbxContent>
                      </v:textbox>
                    </v:shape>
                  </w:pict>
                </mc:Fallback>
              </mc:AlternateContent>
            </w:r>
            <w:r>
              <w:rPr>
                <w:rFonts w:hint="eastAsia"/>
                <w:lang w:eastAsia="zh-CN"/>
              </w:rPr>
              <w:drawing>
                <wp:inline distT="0" distB="0" distL="114300" distR="114300">
                  <wp:extent cx="2710180" cy="1806575"/>
                  <wp:effectExtent l="0" t="0" r="13970" b="3175"/>
                  <wp:docPr id="50" name="图片 50" descr="DJI_0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DJI_0198"/>
                          <pic:cNvPicPr>
                            <a:picLocks noChangeAspect="1"/>
                          </pic:cNvPicPr>
                        </pic:nvPicPr>
                        <pic:blipFill>
                          <a:blip r:embed="rId49"/>
                          <a:stretch>
                            <a:fillRect/>
                          </a:stretch>
                        </pic:blipFill>
                        <pic:spPr>
                          <a:xfrm>
                            <a:off x="0" y="0"/>
                            <a:ext cx="2710180" cy="1806575"/>
                          </a:xfrm>
                          <a:prstGeom prst="rect">
                            <a:avLst/>
                          </a:prstGeom>
                        </pic:spPr>
                      </pic:pic>
                    </a:graphicData>
                  </a:graphic>
                </wp:inline>
              </w:drawing>
            </w:r>
          </w:p>
        </w:tc>
      </w:tr>
      <w:tr w14:paraId="442450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25" w:type="dxa"/>
            <w:tcBorders>
              <w:tl2br w:val="nil"/>
              <w:tr2bl w:val="nil"/>
            </w:tcBorders>
            <w:vAlign w:val="center"/>
          </w:tcPr>
          <w:p w14:paraId="432CE26B">
            <w:pPr>
              <w:pStyle w:val="37"/>
              <w:bidi w:val="0"/>
              <w:rPr>
                <w:rFonts w:hint="default"/>
              </w:rPr>
            </w:pPr>
            <w:r>
              <w:rPr>
                <w:rFonts w:hint="default"/>
                <w:lang w:val="en-US" w:eastAsia="zh-CN"/>
              </w:rPr>
              <w:t>L3</w:t>
            </w:r>
          </w:p>
        </w:tc>
        <w:tc>
          <w:tcPr>
            <w:tcW w:w="1366" w:type="dxa"/>
            <w:tcBorders>
              <w:tl2br w:val="nil"/>
              <w:tr2bl w:val="nil"/>
            </w:tcBorders>
            <w:vAlign w:val="center"/>
          </w:tcPr>
          <w:p w14:paraId="41D510A2">
            <w:pPr>
              <w:pStyle w:val="37"/>
              <w:bidi w:val="0"/>
              <w:rPr>
                <w:rFonts w:hint="default"/>
              </w:rPr>
            </w:pPr>
            <w:r>
              <w:rPr>
                <w:rFonts w:hint="eastAsia"/>
                <w:lang w:val="en-US" w:eastAsia="zh-CN"/>
              </w:rPr>
              <w:t>禾草草地、云南松林、华山松林</w:t>
            </w:r>
          </w:p>
        </w:tc>
        <w:tc>
          <w:tcPr>
            <w:tcW w:w="2519" w:type="dxa"/>
            <w:tcBorders>
              <w:tl2br w:val="nil"/>
              <w:tr2bl w:val="nil"/>
            </w:tcBorders>
            <w:vAlign w:val="top"/>
          </w:tcPr>
          <w:p w14:paraId="2EF26237">
            <w:pPr>
              <w:pStyle w:val="37"/>
              <w:bidi w:val="0"/>
            </w:pPr>
            <w:r>
              <w:rPr>
                <w:rFonts w:hint="eastAsia"/>
                <w:lang w:val="en-US" w:eastAsia="zh-CN"/>
              </w:rPr>
              <w:t>乔木层高度3—5m，盖度约25%，以云南松为主；灌木层0.5—2m，盖度约30%，主要为小铁仔、云南松；草本层高0.3m以下，盖度约10%，常见菜蕨。</w:t>
            </w:r>
          </w:p>
        </w:tc>
        <w:tc>
          <w:tcPr>
            <w:tcW w:w="3606" w:type="dxa"/>
            <w:tcBorders>
              <w:tl2br w:val="nil"/>
              <w:tr2bl w:val="nil"/>
            </w:tcBorders>
          </w:tcPr>
          <w:p w14:paraId="4C2915D0">
            <w:pPr>
              <w:pStyle w:val="37"/>
              <w:bidi w:val="0"/>
              <w:rPr>
                <w:rFonts w:hint="eastAsia"/>
                <w:lang w:eastAsia="zh-CN"/>
              </w:rPr>
            </w:pPr>
            <w:r>
              <mc:AlternateContent>
                <mc:Choice Requires="wps">
                  <w:drawing>
                    <wp:anchor distT="0" distB="0" distL="114300" distR="114300" simplePos="0" relativeHeight="251682816" behindDoc="0" locked="0" layoutInCell="1" allowOverlap="1">
                      <wp:simplePos x="0" y="0"/>
                      <wp:positionH relativeFrom="column">
                        <wp:posOffset>1108710</wp:posOffset>
                      </wp:positionH>
                      <wp:positionV relativeFrom="paragraph">
                        <wp:posOffset>531495</wp:posOffset>
                      </wp:positionV>
                      <wp:extent cx="255270" cy="255270"/>
                      <wp:effectExtent l="9525" t="9525" r="20955" b="20955"/>
                      <wp:wrapNone/>
                      <wp:docPr id="51" name="椭圆 51"/>
                      <wp:cNvGraphicFramePr/>
                      <a:graphic xmlns:a="http://schemas.openxmlformats.org/drawingml/2006/main">
                        <a:graphicData uri="http://schemas.microsoft.com/office/word/2010/wordprocessingShape">
                          <wps:wsp>
                            <wps:cNvSpPr/>
                            <wps:spPr>
                              <a:xfrm>
                                <a:off x="0" y="0"/>
                                <a:ext cx="255270" cy="255270"/>
                              </a:xfrm>
                              <a:prstGeom prst="ellipse">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5544BBF4">
                                  <w:pPr>
                                    <w:jc w:val="center"/>
                                    <w:rPr>
                                      <w:rFonts w:hint="eastAsia" w:eastAsia="宋体"/>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87.3pt;margin-top:41.85pt;height:20.1pt;width:20.1pt;z-index:251682816;v-text-anchor:middle;mso-width-relative:page;mso-height-relative:page;" filled="f" stroked="t" coordsize="21600,21600" o:gfxdata="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SaIwi1gAAAAoBAAAPAAAAAAAAAAEAIAAAACIAAABkcnMvZG93bnJldi54&#10;bWxQSwECFAAUAAAACACHTuJAhP6Ejm4CAADaBAAADgAAAAAAAAABACAAAAAlAQAAZHJzL2Uyb0Rv&#10;Yy54bWxQSwUGAAAAAAYABgBZAQAABQYAAAAA&#10;">
                      <v:fill on="f" focussize="0,0"/>
                      <v:stroke weight="1.5pt" color="#FF0000 [2404]" miterlimit="8" joinstyle="miter"/>
                      <v:imagedata o:title=""/>
                      <o:lock v:ext="edit" aspectratio="f"/>
                      <v:textbox>
                        <w:txbxContent>
                          <w:p w14:paraId="5544BBF4">
                            <w:pPr>
                              <w:jc w:val="center"/>
                              <w:rPr>
                                <w:rFonts w:hint="eastAsia" w:eastAsia="宋体"/>
                                <w:lang w:val="en-US" w:eastAsia="zh-CN"/>
                              </w:rPr>
                            </w:pPr>
                          </w:p>
                        </w:txbxContent>
                      </v:textbox>
                    </v:shape>
                  </w:pict>
                </mc:Fallback>
              </mc:AlternateContent>
            </w:r>
            <w:r>
              <w:rPr>
                <w:rFonts w:hint="eastAsia"/>
                <w:lang w:eastAsia="zh-CN"/>
              </w:rPr>
              <w:drawing>
                <wp:inline distT="0" distB="0" distL="114300" distR="114300">
                  <wp:extent cx="2710180" cy="1806575"/>
                  <wp:effectExtent l="0" t="0" r="13970" b="3175"/>
                  <wp:docPr id="52" name="图片 52" descr="DJI_0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DJI_0216"/>
                          <pic:cNvPicPr>
                            <a:picLocks noChangeAspect="1"/>
                          </pic:cNvPicPr>
                        </pic:nvPicPr>
                        <pic:blipFill>
                          <a:blip r:embed="rId50"/>
                          <a:stretch>
                            <a:fillRect/>
                          </a:stretch>
                        </pic:blipFill>
                        <pic:spPr>
                          <a:xfrm>
                            <a:off x="0" y="0"/>
                            <a:ext cx="2710180" cy="1806575"/>
                          </a:xfrm>
                          <a:prstGeom prst="rect">
                            <a:avLst/>
                          </a:prstGeom>
                        </pic:spPr>
                      </pic:pic>
                    </a:graphicData>
                  </a:graphic>
                </wp:inline>
              </w:drawing>
            </w:r>
          </w:p>
        </w:tc>
      </w:tr>
      <w:tr w14:paraId="04D7482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025" w:type="dxa"/>
            <w:tcBorders>
              <w:tl2br w:val="nil"/>
              <w:tr2bl w:val="nil"/>
            </w:tcBorders>
            <w:vAlign w:val="center"/>
          </w:tcPr>
          <w:p w14:paraId="270FA789">
            <w:pPr>
              <w:pStyle w:val="37"/>
              <w:bidi w:val="0"/>
              <w:rPr>
                <w:rFonts w:hint="default"/>
              </w:rPr>
            </w:pPr>
            <w:r>
              <w:rPr>
                <w:rFonts w:hint="default"/>
                <w:lang w:val="en-US" w:eastAsia="zh-CN"/>
              </w:rPr>
              <w:t>L4</w:t>
            </w:r>
          </w:p>
        </w:tc>
        <w:tc>
          <w:tcPr>
            <w:tcW w:w="1366" w:type="dxa"/>
            <w:tcBorders>
              <w:tl2br w:val="nil"/>
              <w:tr2bl w:val="nil"/>
            </w:tcBorders>
            <w:vAlign w:val="center"/>
          </w:tcPr>
          <w:p w14:paraId="6C2D8F19">
            <w:pPr>
              <w:pStyle w:val="37"/>
              <w:bidi w:val="0"/>
              <w:rPr>
                <w:rFonts w:hint="default"/>
                <w:lang w:val="en-US" w:eastAsia="zh-CN"/>
              </w:rPr>
            </w:pPr>
            <w:r>
              <w:rPr>
                <w:rFonts w:hint="eastAsia"/>
                <w:lang w:val="en-US" w:eastAsia="zh-CN"/>
              </w:rPr>
              <w:t>旱地、云南松林</w:t>
            </w:r>
          </w:p>
        </w:tc>
        <w:tc>
          <w:tcPr>
            <w:tcW w:w="2519" w:type="dxa"/>
            <w:tcBorders>
              <w:tl2br w:val="nil"/>
              <w:tr2bl w:val="nil"/>
            </w:tcBorders>
            <w:vAlign w:val="top"/>
          </w:tcPr>
          <w:p w14:paraId="78E623AB">
            <w:pPr>
              <w:pStyle w:val="37"/>
              <w:bidi w:val="0"/>
            </w:pPr>
            <w:r>
              <w:rPr>
                <w:rFonts w:hint="eastAsia"/>
                <w:lang w:val="en-US" w:eastAsia="zh-CN"/>
              </w:rPr>
              <w:t>乔木层高度5—10m，盖度约45%，以云南松、华山松为主；灌木层0.5—2m，盖度约15%，主要为云南松、华山松、云南杨梅；草本层高约0.2m，盖度约30%，常见有白茅、华火绒草、蕨菜、</w:t>
            </w:r>
            <w:r>
              <w:rPr>
                <w:rFonts w:hint="eastAsia"/>
              </w:rPr>
              <w:t>野菊</w:t>
            </w:r>
            <w:r>
              <w:rPr>
                <w:rFonts w:hint="eastAsia"/>
                <w:lang w:val="en-US" w:eastAsia="zh-CN"/>
              </w:rPr>
              <w:t>等。</w:t>
            </w:r>
          </w:p>
        </w:tc>
        <w:tc>
          <w:tcPr>
            <w:tcW w:w="3606" w:type="dxa"/>
            <w:tcBorders>
              <w:tl2br w:val="nil"/>
              <w:tr2bl w:val="nil"/>
            </w:tcBorders>
          </w:tcPr>
          <w:p w14:paraId="1A132889">
            <w:pPr>
              <w:pStyle w:val="37"/>
              <w:bidi w:val="0"/>
              <w:rPr>
                <w:rFonts w:hint="eastAsia"/>
                <w:lang w:eastAsia="zh-CN"/>
              </w:rPr>
            </w:pPr>
            <w:r>
              <mc:AlternateContent>
                <mc:Choice Requires="wps">
                  <w:drawing>
                    <wp:anchor distT="0" distB="0" distL="114300" distR="114300" simplePos="0" relativeHeight="251683840" behindDoc="0" locked="0" layoutInCell="1" allowOverlap="1">
                      <wp:simplePos x="0" y="0"/>
                      <wp:positionH relativeFrom="column">
                        <wp:posOffset>1790700</wp:posOffset>
                      </wp:positionH>
                      <wp:positionV relativeFrom="paragraph">
                        <wp:posOffset>1220470</wp:posOffset>
                      </wp:positionV>
                      <wp:extent cx="255270" cy="255270"/>
                      <wp:effectExtent l="9525" t="9525" r="20955" b="20955"/>
                      <wp:wrapNone/>
                      <wp:docPr id="53" name="椭圆 53"/>
                      <wp:cNvGraphicFramePr/>
                      <a:graphic xmlns:a="http://schemas.openxmlformats.org/drawingml/2006/main">
                        <a:graphicData uri="http://schemas.microsoft.com/office/word/2010/wordprocessingShape">
                          <wps:wsp>
                            <wps:cNvSpPr/>
                            <wps:spPr>
                              <a:xfrm>
                                <a:off x="0" y="0"/>
                                <a:ext cx="255270" cy="255270"/>
                              </a:xfrm>
                              <a:prstGeom prst="ellipse">
                                <a:avLst/>
                              </a:prstGeom>
                              <a:noFill/>
                              <a:ln w="19050">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6685B4AF">
                                  <w:pPr>
                                    <w:jc w:val="center"/>
                                    <w:rPr>
                                      <w:rFonts w:hint="eastAsia" w:eastAsia="宋体"/>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141pt;margin-top:96.1pt;height:20.1pt;width:20.1pt;z-index:251683840;v-text-anchor:middle;mso-width-relative:page;mso-height-relative:page;" filled="f" stroked="t" coordsize="21600,21600" o:gfxdata="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7jgm51wAAAAsBAAAPAAAAAAAAAAEAIAAAACIAAABkcnMvZG93bnJl&#10;di54bWxQSwECFAAUAAAACACHTuJAAmjHy3ACAADaBAAADgAAAAAAAAABACAAAAAmAQAAZHJzL2Uy&#10;b0RvYy54bWxQSwUGAAAAAAYABgBZAQAACAYAAAAA&#10;">
                      <v:fill on="f" focussize="0,0"/>
                      <v:stroke weight="1.5pt" color="#FF0000 [2404]" miterlimit="8" joinstyle="miter"/>
                      <v:imagedata o:title=""/>
                      <o:lock v:ext="edit" aspectratio="f"/>
                      <v:textbox>
                        <w:txbxContent>
                          <w:p w14:paraId="6685B4AF">
                            <w:pPr>
                              <w:jc w:val="center"/>
                              <w:rPr>
                                <w:rFonts w:hint="eastAsia" w:eastAsia="宋体"/>
                                <w:lang w:val="en-US" w:eastAsia="zh-CN"/>
                              </w:rPr>
                            </w:pPr>
                          </w:p>
                        </w:txbxContent>
                      </v:textbox>
                    </v:shape>
                  </w:pict>
                </mc:Fallback>
              </mc:AlternateContent>
            </w:r>
            <w:r>
              <w:rPr>
                <w:rFonts w:hint="eastAsia"/>
                <w:lang w:eastAsia="zh-CN"/>
              </w:rPr>
              <w:drawing>
                <wp:inline distT="0" distB="0" distL="114300" distR="114300">
                  <wp:extent cx="2710180" cy="1806575"/>
                  <wp:effectExtent l="0" t="0" r="13970" b="3175"/>
                  <wp:docPr id="54" name="图片 54" descr="DJI_0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DJI_0249"/>
                          <pic:cNvPicPr>
                            <a:picLocks noChangeAspect="1"/>
                          </pic:cNvPicPr>
                        </pic:nvPicPr>
                        <pic:blipFill>
                          <a:blip r:embed="rId51"/>
                          <a:stretch>
                            <a:fillRect/>
                          </a:stretch>
                        </pic:blipFill>
                        <pic:spPr>
                          <a:xfrm>
                            <a:off x="0" y="0"/>
                            <a:ext cx="2710180" cy="1806575"/>
                          </a:xfrm>
                          <a:prstGeom prst="rect">
                            <a:avLst/>
                          </a:prstGeom>
                        </pic:spPr>
                      </pic:pic>
                    </a:graphicData>
                  </a:graphic>
                </wp:inline>
              </w:drawing>
            </w:r>
          </w:p>
        </w:tc>
      </w:tr>
    </w:tbl>
    <w:p w14:paraId="2F878210">
      <w:pPr>
        <w:pStyle w:val="41"/>
        <w:bidi w:val="0"/>
        <w:rPr>
          <w:rFonts w:hint="eastAsia"/>
          <w:color w:val="auto"/>
        </w:rPr>
      </w:pPr>
    </w:p>
    <w:p w14:paraId="6D194CB9">
      <w:pPr>
        <w:pStyle w:val="4"/>
        <w:bidi w:val="0"/>
        <w:rPr>
          <w:rFonts w:hint="eastAsia"/>
          <w:color w:val="auto"/>
          <w:lang w:val="en-US" w:eastAsia="zh-CN"/>
        </w:rPr>
      </w:pPr>
      <w:bookmarkStart w:id="63" w:name="_Toc32080"/>
      <w:r>
        <w:rPr>
          <w:rFonts w:hint="eastAsia"/>
          <w:color w:val="auto"/>
          <w:lang w:val="en-US" w:eastAsia="zh-CN"/>
        </w:rPr>
        <w:t>2.2.4评价区植物资源现状</w:t>
      </w:r>
      <w:bookmarkEnd w:id="63"/>
    </w:p>
    <w:p w14:paraId="56288313">
      <w:pPr>
        <w:pStyle w:val="41"/>
        <w:bidi w:val="0"/>
        <w:rPr>
          <w:rFonts w:hint="eastAsia"/>
          <w:color w:val="auto"/>
          <w:lang w:val="en-US" w:eastAsia="zh-CN"/>
        </w:rPr>
      </w:pPr>
      <w:r>
        <w:rPr>
          <w:rFonts w:hint="eastAsia"/>
          <w:color w:val="auto"/>
          <w:lang w:val="en-US" w:eastAsia="zh-CN"/>
        </w:rPr>
        <w:t>（1）植物种类</w:t>
      </w:r>
    </w:p>
    <w:p w14:paraId="518F8A6B">
      <w:pPr>
        <w:pStyle w:val="41"/>
        <w:bidi w:val="0"/>
        <w:rPr>
          <w:color w:val="auto"/>
        </w:rPr>
      </w:pPr>
      <w:r>
        <w:rPr>
          <w:color w:val="auto"/>
        </w:rPr>
        <w:t>评价区记录到自然分布的野生维管植物约</w:t>
      </w:r>
      <w:r>
        <w:rPr>
          <w:rFonts w:hint="eastAsia"/>
          <w:color w:val="auto"/>
          <w:lang w:val="en-US" w:eastAsia="zh-CN"/>
        </w:rPr>
        <w:t>57</w:t>
      </w:r>
      <w:r>
        <w:rPr>
          <w:color w:val="auto"/>
        </w:rPr>
        <w:t>科、1</w:t>
      </w:r>
      <w:r>
        <w:rPr>
          <w:rFonts w:hint="eastAsia"/>
          <w:color w:val="auto"/>
          <w:lang w:val="en-US" w:eastAsia="zh-CN"/>
        </w:rPr>
        <w:t>71</w:t>
      </w:r>
      <w:r>
        <w:rPr>
          <w:color w:val="auto"/>
        </w:rPr>
        <w:t>属、</w:t>
      </w:r>
      <w:r>
        <w:rPr>
          <w:rFonts w:hint="eastAsia"/>
          <w:color w:val="auto"/>
          <w:lang w:val="en-US" w:eastAsia="zh-CN"/>
        </w:rPr>
        <w:t>275</w:t>
      </w:r>
      <w:r>
        <w:rPr>
          <w:color w:val="auto"/>
        </w:rPr>
        <w:t>种。其中蕨类植物</w:t>
      </w:r>
      <w:r>
        <w:rPr>
          <w:rFonts w:hint="eastAsia"/>
          <w:color w:val="auto"/>
          <w:lang w:val="en-US" w:eastAsia="zh-CN"/>
        </w:rPr>
        <w:t>5</w:t>
      </w:r>
      <w:r>
        <w:rPr>
          <w:color w:val="auto"/>
        </w:rPr>
        <w:t>科、</w:t>
      </w:r>
      <w:r>
        <w:rPr>
          <w:rFonts w:hint="eastAsia"/>
          <w:color w:val="auto"/>
          <w:lang w:val="en-US" w:eastAsia="zh-CN"/>
        </w:rPr>
        <w:t>5</w:t>
      </w:r>
      <w:r>
        <w:rPr>
          <w:color w:val="auto"/>
        </w:rPr>
        <w:t>属、</w:t>
      </w:r>
      <w:r>
        <w:rPr>
          <w:rFonts w:hint="eastAsia"/>
          <w:color w:val="auto"/>
          <w:lang w:val="en-US" w:eastAsia="zh-CN"/>
        </w:rPr>
        <w:t>5</w:t>
      </w:r>
      <w:r>
        <w:rPr>
          <w:color w:val="auto"/>
        </w:rPr>
        <w:t>种；种子植物约</w:t>
      </w:r>
      <w:r>
        <w:rPr>
          <w:rFonts w:hint="eastAsia"/>
          <w:color w:val="auto"/>
          <w:lang w:val="en-US" w:eastAsia="zh-CN"/>
        </w:rPr>
        <w:t>52</w:t>
      </w:r>
      <w:r>
        <w:rPr>
          <w:color w:val="auto"/>
        </w:rPr>
        <w:t>科、</w:t>
      </w:r>
      <w:r>
        <w:rPr>
          <w:rFonts w:hint="eastAsia"/>
          <w:color w:val="auto"/>
          <w:lang w:val="en-US" w:eastAsia="zh-CN"/>
        </w:rPr>
        <w:t>166</w:t>
      </w:r>
      <w:r>
        <w:rPr>
          <w:color w:val="auto"/>
        </w:rPr>
        <w:t>属、</w:t>
      </w:r>
      <w:r>
        <w:rPr>
          <w:rFonts w:hint="eastAsia"/>
          <w:color w:val="auto"/>
          <w:lang w:val="en-US" w:eastAsia="zh-CN"/>
        </w:rPr>
        <w:t>270</w:t>
      </w:r>
      <w:r>
        <w:rPr>
          <w:color w:val="auto"/>
        </w:rPr>
        <w:t>种。种子植物中，裸子植物1科、</w:t>
      </w:r>
      <w:r>
        <w:rPr>
          <w:rFonts w:hint="eastAsia"/>
          <w:color w:val="auto"/>
          <w:lang w:val="en-US" w:eastAsia="zh-CN"/>
        </w:rPr>
        <w:t>1</w:t>
      </w:r>
      <w:r>
        <w:rPr>
          <w:color w:val="auto"/>
        </w:rPr>
        <w:t>属、</w:t>
      </w:r>
      <w:r>
        <w:rPr>
          <w:rFonts w:hint="eastAsia"/>
          <w:color w:val="auto"/>
          <w:lang w:val="en-US" w:eastAsia="zh-CN"/>
        </w:rPr>
        <w:t>3</w:t>
      </w:r>
      <w:r>
        <w:rPr>
          <w:color w:val="auto"/>
        </w:rPr>
        <w:t>种；被子植物</w:t>
      </w:r>
      <w:r>
        <w:rPr>
          <w:rFonts w:hint="eastAsia"/>
          <w:color w:val="auto"/>
          <w:lang w:val="en-US" w:eastAsia="zh-CN"/>
        </w:rPr>
        <w:t>51</w:t>
      </w:r>
      <w:r>
        <w:rPr>
          <w:color w:val="auto"/>
        </w:rPr>
        <w:t>科、1</w:t>
      </w:r>
      <w:r>
        <w:rPr>
          <w:rFonts w:hint="eastAsia"/>
          <w:color w:val="auto"/>
          <w:lang w:val="en-US" w:eastAsia="zh-CN"/>
        </w:rPr>
        <w:t>65</w:t>
      </w:r>
      <w:r>
        <w:rPr>
          <w:color w:val="auto"/>
        </w:rPr>
        <w:t>属、2</w:t>
      </w:r>
      <w:r>
        <w:rPr>
          <w:rFonts w:hint="eastAsia"/>
          <w:color w:val="auto"/>
          <w:lang w:val="en-US" w:eastAsia="zh-CN"/>
        </w:rPr>
        <w:t>6</w:t>
      </w:r>
      <w:r>
        <w:rPr>
          <w:color w:val="auto"/>
        </w:rPr>
        <w:t>7种。被子植物中，包括双子叶植物</w:t>
      </w:r>
      <w:r>
        <w:rPr>
          <w:rFonts w:hint="eastAsia"/>
          <w:color w:val="auto"/>
          <w:lang w:val="en-US" w:eastAsia="zh-CN"/>
        </w:rPr>
        <w:t>47</w:t>
      </w:r>
      <w:r>
        <w:rPr>
          <w:color w:val="auto"/>
        </w:rPr>
        <w:t>科、1</w:t>
      </w:r>
      <w:r>
        <w:rPr>
          <w:rFonts w:hint="eastAsia"/>
          <w:color w:val="auto"/>
          <w:lang w:val="en-US" w:eastAsia="zh-CN"/>
        </w:rPr>
        <w:t>38</w:t>
      </w:r>
      <w:r>
        <w:rPr>
          <w:color w:val="auto"/>
        </w:rPr>
        <w:t>属、2</w:t>
      </w:r>
      <w:r>
        <w:rPr>
          <w:rFonts w:hint="eastAsia"/>
          <w:color w:val="auto"/>
          <w:lang w:val="en-US" w:eastAsia="zh-CN"/>
        </w:rPr>
        <w:t>1</w:t>
      </w:r>
      <w:r>
        <w:rPr>
          <w:color w:val="auto"/>
        </w:rPr>
        <w:t>9种；单子叶植物4科、27属、48种。</w:t>
      </w:r>
    </w:p>
    <w:p w14:paraId="3571C227">
      <w:pPr>
        <w:pStyle w:val="41"/>
        <w:bidi w:val="0"/>
        <w:rPr>
          <w:color w:val="auto"/>
        </w:rPr>
      </w:pPr>
      <w:r>
        <w:rPr>
          <w:color w:val="auto"/>
        </w:rPr>
        <w:t>总的来看，评价区的植物物种资源相对贫乏，评价区由于人为活动较多，包括大量人工林、开垦耕地、砍伐、放牧、挖药等，其自然环境具有显著的次生特征，植物</w:t>
      </w:r>
      <w:r>
        <w:rPr>
          <w:rFonts w:hint="eastAsia"/>
          <w:color w:val="auto"/>
          <w:lang w:val="en-US" w:eastAsia="zh-CN"/>
        </w:rPr>
        <w:t>资源</w:t>
      </w:r>
      <w:r>
        <w:rPr>
          <w:color w:val="auto"/>
        </w:rPr>
        <w:t>的质量也明显降低。</w:t>
      </w:r>
    </w:p>
    <w:p w14:paraId="348D83F0">
      <w:pPr>
        <w:pStyle w:val="42"/>
        <w:bidi w:val="0"/>
        <w:rPr>
          <w:color w:val="auto"/>
        </w:rPr>
      </w:pPr>
      <w:r>
        <w:rPr>
          <w:color w:val="auto"/>
        </w:rPr>
        <w:t>表</w:t>
      </w:r>
      <w:r>
        <w:rPr>
          <w:rFonts w:hint="eastAsia"/>
          <w:color w:val="auto"/>
          <w:lang w:val="en-US" w:eastAsia="zh-CN"/>
        </w:rPr>
        <w:t>2-5  本项目</w:t>
      </w:r>
      <w:r>
        <w:rPr>
          <w:color w:val="auto"/>
        </w:rPr>
        <w:t>评价区野生维管植物物种统计</w:t>
      </w:r>
    </w:p>
    <w:tbl>
      <w:tblPr>
        <w:tblStyle w:val="20"/>
        <w:tblW w:w="4931"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490"/>
        <w:gridCol w:w="1490"/>
        <w:gridCol w:w="1730"/>
        <w:gridCol w:w="1255"/>
        <w:gridCol w:w="1490"/>
        <w:gridCol w:w="1368"/>
      </w:tblGrid>
      <w:tr w14:paraId="3580AF6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2668" w:type="pct"/>
            <w:gridSpan w:val="3"/>
            <w:tcBorders>
              <w:tl2br w:val="nil"/>
              <w:tr2bl w:val="nil"/>
            </w:tcBorders>
            <w:noWrap w:val="0"/>
            <w:vAlign w:val="center"/>
          </w:tcPr>
          <w:p w14:paraId="57135B25">
            <w:pPr>
              <w:pStyle w:val="34"/>
              <w:tabs>
                <w:tab w:val="left" w:pos="1389"/>
              </w:tabs>
              <w:bidi w:val="0"/>
              <w:rPr>
                <w:color w:val="auto"/>
              </w:rPr>
            </w:pPr>
            <w:r>
              <w:rPr>
                <w:color w:val="auto"/>
              </w:rPr>
              <w:t>植物类群</w:t>
            </w:r>
          </w:p>
        </w:tc>
        <w:tc>
          <w:tcPr>
            <w:tcW w:w="711" w:type="pct"/>
            <w:tcBorders>
              <w:tl2br w:val="nil"/>
              <w:tr2bl w:val="nil"/>
            </w:tcBorders>
            <w:noWrap w:val="0"/>
            <w:vAlign w:val="center"/>
          </w:tcPr>
          <w:p w14:paraId="728B5035">
            <w:pPr>
              <w:pStyle w:val="34"/>
              <w:tabs>
                <w:tab w:val="left" w:pos="1389"/>
              </w:tabs>
              <w:bidi w:val="0"/>
              <w:rPr>
                <w:color w:val="auto"/>
              </w:rPr>
            </w:pPr>
            <w:r>
              <w:rPr>
                <w:color w:val="auto"/>
              </w:rPr>
              <w:t>科数</w:t>
            </w:r>
          </w:p>
        </w:tc>
        <w:tc>
          <w:tcPr>
            <w:tcW w:w="844" w:type="pct"/>
            <w:tcBorders>
              <w:tl2br w:val="nil"/>
              <w:tr2bl w:val="nil"/>
            </w:tcBorders>
            <w:noWrap w:val="0"/>
            <w:vAlign w:val="center"/>
          </w:tcPr>
          <w:p w14:paraId="43CF0AE0">
            <w:pPr>
              <w:pStyle w:val="34"/>
              <w:tabs>
                <w:tab w:val="left" w:pos="1389"/>
              </w:tabs>
              <w:bidi w:val="0"/>
              <w:rPr>
                <w:color w:val="auto"/>
              </w:rPr>
            </w:pPr>
            <w:r>
              <w:rPr>
                <w:color w:val="auto"/>
              </w:rPr>
              <w:t>属数</w:t>
            </w:r>
          </w:p>
        </w:tc>
        <w:tc>
          <w:tcPr>
            <w:tcW w:w="775" w:type="pct"/>
            <w:tcBorders>
              <w:tl2br w:val="nil"/>
              <w:tr2bl w:val="nil"/>
            </w:tcBorders>
            <w:noWrap w:val="0"/>
            <w:vAlign w:val="center"/>
          </w:tcPr>
          <w:p w14:paraId="0A9C1033">
            <w:pPr>
              <w:pStyle w:val="34"/>
              <w:tabs>
                <w:tab w:val="left" w:pos="1389"/>
              </w:tabs>
              <w:bidi w:val="0"/>
              <w:rPr>
                <w:color w:val="auto"/>
              </w:rPr>
            </w:pPr>
            <w:r>
              <w:rPr>
                <w:color w:val="auto"/>
              </w:rPr>
              <w:t>种数</w:t>
            </w:r>
          </w:p>
        </w:tc>
      </w:tr>
      <w:tr w14:paraId="115BAE1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2668" w:type="pct"/>
            <w:gridSpan w:val="3"/>
            <w:tcBorders>
              <w:tl2br w:val="nil"/>
              <w:tr2bl w:val="nil"/>
            </w:tcBorders>
            <w:noWrap w:val="0"/>
            <w:vAlign w:val="center"/>
          </w:tcPr>
          <w:p w14:paraId="4F959494">
            <w:pPr>
              <w:pStyle w:val="34"/>
              <w:tabs>
                <w:tab w:val="left" w:pos="1389"/>
              </w:tabs>
              <w:bidi w:val="0"/>
              <w:rPr>
                <w:color w:val="auto"/>
              </w:rPr>
            </w:pPr>
            <w:r>
              <w:rPr>
                <w:color w:val="auto"/>
              </w:rPr>
              <w:t>蕨类植物</w:t>
            </w:r>
          </w:p>
        </w:tc>
        <w:tc>
          <w:tcPr>
            <w:tcW w:w="1255" w:type="dxa"/>
            <w:tcBorders>
              <w:tl2br w:val="nil"/>
              <w:tr2bl w:val="nil"/>
            </w:tcBorders>
            <w:noWrap w:val="0"/>
            <w:vAlign w:val="center"/>
          </w:tcPr>
          <w:p w14:paraId="0796146A">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5</w:t>
            </w:r>
          </w:p>
        </w:tc>
        <w:tc>
          <w:tcPr>
            <w:tcW w:w="1490" w:type="dxa"/>
            <w:tcBorders>
              <w:tl2br w:val="nil"/>
              <w:tr2bl w:val="nil"/>
            </w:tcBorders>
            <w:noWrap w:val="0"/>
            <w:vAlign w:val="center"/>
          </w:tcPr>
          <w:p w14:paraId="3159FA78">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5</w:t>
            </w:r>
          </w:p>
        </w:tc>
        <w:tc>
          <w:tcPr>
            <w:tcW w:w="1368" w:type="dxa"/>
            <w:tcBorders>
              <w:tl2br w:val="nil"/>
              <w:tr2bl w:val="nil"/>
            </w:tcBorders>
            <w:noWrap w:val="0"/>
            <w:vAlign w:val="center"/>
          </w:tcPr>
          <w:p w14:paraId="3D7E7E9C">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5</w:t>
            </w:r>
          </w:p>
        </w:tc>
      </w:tr>
      <w:tr w14:paraId="680F329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844" w:type="pct"/>
            <w:vMerge w:val="restart"/>
            <w:tcBorders>
              <w:tl2br w:val="nil"/>
              <w:tr2bl w:val="nil"/>
            </w:tcBorders>
            <w:noWrap w:val="0"/>
            <w:vAlign w:val="center"/>
          </w:tcPr>
          <w:p w14:paraId="5796A590">
            <w:pPr>
              <w:pStyle w:val="34"/>
              <w:tabs>
                <w:tab w:val="left" w:pos="1389"/>
              </w:tabs>
              <w:bidi w:val="0"/>
              <w:rPr>
                <w:color w:val="auto"/>
              </w:rPr>
            </w:pPr>
            <w:r>
              <w:rPr>
                <w:color w:val="auto"/>
              </w:rPr>
              <w:t>种子植物</w:t>
            </w:r>
          </w:p>
        </w:tc>
        <w:tc>
          <w:tcPr>
            <w:tcW w:w="1823" w:type="pct"/>
            <w:gridSpan w:val="2"/>
            <w:tcBorders>
              <w:tl2br w:val="nil"/>
              <w:tr2bl w:val="nil"/>
            </w:tcBorders>
            <w:noWrap w:val="0"/>
            <w:vAlign w:val="center"/>
          </w:tcPr>
          <w:p w14:paraId="238BE9C0">
            <w:pPr>
              <w:pStyle w:val="34"/>
              <w:tabs>
                <w:tab w:val="left" w:pos="1389"/>
              </w:tabs>
              <w:bidi w:val="0"/>
              <w:rPr>
                <w:color w:val="auto"/>
              </w:rPr>
            </w:pPr>
            <w:r>
              <w:rPr>
                <w:color w:val="auto"/>
              </w:rPr>
              <w:t>裸子植物</w:t>
            </w:r>
          </w:p>
        </w:tc>
        <w:tc>
          <w:tcPr>
            <w:tcW w:w="1255" w:type="dxa"/>
            <w:tcBorders>
              <w:tl2br w:val="nil"/>
              <w:tr2bl w:val="nil"/>
            </w:tcBorders>
            <w:noWrap w:val="0"/>
            <w:vAlign w:val="center"/>
          </w:tcPr>
          <w:p w14:paraId="1A111D30">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1</w:t>
            </w:r>
          </w:p>
        </w:tc>
        <w:tc>
          <w:tcPr>
            <w:tcW w:w="1490" w:type="dxa"/>
            <w:tcBorders>
              <w:tl2br w:val="nil"/>
              <w:tr2bl w:val="nil"/>
            </w:tcBorders>
            <w:noWrap w:val="0"/>
            <w:vAlign w:val="center"/>
          </w:tcPr>
          <w:p w14:paraId="3D246820">
            <w:pPr>
              <w:keepNext w:val="0"/>
              <w:keepLines w:val="0"/>
              <w:widowControl/>
              <w:suppressLineNumbers w:val="0"/>
              <w:jc w:val="center"/>
              <w:textAlignment w:val="center"/>
              <w:rPr>
                <w:rFonts w:hint="eastAsia" w:eastAsia="宋体"/>
                <w:color w:val="auto"/>
                <w:lang w:eastAsia="zh-CN"/>
              </w:rPr>
            </w:pPr>
            <w:r>
              <w:rPr>
                <w:rFonts w:hint="default" w:ascii="Times New Roman" w:hAnsi="Times New Roman" w:eastAsia="宋体" w:cs="Times New Roman"/>
                <w:i w:val="0"/>
                <w:iCs w:val="0"/>
                <w:color w:val="auto"/>
                <w:kern w:val="0"/>
                <w:sz w:val="21"/>
                <w:szCs w:val="21"/>
                <w:u w:val="none"/>
                <w:lang w:val="en-US" w:eastAsia="zh-CN" w:bidi="ar"/>
              </w:rPr>
              <w:t>1</w:t>
            </w:r>
          </w:p>
        </w:tc>
        <w:tc>
          <w:tcPr>
            <w:tcW w:w="1368" w:type="dxa"/>
            <w:tcBorders>
              <w:tl2br w:val="nil"/>
              <w:tr2bl w:val="nil"/>
            </w:tcBorders>
            <w:noWrap w:val="0"/>
            <w:vAlign w:val="center"/>
          </w:tcPr>
          <w:p w14:paraId="22ABB536">
            <w:pPr>
              <w:keepNext w:val="0"/>
              <w:keepLines w:val="0"/>
              <w:widowControl/>
              <w:suppressLineNumbers w:val="0"/>
              <w:jc w:val="center"/>
              <w:textAlignment w:val="center"/>
              <w:rPr>
                <w:rFonts w:hint="eastAsia" w:eastAsia="宋体"/>
                <w:color w:val="auto"/>
                <w:lang w:eastAsia="zh-CN"/>
              </w:rPr>
            </w:pPr>
            <w:r>
              <w:rPr>
                <w:rFonts w:hint="default" w:ascii="Times New Roman" w:hAnsi="Times New Roman" w:eastAsia="宋体" w:cs="Times New Roman"/>
                <w:i w:val="0"/>
                <w:iCs w:val="0"/>
                <w:color w:val="auto"/>
                <w:kern w:val="0"/>
                <w:sz w:val="21"/>
                <w:szCs w:val="21"/>
                <w:u w:val="none"/>
                <w:lang w:val="en-US" w:eastAsia="zh-CN" w:bidi="ar"/>
              </w:rPr>
              <w:t>3</w:t>
            </w:r>
          </w:p>
        </w:tc>
      </w:tr>
      <w:tr w14:paraId="3595B5A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844" w:type="pct"/>
            <w:vMerge w:val="continue"/>
            <w:tcBorders>
              <w:tl2br w:val="nil"/>
              <w:tr2bl w:val="nil"/>
            </w:tcBorders>
            <w:noWrap w:val="0"/>
            <w:vAlign w:val="center"/>
          </w:tcPr>
          <w:p w14:paraId="45257296">
            <w:pPr>
              <w:pStyle w:val="34"/>
              <w:tabs>
                <w:tab w:val="left" w:pos="1389"/>
              </w:tabs>
              <w:bidi w:val="0"/>
              <w:rPr>
                <w:color w:val="auto"/>
              </w:rPr>
            </w:pPr>
          </w:p>
        </w:tc>
        <w:tc>
          <w:tcPr>
            <w:tcW w:w="844" w:type="pct"/>
            <w:vMerge w:val="restart"/>
            <w:tcBorders>
              <w:tl2br w:val="nil"/>
              <w:tr2bl w:val="nil"/>
            </w:tcBorders>
            <w:noWrap w:val="0"/>
            <w:vAlign w:val="center"/>
          </w:tcPr>
          <w:p w14:paraId="3A857161">
            <w:pPr>
              <w:pStyle w:val="34"/>
              <w:tabs>
                <w:tab w:val="left" w:pos="1389"/>
              </w:tabs>
              <w:bidi w:val="0"/>
              <w:rPr>
                <w:color w:val="auto"/>
              </w:rPr>
            </w:pPr>
            <w:r>
              <w:rPr>
                <w:color w:val="auto"/>
              </w:rPr>
              <w:t>被子植物</w:t>
            </w:r>
          </w:p>
        </w:tc>
        <w:tc>
          <w:tcPr>
            <w:tcW w:w="979" w:type="pct"/>
            <w:tcBorders>
              <w:tl2br w:val="nil"/>
              <w:tr2bl w:val="nil"/>
            </w:tcBorders>
            <w:noWrap w:val="0"/>
            <w:vAlign w:val="center"/>
          </w:tcPr>
          <w:p w14:paraId="384B1826">
            <w:pPr>
              <w:pStyle w:val="34"/>
              <w:tabs>
                <w:tab w:val="left" w:pos="1389"/>
              </w:tabs>
              <w:bidi w:val="0"/>
              <w:rPr>
                <w:color w:val="auto"/>
              </w:rPr>
            </w:pPr>
            <w:r>
              <w:rPr>
                <w:color w:val="auto"/>
              </w:rPr>
              <w:t>双子叶植物</w:t>
            </w:r>
          </w:p>
        </w:tc>
        <w:tc>
          <w:tcPr>
            <w:tcW w:w="1255" w:type="dxa"/>
            <w:tcBorders>
              <w:tl2br w:val="nil"/>
              <w:tr2bl w:val="nil"/>
            </w:tcBorders>
            <w:noWrap w:val="0"/>
            <w:vAlign w:val="center"/>
          </w:tcPr>
          <w:p w14:paraId="43FAD163">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47</w:t>
            </w:r>
          </w:p>
        </w:tc>
        <w:tc>
          <w:tcPr>
            <w:tcW w:w="1490" w:type="dxa"/>
            <w:tcBorders>
              <w:tl2br w:val="nil"/>
              <w:tr2bl w:val="nil"/>
            </w:tcBorders>
            <w:noWrap w:val="0"/>
            <w:vAlign w:val="center"/>
          </w:tcPr>
          <w:p w14:paraId="4808D8FA">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138</w:t>
            </w:r>
          </w:p>
        </w:tc>
        <w:tc>
          <w:tcPr>
            <w:tcW w:w="1368" w:type="dxa"/>
            <w:tcBorders>
              <w:tl2br w:val="nil"/>
              <w:tr2bl w:val="nil"/>
            </w:tcBorders>
            <w:noWrap w:val="0"/>
            <w:vAlign w:val="center"/>
          </w:tcPr>
          <w:p w14:paraId="698443A0">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219</w:t>
            </w:r>
          </w:p>
        </w:tc>
      </w:tr>
      <w:tr w14:paraId="11B9FC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844" w:type="pct"/>
            <w:vMerge w:val="continue"/>
            <w:tcBorders>
              <w:tl2br w:val="nil"/>
              <w:tr2bl w:val="nil"/>
            </w:tcBorders>
            <w:noWrap w:val="0"/>
            <w:vAlign w:val="center"/>
          </w:tcPr>
          <w:p w14:paraId="16C5833C">
            <w:pPr>
              <w:pStyle w:val="34"/>
              <w:tabs>
                <w:tab w:val="left" w:pos="1389"/>
              </w:tabs>
              <w:bidi w:val="0"/>
              <w:rPr>
                <w:color w:val="auto"/>
              </w:rPr>
            </w:pPr>
          </w:p>
        </w:tc>
        <w:tc>
          <w:tcPr>
            <w:tcW w:w="844" w:type="pct"/>
            <w:vMerge w:val="continue"/>
            <w:tcBorders>
              <w:tl2br w:val="nil"/>
              <w:tr2bl w:val="nil"/>
            </w:tcBorders>
            <w:noWrap w:val="0"/>
            <w:vAlign w:val="center"/>
          </w:tcPr>
          <w:p w14:paraId="109F0B55">
            <w:pPr>
              <w:pStyle w:val="34"/>
              <w:tabs>
                <w:tab w:val="left" w:pos="1389"/>
              </w:tabs>
              <w:bidi w:val="0"/>
              <w:rPr>
                <w:color w:val="auto"/>
              </w:rPr>
            </w:pPr>
          </w:p>
        </w:tc>
        <w:tc>
          <w:tcPr>
            <w:tcW w:w="979" w:type="pct"/>
            <w:tcBorders>
              <w:tl2br w:val="nil"/>
              <w:tr2bl w:val="nil"/>
            </w:tcBorders>
            <w:noWrap w:val="0"/>
            <w:vAlign w:val="center"/>
          </w:tcPr>
          <w:p w14:paraId="6D8D2BA4">
            <w:pPr>
              <w:pStyle w:val="34"/>
              <w:tabs>
                <w:tab w:val="left" w:pos="1389"/>
              </w:tabs>
              <w:bidi w:val="0"/>
              <w:rPr>
                <w:color w:val="auto"/>
              </w:rPr>
            </w:pPr>
            <w:r>
              <w:rPr>
                <w:color w:val="auto"/>
              </w:rPr>
              <w:t>单子叶植物</w:t>
            </w:r>
          </w:p>
        </w:tc>
        <w:tc>
          <w:tcPr>
            <w:tcW w:w="1255" w:type="dxa"/>
            <w:tcBorders>
              <w:tl2br w:val="nil"/>
              <w:tr2bl w:val="nil"/>
            </w:tcBorders>
            <w:noWrap w:val="0"/>
            <w:vAlign w:val="center"/>
          </w:tcPr>
          <w:p w14:paraId="2A127B8A">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4</w:t>
            </w:r>
          </w:p>
        </w:tc>
        <w:tc>
          <w:tcPr>
            <w:tcW w:w="1490" w:type="dxa"/>
            <w:tcBorders>
              <w:tl2br w:val="nil"/>
              <w:tr2bl w:val="nil"/>
            </w:tcBorders>
            <w:noWrap w:val="0"/>
            <w:vAlign w:val="center"/>
          </w:tcPr>
          <w:p w14:paraId="077F2A1D">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27</w:t>
            </w:r>
          </w:p>
        </w:tc>
        <w:tc>
          <w:tcPr>
            <w:tcW w:w="1368" w:type="dxa"/>
            <w:tcBorders>
              <w:tl2br w:val="nil"/>
              <w:tr2bl w:val="nil"/>
            </w:tcBorders>
            <w:noWrap w:val="0"/>
            <w:vAlign w:val="center"/>
          </w:tcPr>
          <w:p w14:paraId="279991BD">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48</w:t>
            </w:r>
          </w:p>
        </w:tc>
      </w:tr>
      <w:tr w14:paraId="7EA435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844" w:type="pct"/>
            <w:vMerge w:val="continue"/>
            <w:tcBorders>
              <w:tl2br w:val="nil"/>
              <w:tr2bl w:val="nil"/>
            </w:tcBorders>
            <w:noWrap w:val="0"/>
            <w:vAlign w:val="center"/>
          </w:tcPr>
          <w:p w14:paraId="22B99847">
            <w:pPr>
              <w:pStyle w:val="34"/>
              <w:tabs>
                <w:tab w:val="left" w:pos="1389"/>
              </w:tabs>
              <w:bidi w:val="0"/>
              <w:rPr>
                <w:color w:val="auto"/>
              </w:rPr>
            </w:pPr>
          </w:p>
        </w:tc>
        <w:tc>
          <w:tcPr>
            <w:tcW w:w="844" w:type="pct"/>
            <w:vMerge w:val="continue"/>
            <w:tcBorders>
              <w:tl2br w:val="nil"/>
              <w:tr2bl w:val="nil"/>
            </w:tcBorders>
            <w:noWrap w:val="0"/>
            <w:vAlign w:val="center"/>
          </w:tcPr>
          <w:p w14:paraId="5F24B1A1">
            <w:pPr>
              <w:pStyle w:val="34"/>
              <w:tabs>
                <w:tab w:val="left" w:pos="1389"/>
              </w:tabs>
              <w:bidi w:val="0"/>
              <w:rPr>
                <w:color w:val="auto"/>
              </w:rPr>
            </w:pPr>
          </w:p>
        </w:tc>
        <w:tc>
          <w:tcPr>
            <w:tcW w:w="979" w:type="pct"/>
            <w:tcBorders>
              <w:tl2br w:val="nil"/>
              <w:tr2bl w:val="nil"/>
            </w:tcBorders>
            <w:noWrap w:val="0"/>
            <w:vAlign w:val="center"/>
          </w:tcPr>
          <w:p w14:paraId="1971A5DF">
            <w:pPr>
              <w:pStyle w:val="34"/>
              <w:tabs>
                <w:tab w:val="left" w:pos="1389"/>
              </w:tabs>
              <w:bidi w:val="0"/>
              <w:rPr>
                <w:color w:val="auto"/>
              </w:rPr>
            </w:pPr>
            <w:r>
              <w:rPr>
                <w:color w:val="auto"/>
              </w:rPr>
              <w:t>被子植物小计</w:t>
            </w:r>
          </w:p>
        </w:tc>
        <w:tc>
          <w:tcPr>
            <w:tcW w:w="1255" w:type="dxa"/>
            <w:tcBorders>
              <w:tl2br w:val="nil"/>
              <w:tr2bl w:val="nil"/>
            </w:tcBorders>
            <w:noWrap w:val="0"/>
            <w:vAlign w:val="center"/>
          </w:tcPr>
          <w:p w14:paraId="6AC91B22">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51</w:t>
            </w:r>
          </w:p>
        </w:tc>
        <w:tc>
          <w:tcPr>
            <w:tcW w:w="1490" w:type="dxa"/>
            <w:tcBorders>
              <w:tl2br w:val="nil"/>
              <w:tr2bl w:val="nil"/>
            </w:tcBorders>
            <w:noWrap w:val="0"/>
            <w:vAlign w:val="center"/>
          </w:tcPr>
          <w:p w14:paraId="757F08D9">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165</w:t>
            </w:r>
          </w:p>
        </w:tc>
        <w:tc>
          <w:tcPr>
            <w:tcW w:w="1368" w:type="dxa"/>
            <w:tcBorders>
              <w:tl2br w:val="nil"/>
              <w:tr2bl w:val="nil"/>
            </w:tcBorders>
            <w:noWrap/>
            <w:vAlign w:val="center"/>
          </w:tcPr>
          <w:p w14:paraId="32112655">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267</w:t>
            </w:r>
          </w:p>
        </w:tc>
      </w:tr>
      <w:tr w14:paraId="283F515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844" w:type="pct"/>
            <w:vMerge w:val="continue"/>
            <w:tcBorders>
              <w:tl2br w:val="nil"/>
              <w:tr2bl w:val="nil"/>
            </w:tcBorders>
            <w:noWrap w:val="0"/>
            <w:vAlign w:val="center"/>
          </w:tcPr>
          <w:p w14:paraId="2250146F">
            <w:pPr>
              <w:pStyle w:val="34"/>
              <w:tabs>
                <w:tab w:val="left" w:pos="1389"/>
              </w:tabs>
              <w:bidi w:val="0"/>
              <w:rPr>
                <w:color w:val="auto"/>
              </w:rPr>
            </w:pPr>
          </w:p>
        </w:tc>
        <w:tc>
          <w:tcPr>
            <w:tcW w:w="1823" w:type="pct"/>
            <w:gridSpan w:val="2"/>
            <w:tcBorders>
              <w:tl2br w:val="nil"/>
              <w:tr2bl w:val="nil"/>
            </w:tcBorders>
            <w:noWrap w:val="0"/>
            <w:vAlign w:val="center"/>
          </w:tcPr>
          <w:p w14:paraId="171453A8">
            <w:pPr>
              <w:pStyle w:val="34"/>
              <w:tabs>
                <w:tab w:val="left" w:pos="1389"/>
              </w:tabs>
              <w:bidi w:val="0"/>
              <w:rPr>
                <w:color w:val="auto"/>
              </w:rPr>
            </w:pPr>
            <w:r>
              <w:rPr>
                <w:color w:val="auto"/>
              </w:rPr>
              <w:t>种子植物小计</w:t>
            </w:r>
          </w:p>
        </w:tc>
        <w:tc>
          <w:tcPr>
            <w:tcW w:w="1255" w:type="dxa"/>
            <w:tcBorders>
              <w:tl2br w:val="nil"/>
              <w:tr2bl w:val="nil"/>
            </w:tcBorders>
            <w:noWrap w:val="0"/>
            <w:vAlign w:val="center"/>
          </w:tcPr>
          <w:p w14:paraId="42FBBEAB">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52</w:t>
            </w:r>
          </w:p>
        </w:tc>
        <w:tc>
          <w:tcPr>
            <w:tcW w:w="1490" w:type="dxa"/>
            <w:tcBorders>
              <w:tl2br w:val="nil"/>
              <w:tr2bl w:val="nil"/>
            </w:tcBorders>
            <w:noWrap w:val="0"/>
            <w:vAlign w:val="center"/>
          </w:tcPr>
          <w:p w14:paraId="1A492B26">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166</w:t>
            </w:r>
          </w:p>
        </w:tc>
        <w:tc>
          <w:tcPr>
            <w:tcW w:w="1368" w:type="dxa"/>
            <w:tcBorders>
              <w:tl2br w:val="nil"/>
              <w:tr2bl w:val="nil"/>
            </w:tcBorders>
            <w:noWrap w:val="0"/>
            <w:vAlign w:val="center"/>
          </w:tcPr>
          <w:p w14:paraId="35C73F65">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270</w:t>
            </w:r>
          </w:p>
        </w:tc>
      </w:tr>
      <w:tr w14:paraId="5442BB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15" w:hRule="atLeast"/>
        </w:trPr>
        <w:tc>
          <w:tcPr>
            <w:tcW w:w="2668" w:type="pct"/>
            <w:gridSpan w:val="3"/>
            <w:tcBorders>
              <w:tl2br w:val="nil"/>
              <w:tr2bl w:val="nil"/>
            </w:tcBorders>
            <w:noWrap w:val="0"/>
            <w:vAlign w:val="center"/>
          </w:tcPr>
          <w:p w14:paraId="1B7A19C9">
            <w:pPr>
              <w:pStyle w:val="34"/>
              <w:tabs>
                <w:tab w:val="left" w:pos="1389"/>
              </w:tabs>
              <w:bidi w:val="0"/>
              <w:rPr>
                <w:color w:val="auto"/>
              </w:rPr>
            </w:pPr>
            <w:r>
              <w:rPr>
                <w:color w:val="auto"/>
              </w:rPr>
              <w:t>维管植物合计</w:t>
            </w:r>
          </w:p>
        </w:tc>
        <w:tc>
          <w:tcPr>
            <w:tcW w:w="1255" w:type="dxa"/>
            <w:tcBorders>
              <w:tl2br w:val="nil"/>
              <w:tr2bl w:val="nil"/>
            </w:tcBorders>
            <w:noWrap w:val="0"/>
            <w:vAlign w:val="center"/>
          </w:tcPr>
          <w:p w14:paraId="60B51C8D">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57</w:t>
            </w:r>
          </w:p>
        </w:tc>
        <w:tc>
          <w:tcPr>
            <w:tcW w:w="1490" w:type="dxa"/>
            <w:tcBorders>
              <w:tl2br w:val="nil"/>
              <w:tr2bl w:val="nil"/>
            </w:tcBorders>
            <w:noWrap w:val="0"/>
            <w:vAlign w:val="center"/>
          </w:tcPr>
          <w:p w14:paraId="66F245CF">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171</w:t>
            </w:r>
          </w:p>
        </w:tc>
        <w:tc>
          <w:tcPr>
            <w:tcW w:w="1368" w:type="dxa"/>
            <w:tcBorders>
              <w:tl2br w:val="nil"/>
              <w:tr2bl w:val="nil"/>
            </w:tcBorders>
            <w:noWrap w:val="0"/>
            <w:vAlign w:val="center"/>
          </w:tcPr>
          <w:p w14:paraId="09BA353A">
            <w:pPr>
              <w:keepNext w:val="0"/>
              <w:keepLines w:val="0"/>
              <w:widowControl/>
              <w:suppressLineNumbers w:val="0"/>
              <w:jc w:val="center"/>
              <w:textAlignment w:val="center"/>
              <w:rPr>
                <w:rFonts w:hint="default" w:eastAsia="宋体"/>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275</w:t>
            </w:r>
          </w:p>
        </w:tc>
      </w:tr>
    </w:tbl>
    <w:p w14:paraId="4979C005">
      <w:pPr>
        <w:pStyle w:val="42"/>
        <w:bidi w:val="0"/>
        <w:rPr>
          <w:rFonts w:hint="default"/>
          <w:color w:val="auto"/>
          <w:lang w:val="en-US" w:eastAsia="zh-CN"/>
        </w:rPr>
      </w:pPr>
      <w:r>
        <w:rPr>
          <w:rFonts w:hint="eastAsia"/>
          <w:color w:val="auto"/>
          <w:lang w:val="en-US" w:eastAsia="zh-CN"/>
        </w:rPr>
        <w:t>表2-6  植被照片</w:t>
      </w:r>
    </w:p>
    <w:tbl>
      <w:tblPr>
        <w:tblStyle w:val="21"/>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386"/>
        <w:gridCol w:w="4356"/>
      </w:tblGrid>
      <w:tr w14:paraId="2077BF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86" w:type="dxa"/>
            <w:tcBorders>
              <w:tl2br w:val="nil"/>
              <w:tr2bl w:val="nil"/>
            </w:tcBorders>
          </w:tcPr>
          <w:p w14:paraId="023E8525">
            <w:pPr>
              <w:pStyle w:val="37"/>
              <w:bidi w:val="0"/>
              <w:rPr>
                <w:rFonts w:hint="eastAsia"/>
                <w:lang w:val="en-US" w:eastAsia="zh-CN"/>
              </w:rPr>
            </w:pPr>
            <w:r>
              <w:rPr>
                <w:rFonts w:hint="eastAsia"/>
                <w:lang w:val="en-US" w:eastAsia="zh-CN"/>
              </w:rPr>
              <w:drawing>
                <wp:inline distT="0" distB="0" distL="114300" distR="114300">
                  <wp:extent cx="2620645" cy="1882775"/>
                  <wp:effectExtent l="0" t="0" r="8255" b="3175"/>
                  <wp:docPr id="55" name="图片 55" descr="DJI_0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DJI_0264"/>
                          <pic:cNvPicPr>
                            <a:picLocks noChangeAspect="1"/>
                          </pic:cNvPicPr>
                        </pic:nvPicPr>
                        <pic:blipFill>
                          <a:blip r:embed="rId52"/>
                          <a:srcRect l="53811" t="50216"/>
                          <a:stretch>
                            <a:fillRect/>
                          </a:stretch>
                        </pic:blipFill>
                        <pic:spPr>
                          <a:xfrm>
                            <a:off x="0" y="0"/>
                            <a:ext cx="2620645" cy="1882775"/>
                          </a:xfrm>
                          <a:prstGeom prst="rect">
                            <a:avLst/>
                          </a:prstGeom>
                        </pic:spPr>
                      </pic:pic>
                    </a:graphicData>
                  </a:graphic>
                </wp:inline>
              </w:drawing>
            </w:r>
          </w:p>
        </w:tc>
        <w:tc>
          <w:tcPr>
            <w:tcW w:w="4356" w:type="dxa"/>
            <w:tcBorders>
              <w:tl2br w:val="nil"/>
              <w:tr2bl w:val="nil"/>
            </w:tcBorders>
          </w:tcPr>
          <w:p w14:paraId="12D9C77E">
            <w:pPr>
              <w:pStyle w:val="37"/>
              <w:bidi w:val="0"/>
              <w:rPr>
                <w:rFonts w:hint="eastAsia"/>
                <w:lang w:val="en-US" w:eastAsia="zh-CN"/>
              </w:rPr>
            </w:pPr>
            <w:r>
              <w:rPr>
                <w:rFonts w:hint="eastAsia"/>
                <w:lang w:val="en-US" w:eastAsia="zh-CN"/>
              </w:rPr>
              <w:drawing>
                <wp:inline distT="0" distB="0" distL="114300" distR="114300">
                  <wp:extent cx="2613660" cy="1960245"/>
                  <wp:effectExtent l="0" t="0" r="15240" b="1905"/>
                  <wp:docPr id="56" name="图片 56" descr="IMG_20250228_113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IMG_20250228_113400"/>
                          <pic:cNvPicPr>
                            <a:picLocks noChangeAspect="1"/>
                          </pic:cNvPicPr>
                        </pic:nvPicPr>
                        <pic:blipFill>
                          <a:blip r:embed="rId53"/>
                          <a:stretch>
                            <a:fillRect/>
                          </a:stretch>
                        </pic:blipFill>
                        <pic:spPr>
                          <a:xfrm>
                            <a:off x="0" y="0"/>
                            <a:ext cx="2613660" cy="1960245"/>
                          </a:xfrm>
                          <a:prstGeom prst="rect">
                            <a:avLst/>
                          </a:prstGeom>
                        </pic:spPr>
                      </pic:pic>
                    </a:graphicData>
                  </a:graphic>
                </wp:inline>
              </w:drawing>
            </w:r>
          </w:p>
        </w:tc>
      </w:tr>
      <w:tr w14:paraId="1944EA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86" w:type="dxa"/>
            <w:tcBorders>
              <w:tl2br w:val="nil"/>
              <w:tr2bl w:val="nil"/>
            </w:tcBorders>
          </w:tcPr>
          <w:p w14:paraId="77EF9E57">
            <w:pPr>
              <w:pStyle w:val="37"/>
              <w:bidi w:val="0"/>
              <w:rPr>
                <w:rFonts w:hint="default"/>
                <w:lang w:val="en-US" w:eastAsia="zh-CN"/>
              </w:rPr>
            </w:pPr>
            <w:r>
              <w:rPr>
                <w:rFonts w:hint="eastAsia"/>
                <w:lang w:val="en-US" w:eastAsia="zh-CN"/>
              </w:rPr>
              <w:t>云南松群落</w:t>
            </w:r>
          </w:p>
        </w:tc>
        <w:tc>
          <w:tcPr>
            <w:tcW w:w="4356" w:type="dxa"/>
            <w:tcBorders>
              <w:tl2br w:val="nil"/>
              <w:tr2bl w:val="nil"/>
            </w:tcBorders>
          </w:tcPr>
          <w:p w14:paraId="2377F937">
            <w:pPr>
              <w:pStyle w:val="37"/>
              <w:bidi w:val="0"/>
              <w:rPr>
                <w:rFonts w:hint="default"/>
                <w:lang w:val="en-US" w:eastAsia="zh-CN"/>
              </w:rPr>
            </w:pPr>
            <w:r>
              <w:rPr>
                <w:rFonts w:hint="eastAsia"/>
                <w:lang w:val="en-US" w:eastAsia="zh-CN"/>
              </w:rPr>
              <w:t>华山松群落</w:t>
            </w:r>
          </w:p>
        </w:tc>
      </w:tr>
      <w:tr w14:paraId="016A3D4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86" w:type="dxa"/>
            <w:tcBorders>
              <w:tl2br w:val="nil"/>
              <w:tr2bl w:val="nil"/>
            </w:tcBorders>
          </w:tcPr>
          <w:p w14:paraId="6EE3B4EA">
            <w:pPr>
              <w:pStyle w:val="37"/>
              <w:bidi w:val="0"/>
              <w:rPr>
                <w:rFonts w:hint="eastAsia"/>
                <w:lang w:val="en-US" w:eastAsia="zh-CN"/>
              </w:rPr>
            </w:pPr>
            <w:r>
              <w:rPr>
                <w:rFonts w:hint="eastAsia"/>
                <w:lang w:val="en-US" w:eastAsia="zh-CN"/>
              </w:rPr>
              <w:drawing>
                <wp:inline distT="0" distB="0" distL="114300" distR="114300">
                  <wp:extent cx="2622550" cy="1875790"/>
                  <wp:effectExtent l="0" t="0" r="6350" b="10160"/>
                  <wp:docPr id="57" name="图片 57" descr="34bc2a59c85cc146cd82a1dd37565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34bc2a59c85cc146cd82a1dd375657b"/>
                          <pic:cNvPicPr>
                            <a:picLocks noChangeAspect="1"/>
                          </pic:cNvPicPr>
                        </pic:nvPicPr>
                        <pic:blipFill>
                          <a:blip r:embed="rId54"/>
                          <a:srcRect l="5364" r="16017"/>
                          <a:stretch>
                            <a:fillRect/>
                          </a:stretch>
                        </pic:blipFill>
                        <pic:spPr>
                          <a:xfrm>
                            <a:off x="0" y="0"/>
                            <a:ext cx="2622550" cy="1875790"/>
                          </a:xfrm>
                          <a:prstGeom prst="rect">
                            <a:avLst/>
                          </a:prstGeom>
                        </pic:spPr>
                      </pic:pic>
                    </a:graphicData>
                  </a:graphic>
                </wp:inline>
              </w:drawing>
            </w:r>
          </w:p>
        </w:tc>
        <w:tc>
          <w:tcPr>
            <w:tcW w:w="4356" w:type="dxa"/>
            <w:tcBorders>
              <w:tl2br w:val="nil"/>
              <w:tr2bl w:val="nil"/>
            </w:tcBorders>
          </w:tcPr>
          <w:p w14:paraId="62095FD6">
            <w:pPr>
              <w:pStyle w:val="37"/>
              <w:bidi w:val="0"/>
              <w:rPr>
                <w:rFonts w:hint="eastAsia"/>
                <w:lang w:val="en-US" w:eastAsia="zh-CN"/>
              </w:rPr>
            </w:pPr>
            <w:r>
              <w:rPr>
                <w:rFonts w:hint="eastAsia"/>
                <w:lang w:val="en-US" w:eastAsia="zh-CN"/>
              </w:rPr>
              <w:drawing>
                <wp:inline distT="0" distB="0" distL="114300" distR="114300">
                  <wp:extent cx="2613660" cy="1960245"/>
                  <wp:effectExtent l="0" t="0" r="15240" b="1905"/>
                  <wp:docPr id="58" name="图片 58" descr="IMG_20250228_11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IMG_20250228_111241"/>
                          <pic:cNvPicPr>
                            <a:picLocks noChangeAspect="1"/>
                          </pic:cNvPicPr>
                        </pic:nvPicPr>
                        <pic:blipFill>
                          <a:blip r:embed="rId55"/>
                          <a:stretch>
                            <a:fillRect/>
                          </a:stretch>
                        </pic:blipFill>
                        <pic:spPr>
                          <a:xfrm>
                            <a:off x="0" y="0"/>
                            <a:ext cx="2613660" cy="1960245"/>
                          </a:xfrm>
                          <a:prstGeom prst="rect">
                            <a:avLst/>
                          </a:prstGeom>
                        </pic:spPr>
                      </pic:pic>
                    </a:graphicData>
                  </a:graphic>
                </wp:inline>
              </w:drawing>
            </w:r>
          </w:p>
        </w:tc>
      </w:tr>
      <w:tr w14:paraId="312704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86" w:type="dxa"/>
            <w:tcBorders>
              <w:tl2br w:val="nil"/>
              <w:tr2bl w:val="nil"/>
            </w:tcBorders>
          </w:tcPr>
          <w:p w14:paraId="0F8F99B7">
            <w:pPr>
              <w:pStyle w:val="37"/>
              <w:bidi w:val="0"/>
              <w:rPr>
                <w:rFonts w:hint="default"/>
                <w:lang w:val="en-US" w:eastAsia="zh-CN"/>
              </w:rPr>
            </w:pPr>
            <w:r>
              <w:rPr>
                <w:rFonts w:hint="eastAsia"/>
                <w:lang w:val="en-US" w:eastAsia="zh-CN"/>
              </w:rPr>
              <w:t>旱冬瓜群落</w:t>
            </w:r>
          </w:p>
        </w:tc>
        <w:tc>
          <w:tcPr>
            <w:tcW w:w="4356" w:type="dxa"/>
            <w:tcBorders>
              <w:tl2br w:val="nil"/>
              <w:tr2bl w:val="nil"/>
            </w:tcBorders>
          </w:tcPr>
          <w:p w14:paraId="407D53D0">
            <w:pPr>
              <w:pStyle w:val="37"/>
              <w:bidi w:val="0"/>
              <w:rPr>
                <w:rFonts w:hint="default"/>
                <w:lang w:val="en-US" w:eastAsia="zh-CN"/>
              </w:rPr>
            </w:pPr>
            <w:r>
              <w:rPr>
                <w:rFonts w:hint="eastAsia"/>
                <w:lang w:val="en-US" w:eastAsia="zh-CN"/>
              </w:rPr>
              <w:t>混交林</w:t>
            </w:r>
          </w:p>
        </w:tc>
      </w:tr>
      <w:tr w14:paraId="780116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86" w:type="dxa"/>
            <w:tcBorders>
              <w:tl2br w:val="nil"/>
              <w:tr2bl w:val="nil"/>
            </w:tcBorders>
          </w:tcPr>
          <w:p w14:paraId="534274BC">
            <w:pPr>
              <w:pStyle w:val="37"/>
              <w:bidi w:val="0"/>
              <w:rPr>
                <w:rFonts w:hint="eastAsia"/>
                <w:lang w:val="en-US" w:eastAsia="zh-CN"/>
              </w:rPr>
            </w:pPr>
            <w:r>
              <w:rPr>
                <w:rFonts w:hint="eastAsia"/>
                <w:lang w:val="en-US" w:eastAsia="zh-CN"/>
              </w:rPr>
              <w:drawing>
                <wp:inline distT="0" distB="0" distL="114300" distR="114300">
                  <wp:extent cx="2635885" cy="1826895"/>
                  <wp:effectExtent l="0" t="0" r="12065" b="1905"/>
                  <wp:docPr id="59" name="图片 59" descr="240fa0a74603d531ff1a00f54b01a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240fa0a74603d531ff1a00f54b01af3"/>
                          <pic:cNvPicPr>
                            <a:picLocks noChangeAspect="1"/>
                          </pic:cNvPicPr>
                        </pic:nvPicPr>
                        <pic:blipFill>
                          <a:blip r:embed="rId56"/>
                          <a:srcRect t="8450" r="5624" b="54777"/>
                          <a:stretch>
                            <a:fillRect/>
                          </a:stretch>
                        </pic:blipFill>
                        <pic:spPr>
                          <a:xfrm>
                            <a:off x="0" y="0"/>
                            <a:ext cx="2635885" cy="1826895"/>
                          </a:xfrm>
                          <a:prstGeom prst="rect">
                            <a:avLst/>
                          </a:prstGeom>
                        </pic:spPr>
                      </pic:pic>
                    </a:graphicData>
                  </a:graphic>
                </wp:inline>
              </w:drawing>
            </w:r>
          </w:p>
        </w:tc>
        <w:tc>
          <w:tcPr>
            <w:tcW w:w="4356" w:type="dxa"/>
            <w:tcBorders>
              <w:tl2br w:val="nil"/>
              <w:tr2bl w:val="nil"/>
            </w:tcBorders>
          </w:tcPr>
          <w:p w14:paraId="76BAA1BF">
            <w:pPr>
              <w:pStyle w:val="37"/>
              <w:bidi w:val="0"/>
              <w:rPr>
                <w:rFonts w:hint="eastAsia"/>
                <w:lang w:val="en-US" w:eastAsia="zh-CN"/>
              </w:rPr>
            </w:pPr>
            <w:r>
              <w:rPr>
                <w:rFonts w:hint="eastAsia"/>
                <w:lang w:val="en-US" w:eastAsia="zh-CN"/>
              </w:rPr>
              <w:drawing>
                <wp:inline distT="0" distB="0" distL="114300" distR="114300">
                  <wp:extent cx="2554605" cy="1782445"/>
                  <wp:effectExtent l="0" t="0" r="17145" b="8255"/>
                  <wp:docPr id="60" name="图片 60" descr="40d3f80e34afaaa6a71947e90a33c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40d3f80e34afaaa6a71947e90a33c44"/>
                          <pic:cNvPicPr>
                            <a:picLocks noChangeAspect="1"/>
                          </pic:cNvPicPr>
                        </pic:nvPicPr>
                        <pic:blipFill>
                          <a:blip r:embed="rId57"/>
                          <a:srcRect t="16384"/>
                          <a:stretch>
                            <a:fillRect/>
                          </a:stretch>
                        </pic:blipFill>
                        <pic:spPr>
                          <a:xfrm>
                            <a:off x="0" y="0"/>
                            <a:ext cx="2554605" cy="1782445"/>
                          </a:xfrm>
                          <a:prstGeom prst="rect">
                            <a:avLst/>
                          </a:prstGeom>
                        </pic:spPr>
                      </pic:pic>
                    </a:graphicData>
                  </a:graphic>
                </wp:inline>
              </w:drawing>
            </w:r>
          </w:p>
        </w:tc>
      </w:tr>
      <w:tr w14:paraId="1AE8B9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386" w:type="dxa"/>
            <w:tcBorders>
              <w:tl2br w:val="nil"/>
              <w:tr2bl w:val="nil"/>
            </w:tcBorders>
          </w:tcPr>
          <w:p w14:paraId="02258098">
            <w:pPr>
              <w:pStyle w:val="37"/>
              <w:bidi w:val="0"/>
              <w:rPr>
                <w:rFonts w:hint="default"/>
                <w:lang w:val="en-US" w:eastAsia="zh-CN"/>
              </w:rPr>
            </w:pPr>
            <w:r>
              <w:rPr>
                <w:rFonts w:hint="eastAsia"/>
                <w:lang w:val="en-US" w:eastAsia="zh-CN"/>
              </w:rPr>
              <w:t>滇青冈—滇石栎群落</w:t>
            </w:r>
          </w:p>
        </w:tc>
        <w:tc>
          <w:tcPr>
            <w:tcW w:w="4356" w:type="dxa"/>
            <w:tcBorders>
              <w:tl2br w:val="nil"/>
              <w:tr2bl w:val="nil"/>
            </w:tcBorders>
          </w:tcPr>
          <w:p w14:paraId="11571B14">
            <w:pPr>
              <w:pStyle w:val="37"/>
              <w:bidi w:val="0"/>
              <w:rPr>
                <w:rFonts w:hint="default"/>
                <w:lang w:val="en-US" w:eastAsia="zh-CN"/>
              </w:rPr>
            </w:pPr>
            <w:r>
              <w:rPr>
                <w:rFonts w:hint="eastAsia"/>
                <w:lang w:val="en-US" w:eastAsia="zh-CN"/>
              </w:rPr>
              <w:t>次生性禾草草丛</w:t>
            </w:r>
          </w:p>
        </w:tc>
      </w:tr>
    </w:tbl>
    <w:p w14:paraId="1034763F">
      <w:pPr>
        <w:pStyle w:val="34"/>
        <w:tabs>
          <w:tab w:val="left" w:pos="1389"/>
        </w:tabs>
        <w:bidi w:val="0"/>
        <w:rPr>
          <w:rFonts w:hint="eastAsia"/>
          <w:color w:val="auto"/>
          <w:lang w:val="en-US" w:eastAsia="zh-CN"/>
        </w:rPr>
      </w:pPr>
    </w:p>
    <w:p w14:paraId="0C38816D">
      <w:pPr>
        <w:pStyle w:val="41"/>
        <w:bidi w:val="0"/>
        <w:rPr>
          <w:rFonts w:hint="eastAsia" w:ascii="Times New Roman" w:hAnsi="Times New Roman" w:eastAsia="宋体" w:cs="Times New Roman"/>
          <w:b/>
          <w:color w:val="auto"/>
          <w:szCs w:val="28"/>
          <w:lang w:val="en-US" w:eastAsia="zh-CN"/>
        </w:rPr>
      </w:pPr>
      <w:r>
        <w:rPr>
          <w:rFonts w:hint="eastAsia"/>
          <w:color w:val="auto"/>
          <w:lang w:val="en-US" w:eastAsia="zh-CN"/>
        </w:rPr>
        <w:t>（2）种子植物属的区系构成</w:t>
      </w:r>
    </w:p>
    <w:p w14:paraId="6F046C48">
      <w:pPr>
        <w:pStyle w:val="41"/>
        <w:bidi w:val="0"/>
        <w:rPr>
          <w:color w:val="auto"/>
        </w:rPr>
      </w:pPr>
      <w:r>
        <w:rPr>
          <w:color w:val="auto"/>
        </w:rPr>
        <w:t>调查和统计表明，评价区范围内有野生</w:t>
      </w:r>
      <w:r>
        <w:rPr>
          <w:rFonts w:hint="eastAsia"/>
          <w:color w:val="auto"/>
          <w:lang w:val="en-US" w:eastAsia="zh-CN"/>
        </w:rPr>
        <w:t>高等</w:t>
      </w:r>
      <w:r>
        <w:rPr>
          <w:color w:val="auto"/>
        </w:rPr>
        <w:t>植物</w:t>
      </w:r>
      <w:r>
        <w:rPr>
          <w:rFonts w:hint="eastAsia"/>
          <w:color w:val="auto"/>
          <w:lang w:val="en-US" w:eastAsia="zh-CN"/>
        </w:rPr>
        <w:t>171</w:t>
      </w:r>
      <w:r>
        <w:rPr>
          <w:color w:val="auto"/>
        </w:rPr>
        <w:t>个属，包括13个分布区类型。该统计数字表明，植物种类来源较为丰富，植物区系成分相对多样复杂。</w:t>
      </w:r>
    </w:p>
    <w:p w14:paraId="6DFA6930">
      <w:pPr>
        <w:pStyle w:val="41"/>
        <w:bidi w:val="0"/>
        <w:rPr>
          <w:color w:val="auto"/>
        </w:rPr>
      </w:pPr>
      <w:r>
        <w:rPr>
          <w:color w:val="auto"/>
        </w:rPr>
        <w:t>在17</w:t>
      </w:r>
      <w:r>
        <w:rPr>
          <w:rFonts w:hint="eastAsia"/>
          <w:color w:val="auto"/>
          <w:lang w:val="en-US" w:eastAsia="zh-CN"/>
        </w:rPr>
        <w:t>1</w:t>
      </w:r>
      <w:r>
        <w:rPr>
          <w:color w:val="auto"/>
        </w:rPr>
        <w:t>个种子植物属中，有世界分布属</w:t>
      </w:r>
      <w:r>
        <w:rPr>
          <w:rFonts w:hint="eastAsia"/>
          <w:color w:val="auto"/>
          <w:lang w:val="en-US" w:eastAsia="zh-CN"/>
        </w:rPr>
        <w:t>22</w:t>
      </w:r>
      <w:r>
        <w:rPr>
          <w:color w:val="auto"/>
        </w:rPr>
        <w:t>属，占种子植物属数的</w:t>
      </w:r>
      <w:r>
        <w:rPr>
          <w:rFonts w:hint="eastAsia"/>
          <w:color w:val="auto"/>
          <w:lang w:val="en-US" w:eastAsia="zh-CN"/>
        </w:rPr>
        <w:t>12.87</w:t>
      </w:r>
      <w:r>
        <w:rPr>
          <w:color w:val="auto"/>
        </w:rPr>
        <w:t>%；热带类型的属</w:t>
      </w:r>
      <w:r>
        <w:rPr>
          <w:rFonts w:hint="eastAsia"/>
          <w:color w:val="auto"/>
          <w:lang w:val="en-US" w:eastAsia="zh-CN"/>
        </w:rPr>
        <w:t>56</w:t>
      </w:r>
      <w:r>
        <w:rPr>
          <w:color w:val="auto"/>
        </w:rPr>
        <w:t>属（分布区类型2至7），占种子植物属数的</w:t>
      </w:r>
      <w:r>
        <w:rPr>
          <w:rFonts w:hint="eastAsia"/>
          <w:color w:val="auto"/>
          <w:lang w:val="en-US" w:eastAsia="zh-CN"/>
        </w:rPr>
        <w:t>32.75</w:t>
      </w:r>
      <w:r>
        <w:rPr>
          <w:color w:val="auto"/>
        </w:rPr>
        <w:t>%；温带类型的属</w:t>
      </w:r>
      <w:r>
        <w:rPr>
          <w:rFonts w:hint="eastAsia"/>
          <w:color w:val="auto"/>
          <w:lang w:val="en-US" w:eastAsia="zh-CN"/>
        </w:rPr>
        <w:t>93</w:t>
      </w:r>
      <w:r>
        <w:rPr>
          <w:color w:val="auto"/>
        </w:rPr>
        <w:t>属（分布区类型8至15），占种子植物属数的</w:t>
      </w:r>
      <w:r>
        <w:rPr>
          <w:rFonts w:hint="eastAsia"/>
          <w:color w:val="auto"/>
          <w:lang w:val="en-US" w:eastAsia="zh-CN"/>
        </w:rPr>
        <w:t>54.39</w:t>
      </w:r>
      <w:r>
        <w:rPr>
          <w:color w:val="auto"/>
        </w:rPr>
        <w:t>%。温带属的比例高于热带属的比例，根据以上分析，该区域的植物区系属于温带区系性质。所有这些属中，以北温带分布（分布区类型8）最多，计3</w:t>
      </w:r>
      <w:r>
        <w:rPr>
          <w:rFonts w:hint="eastAsia"/>
          <w:color w:val="auto"/>
          <w:lang w:val="en-US" w:eastAsia="zh-CN"/>
        </w:rPr>
        <w:t>4</w:t>
      </w:r>
      <w:r>
        <w:rPr>
          <w:color w:val="auto"/>
        </w:rPr>
        <w:t>属，占评价区种子植物总属数的</w:t>
      </w:r>
      <w:r>
        <w:rPr>
          <w:rFonts w:hint="eastAsia"/>
          <w:color w:val="auto"/>
          <w:lang w:val="en-US" w:eastAsia="zh-CN"/>
        </w:rPr>
        <w:t>19.88</w:t>
      </w:r>
      <w:r>
        <w:rPr>
          <w:color w:val="auto"/>
        </w:rPr>
        <w:t>%，表明评价区的植物区系与温带区系极为密切。</w:t>
      </w:r>
    </w:p>
    <w:p w14:paraId="77284A97">
      <w:pPr>
        <w:pStyle w:val="42"/>
        <w:bidi w:val="0"/>
        <w:rPr>
          <w:color w:val="auto"/>
        </w:rPr>
      </w:pPr>
      <w:r>
        <w:rPr>
          <w:color w:val="auto"/>
        </w:rPr>
        <w:t>表</w:t>
      </w:r>
      <w:r>
        <w:rPr>
          <w:rFonts w:hint="eastAsia"/>
          <w:color w:val="auto"/>
          <w:lang w:val="en-US" w:eastAsia="zh-CN"/>
        </w:rPr>
        <w:t xml:space="preserve">2-7  </w:t>
      </w:r>
      <w:r>
        <w:rPr>
          <w:color w:val="auto"/>
        </w:rPr>
        <w:t>评价区种子植物属的分布区类型</w:t>
      </w:r>
    </w:p>
    <w:tbl>
      <w:tblPr>
        <w:tblStyle w:val="20"/>
        <w:tblW w:w="8759" w:type="dxa"/>
        <w:tblInd w:w="93"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5286"/>
        <w:gridCol w:w="1553"/>
        <w:gridCol w:w="1920"/>
      </w:tblGrid>
      <w:tr w14:paraId="25EAA3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5286" w:type="dxa"/>
            <w:tcBorders>
              <w:tl2br w:val="nil"/>
              <w:tr2bl w:val="nil"/>
            </w:tcBorders>
            <w:shd w:val="clear" w:color="auto" w:fill="auto"/>
            <w:vAlign w:val="center"/>
          </w:tcPr>
          <w:p w14:paraId="42350555">
            <w:pPr>
              <w:pStyle w:val="34"/>
              <w:tabs>
                <w:tab w:val="left" w:pos="1389"/>
              </w:tabs>
              <w:bidi w:val="0"/>
              <w:rPr>
                <w:rFonts w:hint="eastAsia"/>
                <w:color w:val="auto"/>
              </w:rPr>
            </w:pPr>
            <w:r>
              <w:rPr>
                <w:rFonts w:hint="eastAsia"/>
                <w:color w:val="auto"/>
                <w:lang w:val="en-US" w:eastAsia="zh-CN"/>
              </w:rPr>
              <w:t>属的分布区类型</w:t>
            </w:r>
          </w:p>
        </w:tc>
        <w:tc>
          <w:tcPr>
            <w:tcW w:w="1553" w:type="dxa"/>
            <w:tcBorders>
              <w:tl2br w:val="nil"/>
              <w:tr2bl w:val="nil"/>
            </w:tcBorders>
            <w:shd w:val="clear" w:color="auto" w:fill="auto"/>
            <w:vAlign w:val="center"/>
          </w:tcPr>
          <w:p w14:paraId="0F40474C">
            <w:pPr>
              <w:pStyle w:val="34"/>
              <w:tabs>
                <w:tab w:val="left" w:pos="1389"/>
              </w:tabs>
              <w:bidi w:val="0"/>
              <w:rPr>
                <w:rFonts w:hint="eastAsia"/>
                <w:color w:val="auto"/>
              </w:rPr>
            </w:pPr>
            <w:r>
              <w:rPr>
                <w:rFonts w:hint="eastAsia"/>
                <w:color w:val="auto"/>
                <w:lang w:val="en-US" w:eastAsia="zh-CN"/>
              </w:rPr>
              <w:t>属数</w:t>
            </w:r>
          </w:p>
        </w:tc>
        <w:tc>
          <w:tcPr>
            <w:tcW w:w="1920" w:type="dxa"/>
            <w:tcBorders>
              <w:tl2br w:val="nil"/>
              <w:tr2bl w:val="nil"/>
            </w:tcBorders>
            <w:shd w:val="clear" w:color="auto" w:fill="auto"/>
            <w:vAlign w:val="center"/>
          </w:tcPr>
          <w:p w14:paraId="6E7B6ABF">
            <w:pPr>
              <w:pStyle w:val="34"/>
              <w:tabs>
                <w:tab w:val="left" w:pos="1389"/>
              </w:tabs>
              <w:bidi w:val="0"/>
              <w:rPr>
                <w:rFonts w:hint="eastAsia"/>
                <w:color w:val="auto"/>
              </w:rPr>
            </w:pPr>
            <w:r>
              <w:rPr>
                <w:rFonts w:hint="eastAsia"/>
                <w:color w:val="auto"/>
                <w:lang w:val="en-US" w:eastAsia="zh-CN"/>
              </w:rPr>
              <w:t>%</w:t>
            </w:r>
          </w:p>
        </w:tc>
      </w:tr>
      <w:tr w14:paraId="487505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022AECD5">
            <w:pPr>
              <w:pStyle w:val="34"/>
              <w:tabs>
                <w:tab w:val="left" w:pos="1389"/>
              </w:tabs>
              <w:bidi w:val="0"/>
              <w:rPr>
                <w:rFonts w:hint="eastAsia"/>
                <w:color w:val="auto"/>
              </w:rPr>
            </w:pPr>
            <w:r>
              <w:rPr>
                <w:rFonts w:hint="eastAsia"/>
                <w:color w:val="auto"/>
                <w:lang w:val="en-US" w:eastAsia="zh-CN"/>
              </w:rPr>
              <w:t>1.世界分布</w:t>
            </w:r>
          </w:p>
        </w:tc>
        <w:tc>
          <w:tcPr>
            <w:tcW w:w="1553" w:type="dxa"/>
            <w:tcBorders>
              <w:tl2br w:val="nil"/>
              <w:tr2bl w:val="nil"/>
            </w:tcBorders>
            <w:shd w:val="clear" w:color="auto" w:fill="auto"/>
            <w:vAlign w:val="center"/>
          </w:tcPr>
          <w:p w14:paraId="15EC229E">
            <w:pPr>
              <w:pStyle w:val="34"/>
              <w:tabs>
                <w:tab w:val="left" w:pos="1389"/>
              </w:tabs>
              <w:bidi w:val="0"/>
              <w:rPr>
                <w:rFonts w:hint="eastAsia"/>
                <w:color w:val="auto"/>
              </w:rPr>
            </w:pPr>
            <w:r>
              <w:rPr>
                <w:rFonts w:hint="eastAsia"/>
                <w:color w:val="auto"/>
                <w:lang w:val="en-US" w:eastAsia="zh-CN"/>
              </w:rPr>
              <w:t>22</w:t>
            </w:r>
          </w:p>
        </w:tc>
        <w:tc>
          <w:tcPr>
            <w:tcW w:w="1920" w:type="dxa"/>
            <w:tcBorders>
              <w:tl2br w:val="nil"/>
              <w:tr2bl w:val="nil"/>
            </w:tcBorders>
            <w:shd w:val="clear" w:color="auto" w:fill="auto"/>
            <w:vAlign w:val="center"/>
          </w:tcPr>
          <w:p w14:paraId="379F7878">
            <w:pPr>
              <w:pStyle w:val="34"/>
              <w:tabs>
                <w:tab w:val="left" w:pos="1389"/>
              </w:tabs>
              <w:bidi w:val="0"/>
              <w:rPr>
                <w:rFonts w:hint="eastAsia"/>
                <w:color w:val="auto"/>
              </w:rPr>
            </w:pPr>
            <w:r>
              <w:rPr>
                <w:rFonts w:hint="eastAsia"/>
                <w:color w:val="auto"/>
                <w:lang w:val="en-US" w:eastAsia="zh-CN"/>
              </w:rPr>
              <w:t>12.87</w:t>
            </w:r>
          </w:p>
        </w:tc>
      </w:tr>
      <w:tr w14:paraId="488DA1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4815286E">
            <w:pPr>
              <w:pStyle w:val="34"/>
              <w:tabs>
                <w:tab w:val="left" w:pos="1389"/>
              </w:tabs>
              <w:bidi w:val="0"/>
              <w:rPr>
                <w:rFonts w:hint="eastAsia"/>
                <w:color w:val="auto"/>
              </w:rPr>
            </w:pPr>
            <w:r>
              <w:rPr>
                <w:rFonts w:hint="eastAsia"/>
                <w:color w:val="auto"/>
                <w:lang w:val="en-US" w:eastAsia="zh-CN"/>
              </w:rPr>
              <w:t>2.泛热带分布</w:t>
            </w:r>
          </w:p>
        </w:tc>
        <w:tc>
          <w:tcPr>
            <w:tcW w:w="1553" w:type="dxa"/>
            <w:tcBorders>
              <w:tl2br w:val="nil"/>
              <w:tr2bl w:val="nil"/>
            </w:tcBorders>
            <w:shd w:val="clear" w:color="auto" w:fill="auto"/>
            <w:vAlign w:val="center"/>
          </w:tcPr>
          <w:p w14:paraId="2B688109">
            <w:pPr>
              <w:pStyle w:val="34"/>
              <w:tabs>
                <w:tab w:val="left" w:pos="1389"/>
              </w:tabs>
              <w:bidi w:val="0"/>
              <w:rPr>
                <w:rFonts w:hint="eastAsia"/>
                <w:color w:val="auto"/>
              </w:rPr>
            </w:pPr>
            <w:r>
              <w:rPr>
                <w:rFonts w:hint="eastAsia"/>
                <w:color w:val="auto"/>
                <w:lang w:val="en-US" w:eastAsia="zh-CN"/>
              </w:rPr>
              <w:t>24</w:t>
            </w:r>
          </w:p>
        </w:tc>
        <w:tc>
          <w:tcPr>
            <w:tcW w:w="1920" w:type="dxa"/>
            <w:tcBorders>
              <w:tl2br w:val="nil"/>
              <w:tr2bl w:val="nil"/>
            </w:tcBorders>
            <w:shd w:val="clear" w:color="auto" w:fill="auto"/>
            <w:vAlign w:val="center"/>
          </w:tcPr>
          <w:p w14:paraId="4115C8B3">
            <w:pPr>
              <w:pStyle w:val="34"/>
              <w:tabs>
                <w:tab w:val="left" w:pos="1389"/>
              </w:tabs>
              <w:bidi w:val="0"/>
              <w:rPr>
                <w:rFonts w:hint="eastAsia"/>
                <w:color w:val="auto"/>
              </w:rPr>
            </w:pPr>
            <w:r>
              <w:rPr>
                <w:rFonts w:hint="eastAsia"/>
                <w:color w:val="auto"/>
                <w:lang w:val="en-US" w:eastAsia="zh-CN"/>
              </w:rPr>
              <w:t>14.04</w:t>
            </w:r>
          </w:p>
        </w:tc>
      </w:tr>
      <w:tr w14:paraId="660093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286" w:type="dxa"/>
            <w:tcBorders>
              <w:tl2br w:val="nil"/>
              <w:tr2bl w:val="nil"/>
            </w:tcBorders>
            <w:shd w:val="clear" w:color="auto" w:fill="auto"/>
            <w:vAlign w:val="center"/>
          </w:tcPr>
          <w:p w14:paraId="2A1B3A74">
            <w:pPr>
              <w:pStyle w:val="34"/>
              <w:tabs>
                <w:tab w:val="left" w:pos="1389"/>
              </w:tabs>
              <w:bidi w:val="0"/>
              <w:rPr>
                <w:rFonts w:hint="eastAsia"/>
                <w:color w:val="auto"/>
              </w:rPr>
            </w:pPr>
            <w:r>
              <w:rPr>
                <w:rFonts w:hint="eastAsia"/>
                <w:color w:val="auto"/>
                <w:lang w:val="en-US" w:eastAsia="zh-CN"/>
              </w:rPr>
              <w:t>2-2.热带亚洲、非洲、南美洲间断分布</w:t>
            </w:r>
          </w:p>
        </w:tc>
        <w:tc>
          <w:tcPr>
            <w:tcW w:w="1553" w:type="dxa"/>
            <w:tcBorders>
              <w:tl2br w:val="nil"/>
              <w:tr2bl w:val="nil"/>
            </w:tcBorders>
            <w:shd w:val="clear" w:color="auto" w:fill="auto"/>
            <w:vAlign w:val="center"/>
          </w:tcPr>
          <w:p w14:paraId="12E39BF6">
            <w:pPr>
              <w:pStyle w:val="34"/>
              <w:tabs>
                <w:tab w:val="left" w:pos="1389"/>
              </w:tabs>
              <w:bidi w:val="0"/>
              <w:rPr>
                <w:rFonts w:hint="eastAsia"/>
                <w:color w:val="auto"/>
              </w:rPr>
            </w:pPr>
            <w:r>
              <w:rPr>
                <w:rFonts w:hint="eastAsia"/>
                <w:color w:val="auto"/>
                <w:lang w:val="en-US" w:eastAsia="zh-CN"/>
              </w:rPr>
              <w:t>4</w:t>
            </w:r>
          </w:p>
        </w:tc>
        <w:tc>
          <w:tcPr>
            <w:tcW w:w="1920" w:type="dxa"/>
            <w:tcBorders>
              <w:tl2br w:val="nil"/>
              <w:tr2bl w:val="nil"/>
            </w:tcBorders>
            <w:shd w:val="clear" w:color="auto" w:fill="auto"/>
            <w:vAlign w:val="center"/>
          </w:tcPr>
          <w:p w14:paraId="72C837FA">
            <w:pPr>
              <w:pStyle w:val="34"/>
              <w:tabs>
                <w:tab w:val="left" w:pos="1389"/>
              </w:tabs>
              <w:bidi w:val="0"/>
              <w:rPr>
                <w:rFonts w:hint="eastAsia"/>
                <w:color w:val="auto"/>
              </w:rPr>
            </w:pPr>
            <w:r>
              <w:rPr>
                <w:rFonts w:hint="eastAsia"/>
                <w:color w:val="auto"/>
                <w:lang w:val="en-US" w:eastAsia="zh-CN"/>
              </w:rPr>
              <w:t>2.34</w:t>
            </w:r>
          </w:p>
        </w:tc>
      </w:tr>
      <w:tr w14:paraId="1E07E9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74B309DE">
            <w:pPr>
              <w:pStyle w:val="34"/>
              <w:tabs>
                <w:tab w:val="left" w:pos="1389"/>
              </w:tabs>
              <w:bidi w:val="0"/>
              <w:rPr>
                <w:rFonts w:hint="eastAsia"/>
                <w:color w:val="auto"/>
              </w:rPr>
            </w:pPr>
            <w:r>
              <w:rPr>
                <w:rFonts w:hint="eastAsia"/>
                <w:color w:val="auto"/>
                <w:lang w:val="en-US" w:eastAsia="zh-CN"/>
              </w:rPr>
              <w:t>3.热带亚洲和热带美洲间断分布</w:t>
            </w:r>
          </w:p>
        </w:tc>
        <w:tc>
          <w:tcPr>
            <w:tcW w:w="1553" w:type="dxa"/>
            <w:tcBorders>
              <w:tl2br w:val="nil"/>
              <w:tr2bl w:val="nil"/>
            </w:tcBorders>
            <w:shd w:val="clear" w:color="auto" w:fill="auto"/>
            <w:vAlign w:val="center"/>
          </w:tcPr>
          <w:p w14:paraId="36278102">
            <w:pPr>
              <w:pStyle w:val="34"/>
              <w:tabs>
                <w:tab w:val="left" w:pos="1389"/>
              </w:tabs>
              <w:bidi w:val="0"/>
              <w:rPr>
                <w:rFonts w:hint="eastAsia"/>
                <w:color w:val="auto"/>
              </w:rPr>
            </w:pPr>
            <w:r>
              <w:rPr>
                <w:rFonts w:hint="eastAsia"/>
                <w:color w:val="auto"/>
                <w:lang w:val="en-US" w:eastAsia="zh-CN"/>
              </w:rPr>
              <w:t>3</w:t>
            </w:r>
          </w:p>
        </w:tc>
        <w:tc>
          <w:tcPr>
            <w:tcW w:w="1920" w:type="dxa"/>
            <w:tcBorders>
              <w:tl2br w:val="nil"/>
              <w:tr2bl w:val="nil"/>
            </w:tcBorders>
            <w:shd w:val="clear" w:color="auto" w:fill="auto"/>
            <w:vAlign w:val="center"/>
          </w:tcPr>
          <w:p w14:paraId="738429BD">
            <w:pPr>
              <w:pStyle w:val="34"/>
              <w:tabs>
                <w:tab w:val="left" w:pos="1389"/>
              </w:tabs>
              <w:bidi w:val="0"/>
              <w:rPr>
                <w:rFonts w:hint="eastAsia"/>
                <w:color w:val="auto"/>
              </w:rPr>
            </w:pPr>
            <w:r>
              <w:rPr>
                <w:rFonts w:hint="eastAsia"/>
                <w:color w:val="auto"/>
                <w:lang w:val="en-US" w:eastAsia="zh-CN"/>
              </w:rPr>
              <w:t>1.75</w:t>
            </w:r>
          </w:p>
        </w:tc>
      </w:tr>
      <w:tr w14:paraId="2B5F7C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74BA1C80">
            <w:pPr>
              <w:pStyle w:val="34"/>
              <w:tabs>
                <w:tab w:val="left" w:pos="1389"/>
              </w:tabs>
              <w:bidi w:val="0"/>
              <w:rPr>
                <w:rFonts w:hint="eastAsia"/>
                <w:color w:val="auto"/>
              </w:rPr>
            </w:pPr>
            <w:r>
              <w:rPr>
                <w:rFonts w:hint="eastAsia"/>
                <w:color w:val="auto"/>
                <w:lang w:val="en-US" w:eastAsia="zh-CN"/>
              </w:rPr>
              <w:t>4.旧世界热带分布</w:t>
            </w:r>
          </w:p>
        </w:tc>
        <w:tc>
          <w:tcPr>
            <w:tcW w:w="1553" w:type="dxa"/>
            <w:tcBorders>
              <w:tl2br w:val="nil"/>
              <w:tr2bl w:val="nil"/>
            </w:tcBorders>
            <w:shd w:val="clear" w:color="auto" w:fill="auto"/>
            <w:vAlign w:val="center"/>
          </w:tcPr>
          <w:p w14:paraId="605A6767">
            <w:pPr>
              <w:pStyle w:val="34"/>
              <w:tabs>
                <w:tab w:val="left" w:pos="1389"/>
              </w:tabs>
              <w:bidi w:val="0"/>
              <w:rPr>
                <w:rFonts w:hint="eastAsia"/>
                <w:color w:val="auto"/>
              </w:rPr>
            </w:pPr>
            <w:r>
              <w:rPr>
                <w:rFonts w:hint="eastAsia"/>
                <w:color w:val="auto"/>
                <w:lang w:val="en-US" w:eastAsia="zh-CN"/>
              </w:rPr>
              <w:t>4</w:t>
            </w:r>
          </w:p>
        </w:tc>
        <w:tc>
          <w:tcPr>
            <w:tcW w:w="1920" w:type="dxa"/>
            <w:tcBorders>
              <w:tl2br w:val="nil"/>
              <w:tr2bl w:val="nil"/>
            </w:tcBorders>
            <w:shd w:val="clear" w:color="auto" w:fill="auto"/>
            <w:vAlign w:val="center"/>
          </w:tcPr>
          <w:p w14:paraId="38E8450D">
            <w:pPr>
              <w:pStyle w:val="34"/>
              <w:tabs>
                <w:tab w:val="left" w:pos="1389"/>
              </w:tabs>
              <w:bidi w:val="0"/>
              <w:rPr>
                <w:rFonts w:hint="eastAsia"/>
                <w:color w:val="auto"/>
              </w:rPr>
            </w:pPr>
            <w:r>
              <w:rPr>
                <w:rFonts w:hint="eastAsia"/>
                <w:color w:val="auto"/>
                <w:lang w:val="en-US" w:eastAsia="zh-CN"/>
              </w:rPr>
              <w:t>2.34</w:t>
            </w:r>
          </w:p>
        </w:tc>
      </w:tr>
      <w:tr w14:paraId="48A853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2D9CB3F7">
            <w:pPr>
              <w:pStyle w:val="34"/>
              <w:tabs>
                <w:tab w:val="left" w:pos="1389"/>
              </w:tabs>
              <w:bidi w:val="0"/>
              <w:rPr>
                <w:rFonts w:hint="eastAsia"/>
                <w:color w:val="auto"/>
              </w:rPr>
            </w:pPr>
            <w:r>
              <w:rPr>
                <w:rFonts w:hint="eastAsia"/>
                <w:color w:val="auto"/>
                <w:lang w:val="en-US" w:eastAsia="zh-CN"/>
              </w:rPr>
              <w:t>5.热带亚洲至热带大洋洲分布</w:t>
            </w:r>
          </w:p>
        </w:tc>
        <w:tc>
          <w:tcPr>
            <w:tcW w:w="1553" w:type="dxa"/>
            <w:tcBorders>
              <w:tl2br w:val="nil"/>
              <w:tr2bl w:val="nil"/>
            </w:tcBorders>
            <w:shd w:val="clear" w:color="auto" w:fill="auto"/>
            <w:vAlign w:val="center"/>
          </w:tcPr>
          <w:p w14:paraId="4F6EB71C">
            <w:pPr>
              <w:pStyle w:val="34"/>
              <w:tabs>
                <w:tab w:val="left" w:pos="1389"/>
              </w:tabs>
              <w:bidi w:val="0"/>
              <w:rPr>
                <w:rFonts w:hint="eastAsia"/>
                <w:color w:val="auto"/>
              </w:rPr>
            </w:pPr>
            <w:r>
              <w:rPr>
                <w:rFonts w:hint="eastAsia"/>
                <w:color w:val="auto"/>
                <w:lang w:val="en-US" w:eastAsia="zh-CN"/>
              </w:rPr>
              <w:t>5</w:t>
            </w:r>
          </w:p>
        </w:tc>
        <w:tc>
          <w:tcPr>
            <w:tcW w:w="1920" w:type="dxa"/>
            <w:tcBorders>
              <w:tl2br w:val="nil"/>
              <w:tr2bl w:val="nil"/>
            </w:tcBorders>
            <w:shd w:val="clear" w:color="auto" w:fill="auto"/>
            <w:vAlign w:val="center"/>
          </w:tcPr>
          <w:p w14:paraId="53F63B86">
            <w:pPr>
              <w:pStyle w:val="34"/>
              <w:tabs>
                <w:tab w:val="left" w:pos="1389"/>
              </w:tabs>
              <w:bidi w:val="0"/>
              <w:rPr>
                <w:rFonts w:hint="eastAsia"/>
                <w:color w:val="auto"/>
              </w:rPr>
            </w:pPr>
            <w:r>
              <w:rPr>
                <w:rFonts w:hint="eastAsia"/>
                <w:color w:val="auto"/>
                <w:lang w:val="en-US" w:eastAsia="zh-CN"/>
              </w:rPr>
              <w:t>2.92</w:t>
            </w:r>
          </w:p>
        </w:tc>
      </w:tr>
      <w:tr w14:paraId="6CC0E2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05803BEF">
            <w:pPr>
              <w:pStyle w:val="34"/>
              <w:tabs>
                <w:tab w:val="left" w:pos="1389"/>
              </w:tabs>
              <w:bidi w:val="0"/>
              <w:rPr>
                <w:rFonts w:hint="eastAsia"/>
                <w:color w:val="auto"/>
              </w:rPr>
            </w:pPr>
            <w:r>
              <w:rPr>
                <w:rFonts w:hint="eastAsia"/>
                <w:color w:val="auto"/>
                <w:lang w:val="en-US" w:eastAsia="zh-CN"/>
              </w:rPr>
              <w:t>6.热带亚洲至热带非洲分布</w:t>
            </w:r>
          </w:p>
        </w:tc>
        <w:tc>
          <w:tcPr>
            <w:tcW w:w="1553" w:type="dxa"/>
            <w:tcBorders>
              <w:tl2br w:val="nil"/>
              <w:tr2bl w:val="nil"/>
            </w:tcBorders>
            <w:shd w:val="clear" w:color="auto" w:fill="auto"/>
            <w:vAlign w:val="center"/>
          </w:tcPr>
          <w:p w14:paraId="642688FC">
            <w:pPr>
              <w:pStyle w:val="34"/>
              <w:tabs>
                <w:tab w:val="left" w:pos="1389"/>
              </w:tabs>
              <w:bidi w:val="0"/>
              <w:rPr>
                <w:rFonts w:hint="eastAsia"/>
                <w:color w:val="auto"/>
              </w:rPr>
            </w:pPr>
            <w:r>
              <w:rPr>
                <w:rFonts w:hint="eastAsia"/>
                <w:color w:val="auto"/>
                <w:lang w:val="en-US" w:eastAsia="zh-CN"/>
              </w:rPr>
              <w:t>9</w:t>
            </w:r>
          </w:p>
        </w:tc>
        <w:tc>
          <w:tcPr>
            <w:tcW w:w="1920" w:type="dxa"/>
            <w:tcBorders>
              <w:tl2br w:val="nil"/>
              <w:tr2bl w:val="nil"/>
            </w:tcBorders>
            <w:shd w:val="clear" w:color="auto" w:fill="auto"/>
            <w:vAlign w:val="center"/>
          </w:tcPr>
          <w:p w14:paraId="4B0272ED">
            <w:pPr>
              <w:pStyle w:val="34"/>
              <w:tabs>
                <w:tab w:val="left" w:pos="1389"/>
              </w:tabs>
              <w:bidi w:val="0"/>
              <w:rPr>
                <w:rFonts w:hint="eastAsia"/>
                <w:color w:val="auto"/>
              </w:rPr>
            </w:pPr>
            <w:r>
              <w:rPr>
                <w:rFonts w:hint="eastAsia"/>
                <w:color w:val="auto"/>
                <w:lang w:val="en-US" w:eastAsia="zh-CN"/>
              </w:rPr>
              <w:t>5.26</w:t>
            </w:r>
          </w:p>
        </w:tc>
      </w:tr>
      <w:tr w14:paraId="4F9CB4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0EF06697">
            <w:pPr>
              <w:pStyle w:val="34"/>
              <w:tabs>
                <w:tab w:val="left" w:pos="1389"/>
              </w:tabs>
              <w:bidi w:val="0"/>
              <w:rPr>
                <w:rFonts w:hint="eastAsia"/>
                <w:color w:val="auto"/>
              </w:rPr>
            </w:pPr>
            <w:r>
              <w:rPr>
                <w:rFonts w:hint="eastAsia"/>
                <w:color w:val="auto"/>
                <w:lang w:val="en-US" w:eastAsia="zh-CN"/>
              </w:rPr>
              <w:t>7.热带亚洲（印度－马来西亚)分布</w:t>
            </w:r>
          </w:p>
        </w:tc>
        <w:tc>
          <w:tcPr>
            <w:tcW w:w="1553" w:type="dxa"/>
            <w:tcBorders>
              <w:tl2br w:val="nil"/>
              <w:tr2bl w:val="nil"/>
            </w:tcBorders>
            <w:shd w:val="clear" w:color="auto" w:fill="auto"/>
            <w:vAlign w:val="center"/>
          </w:tcPr>
          <w:p w14:paraId="69DA5F40">
            <w:pPr>
              <w:pStyle w:val="34"/>
              <w:tabs>
                <w:tab w:val="left" w:pos="1389"/>
              </w:tabs>
              <w:bidi w:val="0"/>
              <w:rPr>
                <w:rFonts w:hint="eastAsia"/>
                <w:color w:val="auto"/>
              </w:rPr>
            </w:pPr>
            <w:r>
              <w:rPr>
                <w:rFonts w:hint="eastAsia"/>
                <w:color w:val="auto"/>
                <w:lang w:val="en-US" w:eastAsia="zh-CN"/>
              </w:rPr>
              <w:t>7</w:t>
            </w:r>
          </w:p>
        </w:tc>
        <w:tc>
          <w:tcPr>
            <w:tcW w:w="1920" w:type="dxa"/>
            <w:tcBorders>
              <w:tl2br w:val="nil"/>
              <w:tr2bl w:val="nil"/>
            </w:tcBorders>
            <w:shd w:val="clear" w:color="auto" w:fill="auto"/>
            <w:vAlign w:val="center"/>
          </w:tcPr>
          <w:p w14:paraId="21A9E916">
            <w:pPr>
              <w:pStyle w:val="34"/>
              <w:tabs>
                <w:tab w:val="left" w:pos="1389"/>
              </w:tabs>
              <w:bidi w:val="0"/>
              <w:rPr>
                <w:rFonts w:hint="eastAsia"/>
                <w:color w:val="auto"/>
              </w:rPr>
            </w:pPr>
            <w:r>
              <w:rPr>
                <w:rFonts w:hint="eastAsia"/>
                <w:color w:val="auto"/>
                <w:lang w:val="en-US" w:eastAsia="zh-CN"/>
              </w:rPr>
              <w:t>4.09</w:t>
            </w:r>
          </w:p>
        </w:tc>
      </w:tr>
      <w:tr w14:paraId="17A0CB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0DA405A1">
            <w:pPr>
              <w:pStyle w:val="34"/>
              <w:tabs>
                <w:tab w:val="left" w:pos="1389"/>
              </w:tabs>
              <w:bidi w:val="0"/>
              <w:rPr>
                <w:rFonts w:hint="eastAsia"/>
                <w:color w:val="auto"/>
              </w:rPr>
            </w:pPr>
            <w:r>
              <w:rPr>
                <w:rFonts w:hint="eastAsia"/>
                <w:color w:val="auto"/>
                <w:lang w:val="en-US" w:eastAsia="zh-CN"/>
              </w:rPr>
              <w:t>热带属合计（类型2~7)</w:t>
            </w:r>
          </w:p>
        </w:tc>
        <w:tc>
          <w:tcPr>
            <w:tcW w:w="1553" w:type="dxa"/>
            <w:tcBorders>
              <w:tl2br w:val="nil"/>
              <w:tr2bl w:val="nil"/>
            </w:tcBorders>
            <w:shd w:val="clear" w:color="auto" w:fill="auto"/>
            <w:vAlign w:val="center"/>
          </w:tcPr>
          <w:p w14:paraId="411F46A9">
            <w:pPr>
              <w:pStyle w:val="34"/>
              <w:tabs>
                <w:tab w:val="left" w:pos="1389"/>
              </w:tabs>
              <w:bidi w:val="0"/>
              <w:rPr>
                <w:rFonts w:hint="eastAsia"/>
                <w:color w:val="auto"/>
              </w:rPr>
            </w:pPr>
            <w:r>
              <w:rPr>
                <w:rFonts w:hint="eastAsia"/>
                <w:color w:val="auto"/>
                <w:lang w:val="en-US" w:eastAsia="zh-CN"/>
              </w:rPr>
              <w:t>56</w:t>
            </w:r>
          </w:p>
        </w:tc>
        <w:tc>
          <w:tcPr>
            <w:tcW w:w="1920" w:type="dxa"/>
            <w:tcBorders>
              <w:tl2br w:val="nil"/>
              <w:tr2bl w:val="nil"/>
            </w:tcBorders>
            <w:shd w:val="clear" w:color="auto" w:fill="auto"/>
            <w:vAlign w:val="center"/>
          </w:tcPr>
          <w:p w14:paraId="0F07E5D4">
            <w:pPr>
              <w:pStyle w:val="34"/>
              <w:tabs>
                <w:tab w:val="left" w:pos="1389"/>
              </w:tabs>
              <w:bidi w:val="0"/>
              <w:rPr>
                <w:rFonts w:hint="eastAsia"/>
                <w:color w:val="auto"/>
              </w:rPr>
            </w:pPr>
            <w:r>
              <w:rPr>
                <w:rFonts w:hint="eastAsia"/>
                <w:color w:val="auto"/>
                <w:lang w:val="en-US" w:eastAsia="zh-CN"/>
              </w:rPr>
              <w:t>32.75</w:t>
            </w:r>
          </w:p>
        </w:tc>
      </w:tr>
      <w:tr w14:paraId="5699D9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4AB76700">
            <w:pPr>
              <w:pStyle w:val="34"/>
              <w:tabs>
                <w:tab w:val="left" w:pos="1389"/>
              </w:tabs>
              <w:bidi w:val="0"/>
              <w:rPr>
                <w:rFonts w:hint="eastAsia"/>
                <w:color w:val="auto"/>
              </w:rPr>
            </w:pPr>
            <w:r>
              <w:rPr>
                <w:rFonts w:hint="eastAsia"/>
                <w:color w:val="auto"/>
                <w:lang w:val="en-US" w:eastAsia="zh-CN"/>
              </w:rPr>
              <w:t>8.北温带分布</w:t>
            </w:r>
          </w:p>
        </w:tc>
        <w:tc>
          <w:tcPr>
            <w:tcW w:w="1553" w:type="dxa"/>
            <w:tcBorders>
              <w:tl2br w:val="nil"/>
              <w:tr2bl w:val="nil"/>
            </w:tcBorders>
            <w:shd w:val="clear" w:color="auto" w:fill="auto"/>
            <w:vAlign w:val="center"/>
          </w:tcPr>
          <w:p w14:paraId="38D33539">
            <w:pPr>
              <w:pStyle w:val="34"/>
              <w:tabs>
                <w:tab w:val="left" w:pos="1389"/>
              </w:tabs>
              <w:bidi w:val="0"/>
              <w:rPr>
                <w:rFonts w:hint="eastAsia"/>
                <w:color w:val="auto"/>
              </w:rPr>
            </w:pPr>
            <w:r>
              <w:rPr>
                <w:rFonts w:hint="eastAsia"/>
                <w:color w:val="auto"/>
                <w:lang w:val="en-US" w:eastAsia="zh-CN"/>
              </w:rPr>
              <w:t>34</w:t>
            </w:r>
          </w:p>
        </w:tc>
        <w:tc>
          <w:tcPr>
            <w:tcW w:w="1920" w:type="dxa"/>
            <w:tcBorders>
              <w:tl2br w:val="nil"/>
              <w:tr2bl w:val="nil"/>
            </w:tcBorders>
            <w:shd w:val="clear" w:color="auto" w:fill="auto"/>
            <w:vAlign w:val="center"/>
          </w:tcPr>
          <w:p w14:paraId="6596B4AC">
            <w:pPr>
              <w:pStyle w:val="34"/>
              <w:tabs>
                <w:tab w:val="left" w:pos="1389"/>
              </w:tabs>
              <w:bidi w:val="0"/>
              <w:rPr>
                <w:rFonts w:hint="eastAsia"/>
                <w:color w:val="auto"/>
              </w:rPr>
            </w:pPr>
            <w:r>
              <w:rPr>
                <w:rFonts w:hint="eastAsia"/>
                <w:color w:val="auto"/>
                <w:lang w:val="en-US" w:eastAsia="zh-CN"/>
              </w:rPr>
              <w:t>19.88</w:t>
            </w:r>
          </w:p>
        </w:tc>
      </w:tr>
      <w:tr w14:paraId="728135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469CDE13">
            <w:pPr>
              <w:pStyle w:val="34"/>
              <w:tabs>
                <w:tab w:val="left" w:pos="1389"/>
              </w:tabs>
              <w:bidi w:val="0"/>
              <w:rPr>
                <w:rFonts w:hint="eastAsia"/>
                <w:color w:val="auto"/>
              </w:rPr>
            </w:pPr>
            <w:r>
              <w:rPr>
                <w:rFonts w:hint="eastAsia"/>
                <w:color w:val="auto"/>
                <w:lang w:val="en-US" w:eastAsia="zh-CN"/>
              </w:rPr>
              <w:t>8-4.北温带和南温带（全温带)间断分布</w:t>
            </w:r>
          </w:p>
        </w:tc>
        <w:tc>
          <w:tcPr>
            <w:tcW w:w="1553" w:type="dxa"/>
            <w:tcBorders>
              <w:tl2br w:val="nil"/>
              <w:tr2bl w:val="nil"/>
            </w:tcBorders>
            <w:shd w:val="clear" w:color="auto" w:fill="auto"/>
            <w:vAlign w:val="center"/>
          </w:tcPr>
          <w:p w14:paraId="0B64CE3A">
            <w:pPr>
              <w:pStyle w:val="34"/>
              <w:tabs>
                <w:tab w:val="left" w:pos="1389"/>
              </w:tabs>
              <w:bidi w:val="0"/>
              <w:rPr>
                <w:rFonts w:hint="eastAsia"/>
                <w:color w:val="auto"/>
              </w:rPr>
            </w:pPr>
            <w:r>
              <w:rPr>
                <w:rFonts w:hint="eastAsia"/>
                <w:color w:val="auto"/>
                <w:lang w:val="en-US" w:eastAsia="zh-CN"/>
              </w:rPr>
              <w:t>10</w:t>
            </w:r>
          </w:p>
        </w:tc>
        <w:tc>
          <w:tcPr>
            <w:tcW w:w="1920" w:type="dxa"/>
            <w:tcBorders>
              <w:tl2br w:val="nil"/>
              <w:tr2bl w:val="nil"/>
            </w:tcBorders>
            <w:shd w:val="clear" w:color="auto" w:fill="auto"/>
            <w:vAlign w:val="center"/>
          </w:tcPr>
          <w:p w14:paraId="27CD7131">
            <w:pPr>
              <w:pStyle w:val="34"/>
              <w:tabs>
                <w:tab w:val="left" w:pos="1389"/>
              </w:tabs>
              <w:bidi w:val="0"/>
              <w:rPr>
                <w:rFonts w:hint="eastAsia"/>
                <w:color w:val="auto"/>
              </w:rPr>
            </w:pPr>
            <w:r>
              <w:rPr>
                <w:rFonts w:hint="eastAsia"/>
                <w:color w:val="auto"/>
                <w:lang w:val="en-US" w:eastAsia="zh-CN"/>
              </w:rPr>
              <w:t>5.85</w:t>
            </w:r>
          </w:p>
        </w:tc>
      </w:tr>
      <w:tr w14:paraId="30BF69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7F487ECC">
            <w:pPr>
              <w:pStyle w:val="34"/>
              <w:tabs>
                <w:tab w:val="left" w:pos="1389"/>
              </w:tabs>
              <w:bidi w:val="0"/>
              <w:rPr>
                <w:rFonts w:hint="eastAsia"/>
                <w:color w:val="auto"/>
              </w:rPr>
            </w:pPr>
            <w:r>
              <w:rPr>
                <w:rFonts w:hint="eastAsia"/>
                <w:color w:val="auto"/>
                <w:lang w:val="en-US" w:eastAsia="zh-CN"/>
              </w:rPr>
              <w:t>8-5.欧亚和南美温带间断分布</w:t>
            </w:r>
          </w:p>
        </w:tc>
        <w:tc>
          <w:tcPr>
            <w:tcW w:w="1553" w:type="dxa"/>
            <w:tcBorders>
              <w:tl2br w:val="nil"/>
              <w:tr2bl w:val="nil"/>
            </w:tcBorders>
            <w:shd w:val="clear" w:color="auto" w:fill="auto"/>
            <w:vAlign w:val="center"/>
          </w:tcPr>
          <w:p w14:paraId="1FA7958E">
            <w:pPr>
              <w:pStyle w:val="34"/>
              <w:tabs>
                <w:tab w:val="left" w:pos="1389"/>
              </w:tabs>
              <w:bidi w:val="0"/>
              <w:rPr>
                <w:rFonts w:hint="eastAsia"/>
                <w:color w:val="auto"/>
              </w:rPr>
            </w:pPr>
            <w:r>
              <w:rPr>
                <w:rFonts w:hint="eastAsia"/>
                <w:color w:val="auto"/>
                <w:lang w:val="en-US" w:eastAsia="zh-CN"/>
              </w:rPr>
              <w:t>2</w:t>
            </w:r>
          </w:p>
        </w:tc>
        <w:tc>
          <w:tcPr>
            <w:tcW w:w="1920" w:type="dxa"/>
            <w:tcBorders>
              <w:tl2br w:val="nil"/>
              <w:tr2bl w:val="nil"/>
            </w:tcBorders>
            <w:shd w:val="clear" w:color="auto" w:fill="auto"/>
            <w:vAlign w:val="center"/>
          </w:tcPr>
          <w:p w14:paraId="051F3395">
            <w:pPr>
              <w:pStyle w:val="34"/>
              <w:tabs>
                <w:tab w:val="left" w:pos="1389"/>
              </w:tabs>
              <w:bidi w:val="0"/>
              <w:rPr>
                <w:rFonts w:hint="eastAsia"/>
                <w:color w:val="auto"/>
              </w:rPr>
            </w:pPr>
            <w:r>
              <w:rPr>
                <w:rFonts w:hint="eastAsia"/>
                <w:color w:val="auto"/>
                <w:lang w:val="en-US" w:eastAsia="zh-CN"/>
              </w:rPr>
              <w:t>1.17</w:t>
            </w:r>
          </w:p>
        </w:tc>
      </w:tr>
      <w:tr w14:paraId="74D184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73837D51">
            <w:pPr>
              <w:pStyle w:val="34"/>
              <w:tabs>
                <w:tab w:val="left" w:pos="1389"/>
              </w:tabs>
              <w:bidi w:val="0"/>
              <w:rPr>
                <w:rFonts w:hint="eastAsia"/>
                <w:color w:val="auto"/>
              </w:rPr>
            </w:pPr>
            <w:r>
              <w:rPr>
                <w:rFonts w:hint="eastAsia"/>
                <w:color w:val="auto"/>
                <w:lang w:val="en-US" w:eastAsia="zh-CN"/>
              </w:rPr>
              <w:t>9.东亚和北美洲间断分布</w:t>
            </w:r>
          </w:p>
        </w:tc>
        <w:tc>
          <w:tcPr>
            <w:tcW w:w="1553" w:type="dxa"/>
            <w:tcBorders>
              <w:tl2br w:val="nil"/>
              <w:tr2bl w:val="nil"/>
            </w:tcBorders>
            <w:shd w:val="clear" w:color="auto" w:fill="auto"/>
            <w:vAlign w:val="center"/>
          </w:tcPr>
          <w:p w14:paraId="5A9B6029">
            <w:pPr>
              <w:pStyle w:val="34"/>
              <w:tabs>
                <w:tab w:val="left" w:pos="1389"/>
              </w:tabs>
              <w:bidi w:val="0"/>
              <w:rPr>
                <w:rFonts w:hint="eastAsia"/>
                <w:color w:val="auto"/>
              </w:rPr>
            </w:pPr>
            <w:r>
              <w:rPr>
                <w:rFonts w:hint="eastAsia"/>
                <w:color w:val="auto"/>
                <w:lang w:val="en-US" w:eastAsia="zh-CN"/>
              </w:rPr>
              <w:t>10</w:t>
            </w:r>
          </w:p>
        </w:tc>
        <w:tc>
          <w:tcPr>
            <w:tcW w:w="1920" w:type="dxa"/>
            <w:tcBorders>
              <w:tl2br w:val="nil"/>
              <w:tr2bl w:val="nil"/>
            </w:tcBorders>
            <w:shd w:val="clear" w:color="auto" w:fill="auto"/>
            <w:vAlign w:val="center"/>
          </w:tcPr>
          <w:p w14:paraId="6B34E894">
            <w:pPr>
              <w:pStyle w:val="34"/>
              <w:tabs>
                <w:tab w:val="left" w:pos="1389"/>
              </w:tabs>
              <w:bidi w:val="0"/>
              <w:rPr>
                <w:rFonts w:hint="eastAsia"/>
                <w:color w:val="auto"/>
              </w:rPr>
            </w:pPr>
            <w:r>
              <w:rPr>
                <w:rFonts w:hint="eastAsia"/>
                <w:color w:val="auto"/>
                <w:lang w:val="en-US" w:eastAsia="zh-CN"/>
              </w:rPr>
              <w:t>5.85</w:t>
            </w:r>
          </w:p>
        </w:tc>
      </w:tr>
      <w:tr w14:paraId="488A04A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1EA5E022">
            <w:pPr>
              <w:pStyle w:val="34"/>
              <w:tabs>
                <w:tab w:val="left" w:pos="1389"/>
              </w:tabs>
              <w:bidi w:val="0"/>
              <w:rPr>
                <w:rFonts w:hint="eastAsia"/>
                <w:color w:val="auto"/>
              </w:rPr>
            </w:pPr>
            <w:r>
              <w:rPr>
                <w:rFonts w:hint="eastAsia"/>
                <w:color w:val="auto"/>
                <w:lang w:val="en-US" w:eastAsia="zh-CN"/>
              </w:rPr>
              <w:t>10.旧世界温带分布</w:t>
            </w:r>
          </w:p>
        </w:tc>
        <w:tc>
          <w:tcPr>
            <w:tcW w:w="1553" w:type="dxa"/>
            <w:tcBorders>
              <w:tl2br w:val="nil"/>
              <w:tr2bl w:val="nil"/>
            </w:tcBorders>
            <w:shd w:val="clear" w:color="auto" w:fill="auto"/>
            <w:vAlign w:val="center"/>
          </w:tcPr>
          <w:p w14:paraId="22FF8A8B">
            <w:pPr>
              <w:pStyle w:val="34"/>
              <w:tabs>
                <w:tab w:val="left" w:pos="1389"/>
              </w:tabs>
              <w:bidi w:val="0"/>
              <w:rPr>
                <w:rFonts w:hint="eastAsia"/>
                <w:color w:val="auto"/>
              </w:rPr>
            </w:pPr>
            <w:r>
              <w:rPr>
                <w:rFonts w:hint="eastAsia"/>
                <w:color w:val="auto"/>
                <w:lang w:val="en-US" w:eastAsia="zh-CN"/>
              </w:rPr>
              <w:t>7</w:t>
            </w:r>
          </w:p>
        </w:tc>
        <w:tc>
          <w:tcPr>
            <w:tcW w:w="1920" w:type="dxa"/>
            <w:tcBorders>
              <w:tl2br w:val="nil"/>
              <w:tr2bl w:val="nil"/>
            </w:tcBorders>
            <w:shd w:val="clear" w:color="auto" w:fill="auto"/>
            <w:vAlign w:val="center"/>
          </w:tcPr>
          <w:p w14:paraId="1DE58EEE">
            <w:pPr>
              <w:pStyle w:val="34"/>
              <w:tabs>
                <w:tab w:val="left" w:pos="1389"/>
              </w:tabs>
              <w:bidi w:val="0"/>
              <w:rPr>
                <w:rFonts w:hint="eastAsia"/>
                <w:color w:val="auto"/>
              </w:rPr>
            </w:pPr>
            <w:r>
              <w:rPr>
                <w:rFonts w:hint="eastAsia"/>
                <w:color w:val="auto"/>
                <w:lang w:val="en-US" w:eastAsia="zh-CN"/>
              </w:rPr>
              <w:t>4.09</w:t>
            </w:r>
          </w:p>
        </w:tc>
      </w:tr>
      <w:tr w14:paraId="320A158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286" w:type="dxa"/>
            <w:tcBorders>
              <w:tl2br w:val="nil"/>
              <w:tr2bl w:val="nil"/>
            </w:tcBorders>
            <w:shd w:val="clear" w:color="auto" w:fill="auto"/>
            <w:vAlign w:val="center"/>
          </w:tcPr>
          <w:p w14:paraId="11ECD174">
            <w:pPr>
              <w:pStyle w:val="34"/>
              <w:tabs>
                <w:tab w:val="left" w:pos="1389"/>
              </w:tabs>
              <w:bidi w:val="0"/>
              <w:rPr>
                <w:rFonts w:hint="eastAsia"/>
                <w:color w:val="auto"/>
              </w:rPr>
            </w:pPr>
            <w:r>
              <w:rPr>
                <w:rFonts w:hint="eastAsia"/>
                <w:color w:val="auto"/>
                <w:lang w:val="en-US" w:eastAsia="zh-CN"/>
              </w:rPr>
              <w:t>10-1.地中海区、西亚（或中亚)和东亚间断分布</w:t>
            </w:r>
          </w:p>
        </w:tc>
        <w:tc>
          <w:tcPr>
            <w:tcW w:w="1553" w:type="dxa"/>
            <w:tcBorders>
              <w:tl2br w:val="nil"/>
              <w:tr2bl w:val="nil"/>
            </w:tcBorders>
            <w:shd w:val="clear" w:color="auto" w:fill="auto"/>
            <w:vAlign w:val="center"/>
          </w:tcPr>
          <w:p w14:paraId="23431950">
            <w:pPr>
              <w:pStyle w:val="34"/>
              <w:tabs>
                <w:tab w:val="left" w:pos="1389"/>
              </w:tabs>
              <w:bidi w:val="0"/>
              <w:rPr>
                <w:rFonts w:hint="eastAsia"/>
                <w:color w:val="auto"/>
              </w:rPr>
            </w:pPr>
            <w:r>
              <w:rPr>
                <w:rFonts w:hint="eastAsia"/>
                <w:color w:val="auto"/>
                <w:lang w:val="en-US" w:eastAsia="zh-CN"/>
              </w:rPr>
              <w:t>4</w:t>
            </w:r>
          </w:p>
        </w:tc>
        <w:tc>
          <w:tcPr>
            <w:tcW w:w="1920" w:type="dxa"/>
            <w:tcBorders>
              <w:tl2br w:val="nil"/>
              <w:tr2bl w:val="nil"/>
            </w:tcBorders>
            <w:shd w:val="clear" w:color="auto" w:fill="auto"/>
            <w:vAlign w:val="center"/>
          </w:tcPr>
          <w:p w14:paraId="135B9416">
            <w:pPr>
              <w:pStyle w:val="34"/>
              <w:tabs>
                <w:tab w:val="left" w:pos="1389"/>
              </w:tabs>
              <w:bidi w:val="0"/>
              <w:rPr>
                <w:rFonts w:hint="eastAsia"/>
                <w:color w:val="auto"/>
              </w:rPr>
            </w:pPr>
            <w:r>
              <w:rPr>
                <w:rFonts w:hint="eastAsia"/>
                <w:color w:val="auto"/>
                <w:lang w:val="en-US" w:eastAsia="zh-CN"/>
              </w:rPr>
              <w:t>2.34</w:t>
            </w:r>
          </w:p>
        </w:tc>
      </w:tr>
      <w:tr w14:paraId="33D919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7DA819A4">
            <w:pPr>
              <w:pStyle w:val="34"/>
              <w:tabs>
                <w:tab w:val="left" w:pos="1389"/>
              </w:tabs>
              <w:bidi w:val="0"/>
              <w:rPr>
                <w:rFonts w:hint="eastAsia"/>
                <w:color w:val="auto"/>
              </w:rPr>
            </w:pPr>
            <w:r>
              <w:rPr>
                <w:rFonts w:hint="eastAsia"/>
                <w:color w:val="auto"/>
                <w:lang w:val="en-US" w:eastAsia="zh-CN"/>
              </w:rPr>
              <w:t>10-2.地中海区和喜马拉雅间断分布</w:t>
            </w:r>
          </w:p>
        </w:tc>
        <w:tc>
          <w:tcPr>
            <w:tcW w:w="1553" w:type="dxa"/>
            <w:tcBorders>
              <w:tl2br w:val="nil"/>
              <w:tr2bl w:val="nil"/>
            </w:tcBorders>
            <w:shd w:val="clear" w:color="auto" w:fill="auto"/>
            <w:vAlign w:val="center"/>
          </w:tcPr>
          <w:p w14:paraId="3EAAB132">
            <w:pPr>
              <w:pStyle w:val="34"/>
              <w:tabs>
                <w:tab w:val="left" w:pos="1389"/>
              </w:tabs>
              <w:bidi w:val="0"/>
              <w:rPr>
                <w:rFonts w:hint="eastAsia"/>
                <w:color w:val="auto"/>
              </w:rPr>
            </w:pPr>
            <w:r>
              <w:rPr>
                <w:rFonts w:hint="eastAsia"/>
                <w:color w:val="auto"/>
                <w:lang w:val="en-US" w:eastAsia="zh-CN"/>
              </w:rPr>
              <w:t>3</w:t>
            </w:r>
          </w:p>
        </w:tc>
        <w:tc>
          <w:tcPr>
            <w:tcW w:w="1920" w:type="dxa"/>
            <w:tcBorders>
              <w:tl2br w:val="nil"/>
              <w:tr2bl w:val="nil"/>
            </w:tcBorders>
            <w:shd w:val="clear" w:color="auto" w:fill="auto"/>
            <w:vAlign w:val="center"/>
          </w:tcPr>
          <w:p w14:paraId="22D5E4A8">
            <w:pPr>
              <w:pStyle w:val="34"/>
              <w:tabs>
                <w:tab w:val="left" w:pos="1389"/>
              </w:tabs>
              <w:bidi w:val="0"/>
              <w:rPr>
                <w:rFonts w:hint="eastAsia"/>
                <w:color w:val="auto"/>
              </w:rPr>
            </w:pPr>
            <w:r>
              <w:rPr>
                <w:rFonts w:hint="eastAsia"/>
                <w:color w:val="auto"/>
                <w:lang w:val="en-US" w:eastAsia="zh-CN"/>
              </w:rPr>
              <w:t>1.75</w:t>
            </w:r>
          </w:p>
        </w:tc>
      </w:tr>
      <w:tr w14:paraId="03E2F3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286" w:type="dxa"/>
            <w:tcBorders>
              <w:tl2br w:val="nil"/>
              <w:tr2bl w:val="nil"/>
            </w:tcBorders>
            <w:shd w:val="clear" w:color="auto" w:fill="auto"/>
            <w:vAlign w:val="center"/>
          </w:tcPr>
          <w:p w14:paraId="694FE901">
            <w:pPr>
              <w:pStyle w:val="34"/>
              <w:tabs>
                <w:tab w:val="left" w:pos="1389"/>
              </w:tabs>
              <w:bidi w:val="0"/>
              <w:rPr>
                <w:rFonts w:hint="eastAsia"/>
                <w:color w:val="auto"/>
              </w:rPr>
            </w:pPr>
            <w:r>
              <w:rPr>
                <w:rFonts w:hint="eastAsia"/>
                <w:color w:val="auto"/>
                <w:lang w:val="en-US" w:eastAsia="zh-CN"/>
              </w:rPr>
              <w:t>10-3.欧亚和南部非洲（有时也在大洋洲)间断分布</w:t>
            </w:r>
          </w:p>
        </w:tc>
        <w:tc>
          <w:tcPr>
            <w:tcW w:w="1553" w:type="dxa"/>
            <w:tcBorders>
              <w:tl2br w:val="nil"/>
              <w:tr2bl w:val="nil"/>
            </w:tcBorders>
            <w:shd w:val="clear" w:color="auto" w:fill="auto"/>
            <w:vAlign w:val="center"/>
          </w:tcPr>
          <w:p w14:paraId="39935ECC">
            <w:pPr>
              <w:pStyle w:val="34"/>
              <w:tabs>
                <w:tab w:val="left" w:pos="1389"/>
              </w:tabs>
              <w:bidi w:val="0"/>
              <w:rPr>
                <w:rFonts w:hint="eastAsia"/>
                <w:color w:val="auto"/>
              </w:rPr>
            </w:pPr>
            <w:r>
              <w:rPr>
                <w:rFonts w:hint="eastAsia"/>
                <w:color w:val="auto"/>
                <w:lang w:val="en-US" w:eastAsia="zh-CN"/>
              </w:rPr>
              <w:t>1</w:t>
            </w:r>
          </w:p>
        </w:tc>
        <w:tc>
          <w:tcPr>
            <w:tcW w:w="1920" w:type="dxa"/>
            <w:tcBorders>
              <w:tl2br w:val="nil"/>
              <w:tr2bl w:val="nil"/>
            </w:tcBorders>
            <w:shd w:val="clear" w:color="auto" w:fill="auto"/>
            <w:vAlign w:val="center"/>
          </w:tcPr>
          <w:p w14:paraId="30D90F8A">
            <w:pPr>
              <w:pStyle w:val="34"/>
              <w:tabs>
                <w:tab w:val="left" w:pos="1389"/>
              </w:tabs>
              <w:bidi w:val="0"/>
              <w:rPr>
                <w:rFonts w:hint="eastAsia"/>
                <w:color w:val="auto"/>
              </w:rPr>
            </w:pPr>
            <w:r>
              <w:rPr>
                <w:rFonts w:hint="eastAsia"/>
                <w:color w:val="auto"/>
                <w:lang w:val="en-US" w:eastAsia="zh-CN"/>
              </w:rPr>
              <w:t>0.58</w:t>
            </w:r>
          </w:p>
        </w:tc>
      </w:tr>
      <w:tr w14:paraId="4A0C80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671FA92F">
            <w:pPr>
              <w:pStyle w:val="34"/>
              <w:tabs>
                <w:tab w:val="left" w:pos="1389"/>
              </w:tabs>
              <w:bidi w:val="0"/>
              <w:rPr>
                <w:rFonts w:hint="eastAsia"/>
                <w:color w:val="auto"/>
              </w:rPr>
            </w:pPr>
            <w:r>
              <w:rPr>
                <w:rFonts w:hint="eastAsia"/>
                <w:color w:val="auto"/>
                <w:lang w:val="en-US" w:eastAsia="zh-CN"/>
              </w:rPr>
              <w:t>11.温带亚洲分布</w:t>
            </w:r>
          </w:p>
        </w:tc>
        <w:tc>
          <w:tcPr>
            <w:tcW w:w="1553" w:type="dxa"/>
            <w:tcBorders>
              <w:tl2br w:val="nil"/>
              <w:tr2bl w:val="nil"/>
            </w:tcBorders>
            <w:shd w:val="clear" w:color="auto" w:fill="auto"/>
            <w:vAlign w:val="center"/>
          </w:tcPr>
          <w:p w14:paraId="0143FC7A">
            <w:pPr>
              <w:pStyle w:val="34"/>
              <w:tabs>
                <w:tab w:val="left" w:pos="1389"/>
              </w:tabs>
              <w:bidi w:val="0"/>
              <w:rPr>
                <w:rFonts w:hint="eastAsia"/>
                <w:color w:val="auto"/>
              </w:rPr>
            </w:pPr>
            <w:r>
              <w:rPr>
                <w:rFonts w:hint="eastAsia"/>
                <w:color w:val="auto"/>
                <w:lang w:val="en-US" w:eastAsia="zh-CN"/>
              </w:rPr>
              <w:t>2</w:t>
            </w:r>
          </w:p>
        </w:tc>
        <w:tc>
          <w:tcPr>
            <w:tcW w:w="1920" w:type="dxa"/>
            <w:tcBorders>
              <w:tl2br w:val="nil"/>
              <w:tr2bl w:val="nil"/>
            </w:tcBorders>
            <w:shd w:val="clear" w:color="auto" w:fill="auto"/>
            <w:vAlign w:val="center"/>
          </w:tcPr>
          <w:p w14:paraId="529D848F">
            <w:pPr>
              <w:pStyle w:val="34"/>
              <w:tabs>
                <w:tab w:val="left" w:pos="1389"/>
              </w:tabs>
              <w:bidi w:val="0"/>
              <w:rPr>
                <w:rFonts w:hint="eastAsia"/>
                <w:color w:val="auto"/>
              </w:rPr>
            </w:pPr>
            <w:r>
              <w:rPr>
                <w:rFonts w:hint="eastAsia"/>
                <w:color w:val="auto"/>
                <w:lang w:val="en-US" w:eastAsia="zh-CN"/>
              </w:rPr>
              <w:t>1.17</w:t>
            </w:r>
          </w:p>
        </w:tc>
      </w:tr>
      <w:tr w14:paraId="30B0326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5286" w:type="dxa"/>
            <w:tcBorders>
              <w:tl2br w:val="nil"/>
              <w:tr2bl w:val="nil"/>
            </w:tcBorders>
            <w:shd w:val="clear" w:color="auto" w:fill="auto"/>
            <w:vAlign w:val="center"/>
          </w:tcPr>
          <w:p w14:paraId="321EECAD">
            <w:pPr>
              <w:pStyle w:val="34"/>
              <w:tabs>
                <w:tab w:val="left" w:pos="1389"/>
              </w:tabs>
              <w:bidi w:val="0"/>
              <w:rPr>
                <w:rFonts w:hint="eastAsia"/>
                <w:color w:val="auto"/>
              </w:rPr>
            </w:pPr>
            <w:r>
              <w:rPr>
                <w:rFonts w:hint="eastAsia"/>
                <w:color w:val="auto"/>
                <w:lang w:val="en-US" w:eastAsia="zh-CN"/>
              </w:rPr>
              <w:t>12-3.地中海区至温带、热带亚洲，大洋洲和南美洲间断分布</w:t>
            </w:r>
          </w:p>
        </w:tc>
        <w:tc>
          <w:tcPr>
            <w:tcW w:w="1553" w:type="dxa"/>
            <w:tcBorders>
              <w:tl2br w:val="nil"/>
              <w:tr2bl w:val="nil"/>
            </w:tcBorders>
            <w:shd w:val="clear" w:color="auto" w:fill="auto"/>
            <w:vAlign w:val="center"/>
          </w:tcPr>
          <w:p w14:paraId="6186933D">
            <w:pPr>
              <w:pStyle w:val="34"/>
              <w:tabs>
                <w:tab w:val="left" w:pos="1389"/>
              </w:tabs>
              <w:bidi w:val="0"/>
              <w:rPr>
                <w:rFonts w:hint="eastAsia"/>
                <w:color w:val="auto"/>
              </w:rPr>
            </w:pPr>
            <w:r>
              <w:rPr>
                <w:rFonts w:hint="eastAsia"/>
                <w:color w:val="auto"/>
                <w:lang w:val="en-US" w:eastAsia="zh-CN"/>
              </w:rPr>
              <w:t>4</w:t>
            </w:r>
          </w:p>
        </w:tc>
        <w:tc>
          <w:tcPr>
            <w:tcW w:w="1920" w:type="dxa"/>
            <w:tcBorders>
              <w:tl2br w:val="nil"/>
              <w:tr2bl w:val="nil"/>
            </w:tcBorders>
            <w:shd w:val="clear" w:color="auto" w:fill="auto"/>
            <w:vAlign w:val="center"/>
          </w:tcPr>
          <w:p w14:paraId="2AA92B1A">
            <w:pPr>
              <w:pStyle w:val="34"/>
              <w:tabs>
                <w:tab w:val="left" w:pos="1389"/>
              </w:tabs>
              <w:bidi w:val="0"/>
              <w:rPr>
                <w:rFonts w:hint="eastAsia"/>
                <w:color w:val="auto"/>
              </w:rPr>
            </w:pPr>
            <w:r>
              <w:rPr>
                <w:rFonts w:hint="eastAsia"/>
                <w:color w:val="auto"/>
                <w:lang w:val="en-US" w:eastAsia="zh-CN"/>
              </w:rPr>
              <w:t>2.34</w:t>
            </w:r>
          </w:p>
        </w:tc>
      </w:tr>
      <w:tr w14:paraId="5E8EED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0666640C">
            <w:pPr>
              <w:pStyle w:val="34"/>
              <w:tabs>
                <w:tab w:val="left" w:pos="1389"/>
              </w:tabs>
              <w:bidi w:val="0"/>
              <w:rPr>
                <w:rFonts w:hint="eastAsia"/>
                <w:color w:val="auto"/>
              </w:rPr>
            </w:pPr>
            <w:r>
              <w:rPr>
                <w:rFonts w:hint="eastAsia"/>
                <w:color w:val="auto"/>
                <w:lang w:val="en-US" w:eastAsia="zh-CN"/>
              </w:rPr>
              <w:t>14.东亚（东喜马拉雅－日本)分布</w:t>
            </w:r>
          </w:p>
        </w:tc>
        <w:tc>
          <w:tcPr>
            <w:tcW w:w="1553" w:type="dxa"/>
            <w:tcBorders>
              <w:tl2br w:val="nil"/>
              <w:tr2bl w:val="nil"/>
            </w:tcBorders>
            <w:shd w:val="clear" w:color="auto" w:fill="auto"/>
            <w:vAlign w:val="center"/>
          </w:tcPr>
          <w:p w14:paraId="7CA8F028">
            <w:pPr>
              <w:pStyle w:val="34"/>
              <w:tabs>
                <w:tab w:val="left" w:pos="1389"/>
              </w:tabs>
              <w:bidi w:val="0"/>
              <w:rPr>
                <w:rFonts w:hint="eastAsia"/>
                <w:color w:val="auto"/>
              </w:rPr>
            </w:pPr>
            <w:r>
              <w:rPr>
                <w:rFonts w:hint="eastAsia"/>
                <w:color w:val="auto"/>
                <w:lang w:val="en-US" w:eastAsia="zh-CN"/>
              </w:rPr>
              <w:t>7</w:t>
            </w:r>
          </w:p>
        </w:tc>
        <w:tc>
          <w:tcPr>
            <w:tcW w:w="1920" w:type="dxa"/>
            <w:tcBorders>
              <w:tl2br w:val="nil"/>
              <w:tr2bl w:val="nil"/>
            </w:tcBorders>
            <w:shd w:val="clear" w:color="auto" w:fill="auto"/>
            <w:vAlign w:val="center"/>
          </w:tcPr>
          <w:p w14:paraId="2B6F60C9">
            <w:pPr>
              <w:pStyle w:val="34"/>
              <w:tabs>
                <w:tab w:val="left" w:pos="1389"/>
              </w:tabs>
              <w:bidi w:val="0"/>
              <w:rPr>
                <w:rFonts w:hint="eastAsia"/>
                <w:color w:val="auto"/>
              </w:rPr>
            </w:pPr>
            <w:r>
              <w:rPr>
                <w:rFonts w:hint="eastAsia"/>
                <w:color w:val="auto"/>
                <w:lang w:val="en-US" w:eastAsia="zh-CN"/>
              </w:rPr>
              <w:t>4.09</w:t>
            </w:r>
          </w:p>
        </w:tc>
      </w:tr>
      <w:tr w14:paraId="2126DD9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1AA752BA">
            <w:pPr>
              <w:pStyle w:val="34"/>
              <w:tabs>
                <w:tab w:val="left" w:pos="1389"/>
              </w:tabs>
              <w:bidi w:val="0"/>
              <w:rPr>
                <w:rFonts w:hint="eastAsia"/>
                <w:color w:val="auto"/>
              </w:rPr>
            </w:pPr>
            <w:r>
              <w:rPr>
                <w:rFonts w:hint="eastAsia"/>
                <w:color w:val="auto"/>
                <w:lang w:val="en-US" w:eastAsia="zh-CN"/>
              </w:rPr>
              <w:t>14-1.中国-喜马拉雅（SH)分布</w:t>
            </w:r>
          </w:p>
        </w:tc>
        <w:tc>
          <w:tcPr>
            <w:tcW w:w="1553" w:type="dxa"/>
            <w:tcBorders>
              <w:tl2br w:val="nil"/>
              <w:tr2bl w:val="nil"/>
            </w:tcBorders>
            <w:shd w:val="clear" w:color="auto" w:fill="auto"/>
            <w:vAlign w:val="center"/>
          </w:tcPr>
          <w:p w14:paraId="2BF1C4D8">
            <w:pPr>
              <w:pStyle w:val="34"/>
              <w:tabs>
                <w:tab w:val="left" w:pos="1389"/>
              </w:tabs>
              <w:bidi w:val="0"/>
              <w:rPr>
                <w:rFonts w:hint="eastAsia"/>
                <w:color w:val="auto"/>
              </w:rPr>
            </w:pPr>
            <w:r>
              <w:rPr>
                <w:rFonts w:hint="eastAsia"/>
                <w:color w:val="auto"/>
                <w:lang w:val="en-US" w:eastAsia="zh-CN"/>
              </w:rPr>
              <w:t>8</w:t>
            </w:r>
          </w:p>
        </w:tc>
        <w:tc>
          <w:tcPr>
            <w:tcW w:w="1920" w:type="dxa"/>
            <w:tcBorders>
              <w:tl2br w:val="nil"/>
              <w:tr2bl w:val="nil"/>
            </w:tcBorders>
            <w:shd w:val="clear" w:color="auto" w:fill="auto"/>
            <w:vAlign w:val="center"/>
          </w:tcPr>
          <w:p w14:paraId="24DF6F3A">
            <w:pPr>
              <w:pStyle w:val="34"/>
              <w:tabs>
                <w:tab w:val="left" w:pos="1389"/>
              </w:tabs>
              <w:bidi w:val="0"/>
              <w:rPr>
                <w:rFonts w:hint="eastAsia"/>
                <w:color w:val="auto"/>
              </w:rPr>
            </w:pPr>
            <w:r>
              <w:rPr>
                <w:rFonts w:hint="eastAsia"/>
                <w:color w:val="auto"/>
                <w:lang w:val="en-US" w:eastAsia="zh-CN"/>
              </w:rPr>
              <w:t>4.68</w:t>
            </w:r>
          </w:p>
        </w:tc>
      </w:tr>
      <w:tr w14:paraId="6F08AE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2AAAD9F0">
            <w:pPr>
              <w:pStyle w:val="34"/>
              <w:tabs>
                <w:tab w:val="left" w:pos="1389"/>
              </w:tabs>
              <w:bidi w:val="0"/>
              <w:rPr>
                <w:rFonts w:hint="eastAsia"/>
                <w:color w:val="auto"/>
              </w:rPr>
            </w:pPr>
            <w:r>
              <w:rPr>
                <w:rFonts w:hint="eastAsia"/>
                <w:color w:val="auto"/>
                <w:lang w:val="en-US" w:eastAsia="zh-CN"/>
              </w:rPr>
              <w:t>14-2.中国－日本（SJ)分布</w:t>
            </w:r>
          </w:p>
        </w:tc>
        <w:tc>
          <w:tcPr>
            <w:tcW w:w="1553" w:type="dxa"/>
            <w:tcBorders>
              <w:tl2br w:val="nil"/>
              <w:tr2bl w:val="nil"/>
            </w:tcBorders>
            <w:shd w:val="clear" w:color="auto" w:fill="auto"/>
            <w:vAlign w:val="center"/>
          </w:tcPr>
          <w:p w14:paraId="5F0E8811">
            <w:pPr>
              <w:pStyle w:val="34"/>
              <w:tabs>
                <w:tab w:val="left" w:pos="1389"/>
              </w:tabs>
              <w:bidi w:val="0"/>
              <w:rPr>
                <w:rFonts w:hint="eastAsia"/>
                <w:color w:val="auto"/>
              </w:rPr>
            </w:pPr>
            <w:r>
              <w:rPr>
                <w:rFonts w:hint="eastAsia"/>
                <w:color w:val="auto"/>
                <w:lang w:val="en-US" w:eastAsia="zh-CN"/>
              </w:rPr>
              <w:t>1</w:t>
            </w:r>
          </w:p>
        </w:tc>
        <w:tc>
          <w:tcPr>
            <w:tcW w:w="1920" w:type="dxa"/>
            <w:tcBorders>
              <w:tl2br w:val="nil"/>
              <w:tr2bl w:val="nil"/>
            </w:tcBorders>
            <w:shd w:val="clear" w:color="auto" w:fill="auto"/>
            <w:vAlign w:val="center"/>
          </w:tcPr>
          <w:p w14:paraId="5BD59BBD">
            <w:pPr>
              <w:pStyle w:val="34"/>
              <w:tabs>
                <w:tab w:val="left" w:pos="1389"/>
              </w:tabs>
              <w:bidi w:val="0"/>
              <w:rPr>
                <w:rFonts w:hint="eastAsia"/>
                <w:color w:val="auto"/>
              </w:rPr>
            </w:pPr>
            <w:r>
              <w:rPr>
                <w:rFonts w:hint="eastAsia"/>
                <w:color w:val="auto"/>
                <w:lang w:val="en-US" w:eastAsia="zh-CN"/>
              </w:rPr>
              <w:t>0.58</w:t>
            </w:r>
          </w:p>
        </w:tc>
      </w:tr>
      <w:tr w14:paraId="553BC7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5286" w:type="dxa"/>
            <w:tcBorders>
              <w:tl2br w:val="nil"/>
              <w:tr2bl w:val="nil"/>
            </w:tcBorders>
            <w:shd w:val="clear" w:color="auto" w:fill="auto"/>
            <w:vAlign w:val="center"/>
          </w:tcPr>
          <w:p w14:paraId="48115DFE">
            <w:pPr>
              <w:pStyle w:val="34"/>
              <w:tabs>
                <w:tab w:val="left" w:pos="1389"/>
              </w:tabs>
              <w:bidi w:val="0"/>
              <w:rPr>
                <w:rFonts w:hint="eastAsia"/>
                <w:color w:val="auto"/>
              </w:rPr>
            </w:pPr>
            <w:r>
              <w:rPr>
                <w:rFonts w:hint="eastAsia"/>
                <w:color w:val="auto"/>
                <w:lang w:val="en-US" w:eastAsia="zh-CN"/>
              </w:rPr>
              <w:t>温带属合计（类型8~14)</w:t>
            </w:r>
          </w:p>
        </w:tc>
        <w:tc>
          <w:tcPr>
            <w:tcW w:w="1553" w:type="dxa"/>
            <w:tcBorders>
              <w:tl2br w:val="nil"/>
              <w:tr2bl w:val="nil"/>
            </w:tcBorders>
            <w:shd w:val="clear" w:color="auto" w:fill="auto"/>
            <w:vAlign w:val="center"/>
          </w:tcPr>
          <w:p w14:paraId="516CBB34">
            <w:pPr>
              <w:pStyle w:val="34"/>
              <w:tabs>
                <w:tab w:val="left" w:pos="1389"/>
              </w:tabs>
              <w:bidi w:val="0"/>
              <w:rPr>
                <w:rFonts w:hint="eastAsia"/>
                <w:color w:val="auto"/>
              </w:rPr>
            </w:pPr>
            <w:r>
              <w:rPr>
                <w:rFonts w:hint="eastAsia"/>
                <w:color w:val="auto"/>
                <w:lang w:val="en-US" w:eastAsia="zh-CN"/>
              </w:rPr>
              <w:t>93</w:t>
            </w:r>
          </w:p>
        </w:tc>
        <w:tc>
          <w:tcPr>
            <w:tcW w:w="1920" w:type="dxa"/>
            <w:tcBorders>
              <w:tl2br w:val="nil"/>
              <w:tr2bl w:val="nil"/>
            </w:tcBorders>
            <w:shd w:val="clear" w:color="auto" w:fill="auto"/>
            <w:vAlign w:val="center"/>
          </w:tcPr>
          <w:p w14:paraId="581CE698">
            <w:pPr>
              <w:pStyle w:val="34"/>
              <w:tabs>
                <w:tab w:val="left" w:pos="1389"/>
              </w:tabs>
              <w:bidi w:val="0"/>
              <w:rPr>
                <w:rFonts w:hint="eastAsia"/>
                <w:color w:val="auto"/>
              </w:rPr>
            </w:pPr>
            <w:r>
              <w:rPr>
                <w:rFonts w:hint="eastAsia"/>
                <w:color w:val="auto"/>
                <w:lang w:val="en-US" w:eastAsia="zh-CN"/>
              </w:rPr>
              <w:t>54.39</w:t>
            </w:r>
          </w:p>
        </w:tc>
      </w:tr>
      <w:tr w14:paraId="4828E6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5286" w:type="dxa"/>
            <w:tcBorders>
              <w:tl2br w:val="nil"/>
              <w:tr2bl w:val="nil"/>
            </w:tcBorders>
            <w:shd w:val="clear" w:color="auto" w:fill="auto"/>
            <w:vAlign w:val="center"/>
          </w:tcPr>
          <w:p w14:paraId="1C017456">
            <w:pPr>
              <w:pStyle w:val="34"/>
              <w:tabs>
                <w:tab w:val="left" w:pos="1389"/>
              </w:tabs>
              <w:bidi w:val="0"/>
              <w:rPr>
                <w:rFonts w:hint="eastAsia"/>
                <w:color w:val="auto"/>
              </w:rPr>
            </w:pPr>
            <w:r>
              <w:rPr>
                <w:rFonts w:hint="eastAsia"/>
                <w:color w:val="auto"/>
                <w:lang w:val="en-US" w:eastAsia="zh-CN"/>
              </w:rPr>
              <w:t>合计</w:t>
            </w:r>
          </w:p>
        </w:tc>
        <w:tc>
          <w:tcPr>
            <w:tcW w:w="1553" w:type="dxa"/>
            <w:tcBorders>
              <w:tl2br w:val="nil"/>
              <w:tr2bl w:val="nil"/>
            </w:tcBorders>
            <w:shd w:val="clear" w:color="auto" w:fill="auto"/>
            <w:vAlign w:val="center"/>
          </w:tcPr>
          <w:p w14:paraId="15F99844">
            <w:pPr>
              <w:pStyle w:val="34"/>
              <w:tabs>
                <w:tab w:val="left" w:pos="1389"/>
              </w:tabs>
              <w:bidi w:val="0"/>
              <w:rPr>
                <w:rFonts w:hint="eastAsia"/>
                <w:color w:val="auto"/>
              </w:rPr>
            </w:pPr>
            <w:r>
              <w:rPr>
                <w:rFonts w:hint="eastAsia"/>
                <w:color w:val="auto"/>
                <w:lang w:val="en-US" w:eastAsia="zh-CN"/>
              </w:rPr>
              <w:t>171</w:t>
            </w:r>
          </w:p>
        </w:tc>
        <w:tc>
          <w:tcPr>
            <w:tcW w:w="1920" w:type="dxa"/>
            <w:tcBorders>
              <w:tl2br w:val="nil"/>
              <w:tr2bl w:val="nil"/>
            </w:tcBorders>
            <w:shd w:val="clear" w:color="auto" w:fill="auto"/>
            <w:vAlign w:val="center"/>
          </w:tcPr>
          <w:p w14:paraId="660463B7">
            <w:pPr>
              <w:pStyle w:val="34"/>
              <w:tabs>
                <w:tab w:val="left" w:pos="1389"/>
              </w:tabs>
              <w:bidi w:val="0"/>
              <w:rPr>
                <w:rFonts w:hint="eastAsia"/>
                <w:color w:val="auto"/>
              </w:rPr>
            </w:pPr>
            <w:r>
              <w:rPr>
                <w:rFonts w:hint="eastAsia"/>
                <w:color w:val="auto"/>
                <w:lang w:val="en-US" w:eastAsia="zh-CN"/>
              </w:rPr>
              <w:t>100.00</w:t>
            </w:r>
          </w:p>
        </w:tc>
      </w:tr>
    </w:tbl>
    <w:p w14:paraId="4577CF35">
      <w:pPr>
        <w:autoSpaceDE w:val="0"/>
        <w:autoSpaceDN w:val="0"/>
        <w:adjustRightInd w:val="0"/>
        <w:spacing w:line="360" w:lineRule="auto"/>
        <w:ind w:firstLine="480" w:firstLineChars="200"/>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lang w:val="en-US" w:eastAsia="zh-CN"/>
        </w:rPr>
        <w:t>项目评价区整体海拔跨度不大，生境差异性不显著，植被垂直分布带谱上看极高点和极低点之间植被类型并无明显差异。评价区内世界分布、外来物种引种及栽培植物的种类较多。这是由于当地经济开发历史久远、人口密集，尤其是近年来当地经济开发迅猛，人类活动对植被和环境破坏很大，当地生长的植物区系已经受到较为严重的人为干扰，导致区内分布的维管束植物种类丰富程度不高。</w:t>
      </w:r>
    </w:p>
    <w:p w14:paraId="18F0BB58">
      <w:pPr>
        <w:pStyle w:val="4"/>
        <w:bidi w:val="0"/>
        <w:rPr>
          <w:rFonts w:hint="eastAsia"/>
          <w:color w:val="auto"/>
          <w:highlight w:val="none"/>
          <w:lang w:val="en-US" w:eastAsia="zh-CN"/>
        </w:rPr>
      </w:pPr>
      <w:r>
        <w:rPr>
          <w:rFonts w:hint="eastAsia"/>
          <w:color w:val="auto"/>
          <w:highlight w:val="none"/>
          <w:lang w:val="en-US" w:eastAsia="zh-CN"/>
        </w:rPr>
        <w:t>2.2.5保护植物</w:t>
      </w:r>
    </w:p>
    <w:p w14:paraId="529F9ECC">
      <w:pPr>
        <w:widowControl/>
        <w:adjustRightInd w:val="0"/>
        <w:spacing w:line="360" w:lineRule="auto"/>
        <w:ind w:firstLine="464" w:firstLineChars="200"/>
        <w:textAlignment w:val="baseline"/>
        <w:rPr>
          <w:rFonts w:hint="eastAsia"/>
          <w:color w:val="auto"/>
          <w:spacing w:val="-4"/>
          <w:sz w:val="24"/>
          <w:highlight w:val="none"/>
          <w:lang w:val="en-US" w:eastAsia="zh-CN"/>
        </w:rPr>
      </w:pPr>
      <w:r>
        <w:rPr>
          <w:rFonts w:hint="eastAsia"/>
          <w:color w:val="auto"/>
          <w:spacing w:val="-4"/>
          <w:sz w:val="24"/>
          <w:highlight w:val="none"/>
          <w:lang w:val="en-US" w:eastAsia="zh-CN"/>
        </w:rPr>
        <w:t>（1）重点保护野生植物</w:t>
      </w:r>
    </w:p>
    <w:p w14:paraId="4648FFEA">
      <w:pPr>
        <w:autoSpaceDE w:val="0"/>
        <w:autoSpaceDN w:val="0"/>
        <w:adjustRightInd w:val="0"/>
        <w:spacing w:line="360" w:lineRule="auto"/>
        <w:ind w:firstLine="480" w:firstLineChars="200"/>
        <w:rPr>
          <w:rFonts w:hint="default"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通过对评价区植物进行现场调查，评价区内未发现《国家重点保护野生植物名录》（</w:t>
      </w:r>
      <w:r>
        <w:rPr>
          <w:rFonts w:hint="default" w:ascii="Times New Roman" w:hAnsi="Times New Roman" w:eastAsia="宋体" w:cs="Times New Roman"/>
          <w:color w:val="auto"/>
          <w:sz w:val="24"/>
          <w:highlight w:val="none"/>
          <w:lang w:val="en-US" w:eastAsia="zh-CN"/>
        </w:rPr>
        <w:t>2021</w:t>
      </w:r>
      <w:r>
        <w:rPr>
          <w:rFonts w:hint="eastAsia" w:ascii="Times New Roman" w:hAnsi="Times New Roman" w:eastAsia="宋体" w:cs="Times New Roman"/>
          <w:color w:val="auto"/>
          <w:sz w:val="24"/>
          <w:highlight w:val="none"/>
          <w:lang w:val="en-US" w:eastAsia="zh-CN"/>
        </w:rPr>
        <w:t>年）、《云南省重点保护野生植物名录》（</w:t>
      </w:r>
      <w:r>
        <w:rPr>
          <w:rFonts w:hint="default" w:ascii="Times New Roman" w:hAnsi="Times New Roman" w:eastAsia="宋体" w:cs="Times New Roman"/>
          <w:color w:val="auto"/>
          <w:sz w:val="24"/>
          <w:highlight w:val="none"/>
          <w:lang w:val="en-US" w:eastAsia="zh-CN"/>
        </w:rPr>
        <w:t>2023</w:t>
      </w:r>
      <w:r>
        <w:rPr>
          <w:rFonts w:hint="eastAsia" w:ascii="Times New Roman" w:hAnsi="Times New Roman" w:eastAsia="宋体" w:cs="Times New Roman"/>
          <w:color w:val="auto"/>
          <w:sz w:val="24"/>
          <w:highlight w:val="none"/>
          <w:lang w:val="en-US" w:eastAsia="zh-CN"/>
        </w:rPr>
        <w:t>年）记载的重点野生保护植物。</w:t>
      </w:r>
    </w:p>
    <w:p w14:paraId="77B9DBD0">
      <w:pPr>
        <w:widowControl/>
        <w:adjustRightInd w:val="0"/>
        <w:spacing w:line="360" w:lineRule="auto"/>
        <w:ind w:firstLine="464" w:firstLineChars="200"/>
        <w:textAlignment w:val="baseline"/>
        <w:rPr>
          <w:rFonts w:hint="default" w:ascii="Times New Roman" w:hAnsi="Times New Roman" w:eastAsia="宋体" w:cs="Times New Roman"/>
          <w:color w:val="auto"/>
          <w:spacing w:val="-4"/>
          <w:sz w:val="24"/>
          <w:highlight w:val="none"/>
          <w:lang w:val="en-US" w:eastAsia="zh-CN"/>
        </w:rPr>
      </w:pPr>
      <w:r>
        <w:rPr>
          <w:rFonts w:hint="eastAsia" w:ascii="Times New Roman" w:hAnsi="Times New Roman" w:eastAsia="宋体" w:cs="Times New Roman"/>
          <w:color w:val="auto"/>
          <w:spacing w:val="-4"/>
          <w:sz w:val="24"/>
          <w:highlight w:val="none"/>
          <w:lang w:val="en-US" w:eastAsia="zh-CN"/>
        </w:rPr>
        <w:t>（2）受威胁物种</w:t>
      </w:r>
    </w:p>
    <w:p w14:paraId="44563F54">
      <w:pPr>
        <w:pStyle w:val="41"/>
        <w:bidi w:val="0"/>
        <w:rPr>
          <w:rFonts w:hint="eastAsia" w:ascii="Times New Roman" w:hAnsi="Times New Roman" w:eastAsia="宋体" w:cs="Times New Roman"/>
          <w:color w:val="auto"/>
          <w:kern w:val="0"/>
          <w:szCs w:val="24"/>
          <w:highlight w:val="none"/>
          <w:lang w:val="en-US" w:eastAsia="zh-CN"/>
        </w:rPr>
      </w:pPr>
      <w:r>
        <w:rPr>
          <w:rFonts w:hint="eastAsia"/>
          <w:color w:val="auto"/>
          <w:lang w:val="en-US" w:eastAsia="zh-CN"/>
        </w:rPr>
        <w:t>对照《中国生物多样性红色名录——高等植物卷》（2020），评价区未调查到极危、濒危、易危等受威胁的物种。</w:t>
      </w:r>
    </w:p>
    <w:p w14:paraId="3B0B584A">
      <w:pPr>
        <w:widowControl/>
        <w:adjustRightInd w:val="0"/>
        <w:spacing w:line="360" w:lineRule="auto"/>
        <w:ind w:firstLine="464" w:firstLineChars="200"/>
        <w:textAlignment w:val="baseline"/>
        <w:rPr>
          <w:rFonts w:hint="default" w:ascii="Times New Roman" w:hAnsi="Times New Roman" w:eastAsia="宋体" w:cs="Times New Roman"/>
          <w:color w:val="auto"/>
          <w:spacing w:val="-4"/>
          <w:sz w:val="24"/>
          <w:highlight w:val="none"/>
          <w:lang w:val="en-US" w:eastAsia="zh-CN"/>
        </w:rPr>
      </w:pPr>
      <w:r>
        <w:rPr>
          <w:rFonts w:hint="eastAsia" w:ascii="Times New Roman" w:hAnsi="Times New Roman" w:eastAsia="宋体" w:cs="Times New Roman"/>
          <w:color w:val="auto"/>
          <w:spacing w:val="-4"/>
          <w:sz w:val="24"/>
          <w:highlight w:val="none"/>
          <w:lang w:val="en-US" w:eastAsia="zh-CN"/>
        </w:rPr>
        <w:t>（3）极小种群植物</w:t>
      </w:r>
    </w:p>
    <w:p w14:paraId="545878AE">
      <w:pPr>
        <w:pStyle w:val="41"/>
        <w:bidi w:val="0"/>
        <w:rPr>
          <w:rFonts w:hint="eastAsia"/>
          <w:color w:val="auto"/>
        </w:rPr>
      </w:pPr>
      <w:r>
        <w:rPr>
          <w:rFonts w:hint="eastAsia"/>
          <w:color w:val="auto"/>
        </w:rPr>
        <w:t>依据《云南省极小种群野生植物保护名录（2021年）》及《全国极小种群野生植物拯救保护工程规划（2011—2015年）》，根据已有资料记载，本次调查未见有极小种群物种分布。</w:t>
      </w:r>
    </w:p>
    <w:p w14:paraId="2EE9EB0D">
      <w:pPr>
        <w:pStyle w:val="41"/>
        <w:bidi w:val="0"/>
        <w:rPr>
          <w:rFonts w:hint="eastAsia"/>
          <w:color w:val="auto"/>
          <w:lang w:val="en-US" w:eastAsia="zh-CN"/>
        </w:rPr>
      </w:pPr>
      <w:r>
        <w:rPr>
          <w:rFonts w:hint="eastAsia"/>
          <w:color w:val="auto"/>
          <w:lang w:val="en-US" w:eastAsia="zh-CN"/>
        </w:rPr>
        <w:t>（4）名木古树</w:t>
      </w:r>
    </w:p>
    <w:p w14:paraId="126F8384">
      <w:pPr>
        <w:pStyle w:val="41"/>
        <w:bidi w:val="0"/>
        <w:rPr>
          <w:rFonts w:hint="eastAsia"/>
          <w:color w:val="auto"/>
          <w:lang w:val="en-US" w:eastAsia="zh-CN"/>
        </w:rPr>
      </w:pPr>
      <w:r>
        <w:rPr>
          <w:rFonts w:hint="eastAsia"/>
          <w:color w:val="auto"/>
        </w:rPr>
        <w:t>按照全国绿化委员会、国家林业和草原局文件（全绿字</w:t>
      </w:r>
      <w:r>
        <w:rPr>
          <w:rFonts w:hint="eastAsia"/>
          <w:color w:val="auto"/>
          <w:lang w:eastAsia="zh-CN"/>
        </w:rPr>
        <w:t>〔2001〕15号</w:t>
      </w:r>
      <w:r>
        <w:rPr>
          <w:rFonts w:hint="eastAsia"/>
          <w:color w:val="auto"/>
        </w:rPr>
        <w:t>）对古树名木的界定，古树指树龄在100年以上的树木；名木指在历史上或社会上有重大影响的中外历代名人、领袖人物所植或者具有极其重要的历史、文化价值、纪念意义的树木。古树名木的分级及标准：古树分为国家I、</w:t>
      </w:r>
      <w:r>
        <w:rPr>
          <w:rFonts w:hint="eastAsia"/>
          <w:color w:val="auto"/>
          <w:lang w:eastAsia="zh-CN"/>
        </w:rPr>
        <w:t>Ⅱ</w:t>
      </w:r>
      <w:r>
        <w:rPr>
          <w:rFonts w:hint="eastAsia"/>
          <w:color w:val="auto"/>
        </w:rPr>
        <w:t>、</w:t>
      </w:r>
      <w:r>
        <w:rPr>
          <w:rFonts w:hint="eastAsia"/>
          <w:color w:val="auto"/>
          <w:lang w:eastAsia="zh-CN"/>
        </w:rPr>
        <w:t>Ⅲ级</w:t>
      </w:r>
      <w:r>
        <w:rPr>
          <w:rFonts w:hint="eastAsia"/>
          <w:color w:val="auto"/>
        </w:rPr>
        <w:t>，国家I级古树树龄500年以上，国家</w:t>
      </w:r>
      <w:r>
        <w:rPr>
          <w:rFonts w:hint="eastAsia"/>
          <w:color w:val="auto"/>
          <w:lang w:eastAsia="zh-CN"/>
        </w:rPr>
        <w:t>Ⅱ级</w:t>
      </w:r>
      <w:r>
        <w:rPr>
          <w:rFonts w:hint="eastAsia"/>
          <w:color w:val="auto"/>
        </w:rPr>
        <w:t>古树300</w:t>
      </w:r>
      <w:r>
        <w:rPr>
          <w:rFonts w:hint="eastAsia"/>
          <w:color w:val="auto"/>
          <w:lang w:eastAsia="zh-CN"/>
        </w:rPr>
        <w:t>～</w:t>
      </w:r>
      <w:r>
        <w:rPr>
          <w:rFonts w:hint="eastAsia"/>
          <w:color w:val="auto"/>
        </w:rPr>
        <w:t>499年，国家</w:t>
      </w:r>
      <w:r>
        <w:rPr>
          <w:rFonts w:hint="eastAsia"/>
          <w:color w:val="auto"/>
          <w:lang w:eastAsia="zh-CN"/>
        </w:rPr>
        <w:t>Ⅲ级</w:t>
      </w:r>
      <w:r>
        <w:rPr>
          <w:rFonts w:hint="eastAsia"/>
          <w:color w:val="auto"/>
        </w:rPr>
        <w:t>古树100</w:t>
      </w:r>
      <w:r>
        <w:rPr>
          <w:rFonts w:hint="eastAsia"/>
          <w:color w:val="auto"/>
          <w:lang w:eastAsia="zh-CN"/>
        </w:rPr>
        <w:t>～</w:t>
      </w:r>
      <w:r>
        <w:rPr>
          <w:rFonts w:hint="eastAsia"/>
          <w:color w:val="auto"/>
        </w:rPr>
        <w:t>299年。国家级名木不受年龄限制，不分级。根据以上标准，并参考《云南省古树名木名录》（2022年），通过实地踏查，</w:t>
      </w:r>
      <w:r>
        <w:rPr>
          <w:rFonts w:hint="eastAsia"/>
          <w:color w:val="auto"/>
          <w:lang w:val="en-US" w:eastAsia="zh-CN"/>
        </w:rPr>
        <w:t>评价区未发现挂牌的名木古树</w:t>
      </w:r>
      <w:r>
        <w:rPr>
          <w:rFonts w:hint="eastAsia"/>
          <w:color w:val="auto"/>
        </w:rPr>
        <w:t>。</w:t>
      </w:r>
    </w:p>
    <w:p w14:paraId="054EF702">
      <w:pPr>
        <w:pStyle w:val="41"/>
        <w:bidi w:val="0"/>
        <w:rPr>
          <w:rFonts w:hint="default"/>
          <w:color w:val="auto"/>
          <w:lang w:val="en-US" w:eastAsia="zh-CN"/>
        </w:rPr>
      </w:pPr>
      <w:r>
        <w:rPr>
          <w:rFonts w:hint="eastAsia"/>
          <w:color w:val="auto"/>
          <w:lang w:val="en-US" w:eastAsia="zh-CN"/>
        </w:rPr>
        <w:t>（5）特有种</w:t>
      </w:r>
    </w:p>
    <w:p w14:paraId="1C12B07A">
      <w:pPr>
        <w:pStyle w:val="41"/>
        <w:bidi w:val="0"/>
        <w:rPr>
          <w:rFonts w:hint="default"/>
          <w:color w:val="auto"/>
          <w:lang w:val="en-US" w:eastAsia="zh-CN"/>
        </w:rPr>
      </w:pPr>
      <w:r>
        <w:rPr>
          <w:rFonts w:hint="eastAsia"/>
          <w:color w:val="auto"/>
          <w:lang w:val="en-US" w:eastAsia="zh-CN"/>
        </w:rPr>
        <w:t>1）狭域特有植物</w:t>
      </w:r>
    </w:p>
    <w:p w14:paraId="42A869B8">
      <w:pPr>
        <w:pStyle w:val="41"/>
        <w:bidi w:val="0"/>
        <w:rPr>
          <w:rFonts w:hint="eastAsia"/>
          <w:color w:val="auto"/>
          <w:lang w:val="en-US" w:eastAsia="zh-CN"/>
        </w:rPr>
      </w:pPr>
      <w:r>
        <w:rPr>
          <w:rFonts w:hint="eastAsia"/>
          <w:color w:val="auto"/>
          <w:lang w:val="en-US" w:eastAsia="zh-CN"/>
        </w:rPr>
        <w:t>评价区范围内未调查到狭域特有种分布。</w:t>
      </w:r>
    </w:p>
    <w:p w14:paraId="13FE1FFF">
      <w:pPr>
        <w:pStyle w:val="41"/>
        <w:bidi w:val="0"/>
        <w:rPr>
          <w:rFonts w:hint="eastAsia"/>
          <w:color w:val="auto"/>
          <w:lang w:val="en-US" w:eastAsia="zh-CN"/>
        </w:rPr>
      </w:pPr>
      <w:r>
        <w:rPr>
          <w:rFonts w:hint="eastAsia"/>
          <w:color w:val="auto"/>
          <w:lang w:val="en-US" w:eastAsia="zh-CN"/>
        </w:rPr>
        <w:t>2）云南特有植物</w:t>
      </w:r>
    </w:p>
    <w:p w14:paraId="1D6179FD">
      <w:pPr>
        <w:pStyle w:val="41"/>
        <w:bidi w:val="0"/>
        <w:rPr>
          <w:rFonts w:hint="eastAsia"/>
          <w:color w:val="auto"/>
          <w:lang w:val="en-US" w:eastAsia="zh-CN"/>
        </w:rPr>
      </w:pPr>
      <w:r>
        <w:rPr>
          <w:rFonts w:hint="eastAsia"/>
          <w:color w:val="auto"/>
          <w:lang w:val="en-US" w:eastAsia="zh-CN"/>
        </w:rPr>
        <w:t>评价区内分布1种云南特有植物，小叶栒子</w:t>
      </w:r>
      <w:r>
        <w:rPr>
          <w:i/>
          <w:iCs/>
          <w:color w:val="auto"/>
        </w:rPr>
        <w:t>Cotoneaster</w:t>
      </w:r>
      <w:r>
        <w:rPr>
          <w:rFonts w:hint="eastAsia"/>
          <w:i/>
          <w:iCs/>
          <w:color w:val="auto"/>
          <w:lang w:val="en-US" w:eastAsia="zh-CN"/>
        </w:rPr>
        <w:t xml:space="preserve"> </w:t>
      </w:r>
      <w:r>
        <w:rPr>
          <w:i/>
          <w:iCs/>
          <w:color w:val="auto"/>
        </w:rPr>
        <w:t>microphyllus</w:t>
      </w:r>
      <w:r>
        <w:rPr>
          <w:rFonts w:hint="eastAsia"/>
          <w:color w:val="auto"/>
          <w:lang w:eastAsia="zh-CN"/>
        </w:rPr>
        <w:t>，</w:t>
      </w:r>
      <w:r>
        <w:rPr>
          <w:rFonts w:hint="default"/>
          <w:color w:val="auto"/>
          <w:lang w:val="en-US" w:eastAsia="zh-CN"/>
        </w:rPr>
        <w:t>在评价区</w:t>
      </w:r>
      <w:r>
        <w:rPr>
          <w:rFonts w:hint="eastAsia"/>
          <w:color w:val="auto"/>
          <w:lang w:val="en-US" w:eastAsia="zh-CN"/>
        </w:rPr>
        <w:t>以外</w:t>
      </w:r>
      <w:r>
        <w:rPr>
          <w:rFonts w:hint="default"/>
          <w:color w:val="auto"/>
          <w:lang w:val="en-US" w:eastAsia="zh-CN"/>
        </w:rPr>
        <w:t>区域</w:t>
      </w:r>
      <w:r>
        <w:rPr>
          <w:rFonts w:hint="eastAsia"/>
          <w:color w:val="auto"/>
          <w:lang w:val="en-US" w:eastAsia="zh-CN"/>
        </w:rPr>
        <w:t>还</w:t>
      </w:r>
      <w:r>
        <w:rPr>
          <w:rFonts w:hint="default"/>
          <w:color w:val="auto"/>
          <w:lang w:val="en-US" w:eastAsia="zh-CN"/>
        </w:rPr>
        <w:t>有较多分布</w:t>
      </w:r>
      <w:r>
        <w:rPr>
          <w:rFonts w:hint="eastAsia"/>
          <w:color w:val="auto"/>
          <w:lang w:val="en-US" w:eastAsia="zh-CN"/>
        </w:rPr>
        <w:t>。</w:t>
      </w:r>
    </w:p>
    <w:p w14:paraId="140929DD">
      <w:pPr>
        <w:pStyle w:val="41"/>
        <w:bidi w:val="0"/>
        <w:rPr>
          <w:rFonts w:hint="eastAsia"/>
          <w:color w:val="auto"/>
          <w:lang w:val="en-US" w:eastAsia="zh-CN"/>
        </w:rPr>
      </w:pPr>
      <w:r>
        <w:rPr>
          <w:rFonts w:hint="eastAsia"/>
          <w:color w:val="auto"/>
          <w:lang w:val="en-US" w:eastAsia="zh-CN"/>
        </w:rPr>
        <w:t>3）中国特有植物</w:t>
      </w:r>
    </w:p>
    <w:p w14:paraId="49EFFD19">
      <w:pPr>
        <w:keepNext w:val="0"/>
        <w:keepLines w:val="0"/>
        <w:widowControl/>
        <w:suppressLineNumbers w:val="0"/>
        <w:spacing w:line="360" w:lineRule="auto"/>
        <w:ind w:firstLine="480" w:firstLineChars="200"/>
        <w:jc w:val="left"/>
        <w:rPr>
          <w:color w:val="auto"/>
        </w:rPr>
      </w:pPr>
      <w:r>
        <w:rPr>
          <w:rFonts w:hint="default" w:ascii="Times New Roman" w:hAnsi="Times New Roman" w:eastAsia="宋体" w:cs="Times New Roman"/>
          <w:color w:val="auto"/>
          <w:sz w:val="24"/>
          <w:szCs w:val="24"/>
          <w:highlight w:val="none"/>
          <w:lang w:val="en-US" w:eastAsia="zh-CN"/>
        </w:rPr>
        <w:t>评价区记录到14种中国特有植物，</w:t>
      </w:r>
      <w:r>
        <w:rPr>
          <w:rFonts w:hint="default" w:ascii="Times New Roman" w:hAnsi="Times New Roman" w:eastAsia="宋体" w:cs="Times New Roman"/>
          <w:color w:val="auto"/>
          <w:kern w:val="0"/>
          <w:sz w:val="24"/>
          <w:szCs w:val="24"/>
          <w:highlight w:val="none"/>
          <w:lang w:val="en-US" w:eastAsia="zh-CN" w:bidi="ar-SA"/>
        </w:rPr>
        <w:t>占评价区</w:t>
      </w:r>
      <w:r>
        <w:rPr>
          <w:rFonts w:hint="eastAsia" w:ascii="Times New Roman" w:hAnsi="Times New Roman" w:eastAsia="宋体" w:cs="Times New Roman"/>
          <w:color w:val="auto"/>
          <w:kern w:val="0"/>
          <w:sz w:val="24"/>
          <w:szCs w:val="24"/>
          <w:highlight w:val="none"/>
          <w:lang w:val="en-US" w:eastAsia="zh-CN" w:bidi="ar-SA"/>
        </w:rPr>
        <w:t>野生</w:t>
      </w:r>
      <w:r>
        <w:rPr>
          <w:rFonts w:hint="default" w:ascii="Times New Roman" w:hAnsi="Times New Roman" w:eastAsia="宋体" w:cs="Times New Roman"/>
          <w:color w:val="auto"/>
          <w:kern w:val="0"/>
          <w:sz w:val="24"/>
          <w:szCs w:val="24"/>
          <w:highlight w:val="none"/>
          <w:lang w:val="en-US" w:eastAsia="zh-CN" w:bidi="ar-SA"/>
        </w:rPr>
        <w:t>植物总数的</w:t>
      </w:r>
      <w:r>
        <w:rPr>
          <w:rFonts w:hint="eastAsia" w:ascii="Times New Roman" w:hAnsi="Times New Roman" w:eastAsia="宋体" w:cs="Times New Roman"/>
          <w:color w:val="auto"/>
          <w:kern w:val="0"/>
          <w:sz w:val="24"/>
          <w:szCs w:val="24"/>
          <w:highlight w:val="none"/>
          <w:lang w:val="en-US" w:eastAsia="zh-CN" w:bidi="ar-SA"/>
        </w:rPr>
        <w:t>4.78</w:t>
      </w:r>
      <w:r>
        <w:rPr>
          <w:rFonts w:hint="default" w:ascii="Times New Roman" w:hAnsi="Times New Roman" w:eastAsia="宋体" w:cs="Times New Roman"/>
          <w:color w:val="auto"/>
          <w:kern w:val="0"/>
          <w:sz w:val="24"/>
          <w:szCs w:val="24"/>
          <w:highlight w:val="none"/>
          <w:lang w:val="en-US" w:eastAsia="zh-CN" w:bidi="ar-SA"/>
        </w:rPr>
        <w:t>%，</w:t>
      </w:r>
      <w:r>
        <w:rPr>
          <w:rFonts w:hint="default" w:ascii="Times New Roman" w:hAnsi="Times New Roman" w:eastAsia="宋体" w:cs="Times New Roman"/>
          <w:color w:val="auto"/>
          <w:sz w:val="24"/>
          <w:szCs w:val="24"/>
          <w:highlight w:val="none"/>
        </w:rPr>
        <w:t>西南金丝桃</w:t>
      </w:r>
      <w:r>
        <w:rPr>
          <w:rFonts w:hint="default" w:ascii="Times New Roman" w:hAnsi="Times New Roman" w:eastAsia="宋体" w:cs="Times New Roman"/>
          <w:i/>
          <w:iCs/>
          <w:color w:val="auto"/>
          <w:sz w:val="24"/>
          <w:szCs w:val="24"/>
          <w:highlight w:val="none"/>
        </w:rPr>
        <w:t>Hypericum</w:t>
      </w:r>
      <w:r>
        <w:rPr>
          <w:rFonts w:hint="eastAsia" w:cs="Times New Roman"/>
          <w:i/>
          <w:iCs/>
          <w:color w:val="auto"/>
          <w:sz w:val="24"/>
          <w:szCs w:val="24"/>
          <w:highlight w:val="none"/>
          <w:lang w:val="en-US" w:eastAsia="zh-CN"/>
        </w:rPr>
        <w:t xml:space="preserve"> </w:t>
      </w:r>
      <w:r>
        <w:rPr>
          <w:rFonts w:hint="default" w:ascii="Times New Roman" w:hAnsi="Times New Roman" w:eastAsia="宋体" w:cs="Times New Roman"/>
          <w:i/>
          <w:iCs/>
          <w:color w:val="auto"/>
          <w:sz w:val="24"/>
          <w:szCs w:val="24"/>
          <w:highlight w:val="none"/>
        </w:rPr>
        <w:t>henryi</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矮杨梅</w:t>
      </w:r>
      <w:r>
        <w:rPr>
          <w:rFonts w:hint="default" w:ascii="Times New Roman" w:hAnsi="Times New Roman" w:eastAsia="宋体" w:cs="Times New Roman"/>
          <w:i/>
          <w:iCs/>
          <w:color w:val="auto"/>
          <w:sz w:val="24"/>
          <w:szCs w:val="24"/>
          <w:highlight w:val="none"/>
        </w:rPr>
        <w:t>Myrica</w:t>
      </w:r>
      <w:r>
        <w:rPr>
          <w:rFonts w:hint="eastAsia" w:cs="Times New Roman"/>
          <w:i/>
          <w:iCs/>
          <w:color w:val="auto"/>
          <w:sz w:val="24"/>
          <w:szCs w:val="24"/>
          <w:highlight w:val="none"/>
          <w:lang w:val="en-US" w:eastAsia="zh-CN"/>
        </w:rPr>
        <w:t xml:space="preserve"> </w:t>
      </w:r>
      <w:r>
        <w:rPr>
          <w:rFonts w:hint="default" w:ascii="Times New Roman" w:hAnsi="Times New Roman" w:eastAsia="宋体" w:cs="Times New Roman"/>
          <w:i/>
          <w:iCs/>
          <w:color w:val="auto"/>
          <w:sz w:val="24"/>
          <w:szCs w:val="24"/>
          <w:highlight w:val="none"/>
        </w:rPr>
        <w:t>nanta</w:t>
      </w:r>
      <w:r>
        <w:rPr>
          <w:rFonts w:hint="default" w:ascii="Times New Roman" w:hAnsi="Times New Roman" w:eastAsia="宋体"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滇青冈</w:t>
      </w:r>
      <w:r>
        <w:rPr>
          <w:rFonts w:hint="default" w:ascii="Times New Roman" w:hAnsi="Times New Roman" w:eastAsia="宋体" w:cs="Times New Roman"/>
          <w:i/>
          <w:iCs/>
          <w:color w:val="auto"/>
          <w:sz w:val="24"/>
          <w:szCs w:val="24"/>
          <w:highlight w:val="none"/>
        </w:rPr>
        <w:t>Cyclobalanopsis</w:t>
      </w:r>
      <w:r>
        <w:rPr>
          <w:rFonts w:hint="eastAsia" w:cs="Times New Roman"/>
          <w:i/>
          <w:iCs/>
          <w:color w:val="auto"/>
          <w:sz w:val="24"/>
          <w:szCs w:val="24"/>
          <w:highlight w:val="none"/>
          <w:lang w:val="en-US" w:eastAsia="zh-CN"/>
        </w:rPr>
        <w:t xml:space="preserve"> </w:t>
      </w:r>
      <w:r>
        <w:rPr>
          <w:rFonts w:hint="default" w:ascii="Times New Roman" w:hAnsi="Times New Roman" w:eastAsia="宋体" w:cs="Times New Roman"/>
          <w:i/>
          <w:iCs/>
          <w:color w:val="auto"/>
          <w:sz w:val="24"/>
          <w:szCs w:val="24"/>
          <w:highlight w:val="none"/>
        </w:rPr>
        <w:t>glaucoides</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露珠杜鹃</w:t>
      </w:r>
      <w:r>
        <w:rPr>
          <w:rFonts w:hint="default" w:ascii="Times New Roman" w:hAnsi="Times New Roman" w:eastAsia="宋体" w:cs="Times New Roman"/>
          <w:i/>
          <w:iCs/>
          <w:color w:val="auto"/>
          <w:sz w:val="24"/>
          <w:szCs w:val="24"/>
          <w:highlight w:val="none"/>
        </w:rPr>
        <w:t>Rhododendron</w:t>
      </w:r>
      <w:r>
        <w:rPr>
          <w:rFonts w:hint="eastAsia" w:cs="Times New Roman"/>
          <w:i/>
          <w:iCs/>
          <w:color w:val="auto"/>
          <w:sz w:val="24"/>
          <w:szCs w:val="24"/>
          <w:highlight w:val="none"/>
          <w:lang w:val="en-US" w:eastAsia="zh-CN"/>
        </w:rPr>
        <w:t xml:space="preserve"> </w:t>
      </w:r>
      <w:r>
        <w:rPr>
          <w:rFonts w:hint="default" w:ascii="Times New Roman" w:hAnsi="Times New Roman" w:eastAsia="宋体" w:cs="Times New Roman"/>
          <w:i/>
          <w:iCs/>
          <w:color w:val="auto"/>
          <w:sz w:val="24"/>
          <w:szCs w:val="24"/>
          <w:highlight w:val="none"/>
        </w:rPr>
        <w:t>irroratum</w:t>
      </w:r>
      <w:r>
        <w:rPr>
          <w:rFonts w:hint="default" w:ascii="Times New Roman" w:hAnsi="Times New Roman" w:eastAsia="宋体" w:cs="Times New Roman"/>
          <w:color w:val="auto"/>
          <w:sz w:val="24"/>
          <w:szCs w:val="24"/>
          <w:highlight w:val="none"/>
          <w:lang w:val="en-US" w:eastAsia="zh-CN"/>
        </w:rPr>
        <w:t>等。</w:t>
      </w:r>
      <w:r>
        <w:rPr>
          <w:rFonts w:hint="default" w:ascii="Times New Roman" w:hAnsi="Times New Roman" w:eastAsia="宋体" w:cs="Times New Roman"/>
          <w:color w:val="auto"/>
          <w:kern w:val="0"/>
          <w:sz w:val="24"/>
          <w:szCs w:val="24"/>
          <w:lang w:val="en-US" w:eastAsia="zh-CN" w:bidi="ar"/>
        </w:rPr>
        <w:t>这些中国特有植物</w:t>
      </w:r>
      <w:r>
        <w:rPr>
          <w:rFonts w:hint="eastAsia" w:ascii="Times New Roman" w:hAnsi="Times New Roman" w:eastAsia="宋体" w:cs="Times New Roman"/>
          <w:color w:val="auto"/>
          <w:kern w:val="0"/>
          <w:sz w:val="24"/>
          <w:szCs w:val="24"/>
          <w:lang w:val="en-US" w:eastAsia="zh-CN" w:bidi="ar"/>
        </w:rPr>
        <w:t>在</w:t>
      </w:r>
      <w:r>
        <w:rPr>
          <w:rFonts w:hint="default" w:ascii="Times New Roman" w:hAnsi="Times New Roman" w:eastAsia="宋体" w:cs="Times New Roman"/>
          <w:color w:val="auto"/>
          <w:kern w:val="0"/>
          <w:sz w:val="24"/>
          <w:szCs w:val="24"/>
          <w:lang w:val="en-US" w:eastAsia="zh-CN" w:bidi="ar"/>
        </w:rPr>
        <w:t>评价区</w:t>
      </w:r>
      <w:r>
        <w:rPr>
          <w:rFonts w:hint="eastAsia" w:ascii="Times New Roman" w:hAnsi="Times New Roman" w:eastAsia="宋体" w:cs="Times New Roman"/>
          <w:color w:val="auto"/>
          <w:kern w:val="0"/>
          <w:sz w:val="24"/>
          <w:szCs w:val="24"/>
          <w:lang w:val="en-US" w:eastAsia="zh-CN" w:bidi="ar"/>
        </w:rPr>
        <w:t>外的</w:t>
      </w:r>
      <w:r>
        <w:rPr>
          <w:rFonts w:hint="default" w:ascii="Times New Roman" w:hAnsi="Times New Roman" w:eastAsia="宋体" w:cs="Times New Roman"/>
          <w:color w:val="auto"/>
          <w:kern w:val="0"/>
          <w:sz w:val="24"/>
          <w:szCs w:val="24"/>
          <w:lang w:val="en-US" w:eastAsia="zh-CN" w:bidi="ar"/>
        </w:rPr>
        <w:t>区域</w:t>
      </w:r>
      <w:r>
        <w:rPr>
          <w:rFonts w:hint="eastAsia" w:ascii="Times New Roman" w:hAnsi="Times New Roman" w:eastAsia="宋体" w:cs="Times New Roman"/>
          <w:color w:val="auto"/>
          <w:kern w:val="0"/>
          <w:sz w:val="24"/>
          <w:szCs w:val="24"/>
          <w:lang w:val="en-US" w:eastAsia="zh-CN" w:bidi="ar"/>
        </w:rPr>
        <w:t>还</w:t>
      </w:r>
      <w:r>
        <w:rPr>
          <w:rFonts w:hint="default" w:ascii="Times New Roman" w:hAnsi="Times New Roman" w:eastAsia="宋体" w:cs="Times New Roman"/>
          <w:color w:val="auto"/>
          <w:kern w:val="0"/>
          <w:sz w:val="24"/>
          <w:szCs w:val="24"/>
          <w:lang w:val="en-US" w:eastAsia="zh-CN" w:bidi="ar"/>
        </w:rPr>
        <w:t>有较多分布，云南境内及我国其他省区也有分布，通常数量较多</w:t>
      </w:r>
      <w:r>
        <w:rPr>
          <w:rFonts w:hint="eastAsia" w:ascii="宋体" w:hAnsi="宋体" w:eastAsia="宋体" w:cs="宋体"/>
          <w:color w:val="auto"/>
          <w:kern w:val="0"/>
          <w:sz w:val="24"/>
          <w:szCs w:val="24"/>
          <w:lang w:val="en-US" w:eastAsia="zh-CN" w:bidi="ar"/>
        </w:rPr>
        <w:t>。</w:t>
      </w:r>
    </w:p>
    <w:p w14:paraId="68929824">
      <w:pPr>
        <w:pStyle w:val="42"/>
        <w:bidi w:val="0"/>
        <w:rPr>
          <w:rFonts w:hint="default"/>
          <w:color w:val="auto"/>
          <w:highlight w:val="none"/>
          <w:lang w:val="en-US" w:eastAsia="zh-CN"/>
        </w:rPr>
      </w:pPr>
      <w:r>
        <w:rPr>
          <w:rFonts w:hint="eastAsia"/>
          <w:color w:val="auto"/>
          <w:highlight w:val="none"/>
          <w:lang w:val="en-US" w:eastAsia="zh-CN"/>
        </w:rPr>
        <w:t>表2-8  评价区中国特有植物一览表</w:t>
      </w:r>
    </w:p>
    <w:tbl>
      <w:tblPr>
        <w:tblStyle w:val="21"/>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605"/>
        <w:gridCol w:w="912"/>
        <w:gridCol w:w="1524"/>
        <w:gridCol w:w="720"/>
        <w:gridCol w:w="708"/>
        <w:gridCol w:w="960"/>
        <w:gridCol w:w="3087"/>
      </w:tblGrid>
      <w:tr w14:paraId="7B8F23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2A6C2BFC">
            <w:pPr>
              <w:keepNext w:val="0"/>
              <w:keepLines w:val="0"/>
              <w:pageBreakBefore w:val="0"/>
              <w:widowControl/>
              <w:kinsoku/>
              <w:overflowPunct/>
              <w:topLinePunct w:val="0"/>
              <w:bidi w:val="0"/>
              <w:spacing w:line="240" w:lineRule="auto"/>
              <w:ind w:firstLine="0" w:firstLineChars="0"/>
              <w:jc w:val="center"/>
              <w:outlineLvl w:val="1"/>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序号</w:t>
            </w:r>
          </w:p>
        </w:tc>
        <w:tc>
          <w:tcPr>
            <w:tcW w:w="912" w:type="dxa"/>
            <w:tcBorders>
              <w:tl2br w:val="nil"/>
              <w:tr2bl w:val="nil"/>
            </w:tcBorders>
            <w:vAlign w:val="center"/>
          </w:tcPr>
          <w:p w14:paraId="57AAB925">
            <w:pPr>
              <w:keepNext w:val="0"/>
              <w:keepLines w:val="0"/>
              <w:pageBreakBefore w:val="0"/>
              <w:widowControl/>
              <w:kinsoku/>
              <w:overflowPunct/>
              <w:topLinePunct w:val="0"/>
              <w:bidi w:val="0"/>
              <w:spacing w:line="240" w:lineRule="auto"/>
              <w:ind w:firstLine="0" w:firstLineChars="0"/>
              <w:jc w:val="center"/>
              <w:outlineLvl w:val="1"/>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中文名</w:t>
            </w:r>
          </w:p>
        </w:tc>
        <w:tc>
          <w:tcPr>
            <w:tcW w:w="1524" w:type="dxa"/>
            <w:tcBorders>
              <w:tl2br w:val="nil"/>
              <w:tr2bl w:val="nil"/>
            </w:tcBorders>
            <w:vAlign w:val="center"/>
          </w:tcPr>
          <w:p w14:paraId="243B89B8">
            <w:pPr>
              <w:keepNext w:val="0"/>
              <w:keepLines w:val="0"/>
              <w:pageBreakBefore w:val="0"/>
              <w:widowControl/>
              <w:kinsoku/>
              <w:overflowPunct/>
              <w:topLinePunct w:val="0"/>
              <w:bidi w:val="0"/>
              <w:spacing w:line="240" w:lineRule="auto"/>
              <w:ind w:firstLine="0" w:firstLineChars="0"/>
              <w:jc w:val="center"/>
              <w:outlineLvl w:val="1"/>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拉丁文名</w:t>
            </w:r>
          </w:p>
        </w:tc>
        <w:tc>
          <w:tcPr>
            <w:tcW w:w="720" w:type="dxa"/>
            <w:tcBorders>
              <w:tl2br w:val="nil"/>
              <w:tr2bl w:val="nil"/>
            </w:tcBorders>
            <w:vAlign w:val="center"/>
          </w:tcPr>
          <w:p w14:paraId="37287994">
            <w:pPr>
              <w:keepNext w:val="0"/>
              <w:keepLines w:val="0"/>
              <w:pageBreakBefore w:val="0"/>
              <w:widowControl/>
              <w:kinsoku/>
              <w:overflowPunct/>
              <w:topLinePunct w:val="0"/>
              <w:bidi w:val="0"/>
              <w:spacing w:line="240" w:lineRule="auto"/>
              <w:ind w:firstLine="0" w:firstLineChars="0"/>
              <w:jc w:val="center"/>
              <w:outlineLvl w:val="1"/>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性状</w:t>
            </w:r>
          </w:p>
        </w:tc>
        <w:tc>
          <w:tcPr>
            <w:tcW w:w="708" w:type="dxa"/>
            <w:tcBorders>
              <w:tl2br w:val="nil"/>
              <w:tr2bl w:val="nil"/>
            </w:tcBorders>
            <w:vAlign w:val="center"/>
          </w:tcPr>
          <w:p w14:paraId="56C8D94B">
            <w:pPr>
              <w:keepNext w:val="0"/>
              <w:keepLines w:val="0"/>
              <w:pageBreakBefore w:val="0"/>
              <w:widowControl/>
              <w:kinsoku/>
              <w:overflowPunct/>
              <w:topLinePunct w:val="0"/>
              <w:bidi w:val="0"/>
              <w:spacing w:line="240" w:lineRule="auto"/>
              <w:ind w:firstLine="0" w:firstLineChars="0"/>
              <w:jc w:val="center"/>
              <w:outlineLvl w:val="1"/>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多度</w:t>
            </w:r>
          </w:p>
        </w:tc>
        <w:tc>
          <w:tcPr>
            <w:tcW w:w="960" w:type="dxa"/>
            <w:tcBorders>
              <w:tl2br w:val="nil"/>
              <w:tr2bl w:val="nil"/>
            </w:tcBorders>
            <w:vAlign w:val="center"/>
          </w:tcPr>
          <w:p w14:paraId="56CC4B1A">
            <w:pPr>
              <w:keepNext w:val="0"/>
              <w:keepLines w:val="0"/>
              <w:pageBreakBefore w:val="0"/>
              <w:widowControl/>
              <w:kinsoku/>
              <w:overflowPunct/>
              <w:topLinePunct w:val="0"/>
              <w:bidi w:val="0"/>
              <w:spacing w:line="240" w:lineRule="auto"/>
              <w:ind w:firstLine="0" w:firstLineChars="0"/>
              <w:jc w:val="center"/>
              <w:outlineLvl w:val="1"/>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海拔/m</w:t>
            </w:r>
          </w:p>
        </w:tc>
        <w:tc>
          <w:tcPr>
            <w:tcW w:w="3087" w:type="dxa"/>
            <w:tcBorders>
              <w:tl2br w:val="nil"/>
              <w:tr2bl w:val="nil"/>
            </w:tcBorders>
            <w:vAlign w:val="center"/>
          </w:tcPr>
          <w:p w14:paraId="32C38C72">
            <w:pPr>
              <w:keepNext w:val="0"/>
              <w:keepLines w:val="0"/>
              <w:pageBreakBefore w:val="0"/>
              <w:widowControl/>
              <w:kinsoku/>
              <w:overflowPunct/>
              <w:topLinePunct w:val="0"/>
              <w:bidi w:val="0"/>
              <w:spacing w:line="240" w:lineRule="auto"/>
              <w:ind w:firstLine="0" w:firstLineChars="0"/>
              <w:jc w:val="center"/>
              <w:outlineLvl w:val="1"/>
              <w:rPr>
                <w:rFonts w:hint="default" w:eastAsia="宋体"/>
                <w:b/>
                <w:bCs/>
                <w:color w:val="auto"/>
                <w:sz w:val="21"/>
                <w:szCs w:val="21"/>
                <w:highlight w:val="none"/>
                <w:vertAlign w:val="baseline"/>
                <w:lang w:val="en-US" w:eastAsia="zh-CN"/>
              </w:rPr>
            </w:pPr>
            <w:r>
              <w:rPr>
                <w:rFonts w:hint="eastAsia" w:eastAsia="宋体"/>
                <w:b/>
                <w:bCs/>
                <w:color w:val="auto"/>
                <w:sz w:val="21"/>
                <w:szCs w:val="21"/>
                <w:highlight w:val="none"/>
                <w:vertAlign w:val="baseline"/>
                <w:lang w:val="en-US" w:eastAsia="zh-CN"/>
              </w:rPr>
              <w:t>分布区域</w:t>
            </w:r>
          </w:p>
        </w:tc>
      </w:tr>
      <w:tr w14:paraId="3A6B1F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47C4EF7A">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w:t>
            </w:r>
          </w:p>
        </w:tc>
        <w:tc>
          <w:tcPr>
            <w:tcW w:w="912" w:type="dxa"/>
            <w:tcBorders>
              <w:tl2br w:val="nil"/>
              <w:tr2bl w:val="nil"/>
            </w:tcBorders>
            <w:vAlign w:val="center"/>
          </w:tcPr>
          <w:p w14:paraId="33246D55">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rPr>
              <w:t>西南金丝桃</w:t>
            </w:r>
          </w:p>
        </w:tc>
        <w:tc>
          <w:tcPr>
            <w:tcW w:w="1524" w:type="dxa"/>
            <w:tcBorders>
              <w:tl2br w:val="nil"/>
              <w:tr2bl w:val="nil"/>
            </w:tcBorders>
            <w:vAlign w:val="center"/>
          </w:tcPr>
          <w:p w14:paraId="42A4D11B">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vertAlign w:val="baseline"/>
                <w:lang w:val="en-US" w:eastAsia="zh-CN"/>
              </w:rPr>
            </w:pPr>
            <w:r>
              <w:rPr>
                <w:rFonts w:hint="eastAsia" w:eastAsia="宋体"/>
                <w:i/>
                <w:iCs/>
                <w:color w:val="auto"/>
                <w:sz w:val="21"/>
                <w:szCs w:val="21"/>
                <w:highlight w:val="none"/>
              </w:rPr>
              <w:t>Hypericum</w:t>
            </w:r>
            <w:r>
              <w:rPr>
                <w:rFonts w:hint="eastAsia"/>
                <w:i/>
                <w:iCs/>
                <w:color w:val="auto"/>
                <w:sz w:val="21"/>
                <w:szCs w:val="21"/>
                <w:highlight w:val="none"/>
                <w:lang w:val="en-US" w:eastAsia="zh-CN"/>
              </w:rPr>
              <w:t xml:space="preserve"> </w:t>
            </w:r>
            <w:r>
              <w:rPr>
                <w:rFonts w:hint="eastAsia" w:eastAsia="宋体"/>
                <w:i/>
                <w:iCs/>
                <w:color w:val="auto"/>
                <w:sz w:val="21"/>
                <w:szCs w:val="21"/>
                <w:highlight w:val="none"/>
              </w:rPr>
              <w:t>henryi</w:t>
            </w:r>
          </w:p>
        </w:tc>
        <w:tc>
          <w:tcPr>
            <w:tcW w:w="720" w:type="dxa"/>
            <w:tcBorders>
              <w:tl2br w:val="nil"/>
              <w:tr2bl w:val="nil"/>
            </w:tcBorders>
            <w:vAlign w:val="center"/>
          </w:tcPr>
          <w:p w14:paraId="0CE3932D">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灌木</w:t>
            </w:r>
          </w:p>
        </w:tc>
        <w:tc>
          <w:tcPr>
            <w:tcW w:w="708" w:type="dxa"/>
            <w:tcBorders>
              <w:tl2br w:val="nil"/>
              <w:tr2bl w:val="nil"/>
            </w:tcBorders>
            <w:vAlign w:val="center"/>
          </w:tcPr>
          <w:p w14:paraId="2E226AAD">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较多</w:t>
            </w:r>
          </w:p>
        </w:tc>
        <w:tc>
          <w:tcPr>
            <w:tcW w:w="960" w:type="dxa"/>
            <w:tcBorders>
              <w:tl2br w:val="nil"/>
              <w:tr2bl w:val="nil"/>
            </w:tcBorders>
            <w:vAlign w:val="center"/>
          </w:tcPr>
          <w:p w14:paraId="024101BB">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1300</w:t>
            </w:r>
            <w:r>
              <w:rPr>
                <w:rFonts w:hint="eastAsia"/>
                <w:color w:val="auto"/>
                <w:sz w:val="21"/>
                <w:szCs w:val="21"/>
                <w:highlight w:val="none"/>
                <w:vertAlign w:val="baseline"/>
                <w:lang w:val="en-US" w:eastAsia="zh-CN"/>
              </w:rPr>
              <w:t>~</w:t>
            </w:r>
            <w:r>
              <w:rPr>
                <w:rFonts w:hint="eastAsia" w:eastAsia="宋体"/>
                <w:color w:val="auto"/>
                <w:sz w:val="21"/>
                <w:szCs w:val="21"/>
                <w:highlight w:val="none"/>
                <w:vertAlign w:val="baseline"/>
                <w:lang w:val="en-US" w:eastAsia="zh-CN"/>
              </w:rPr>
              <w:t>2400</w:t>
            </w:r>
          </w:p>
        </w:tc>
        <w:tc>
          <w:tcPr>
            <w:tcW w:w="3087" w:type="dxa"/>
            <w:tcBorders>
              <w:tl2br w:val="nil"/>
              <w:tr2bl w:val="nil"/>
            </w:tcBorders>
            <w:vAlign w:val="center"/>
          </w:tcPr>
          <w:p w14:paraId="6F37A0F7">
            <w:pPr>
              <w:keepNext w:val="0"/>
              <w:keepLines w:val="0"/>
              <w:pageBreakBefore w:val="0"/>
              <w:widowControl/>
              <w:suppressLineNumbers w:val="0"/>
              <w:kinsoku/>
              <w:wordWrap w:val="0"/>
              <w:overflowPunct/>
              <w:topLinePunct w:val="0"/>
              <w:autoSpaceDE/>
              <w:autoSpaceDN/>
              <w:bidi w:val="0"/>
              <w:adjustRightInd/>
              <w:snapToGrid/>
              <w:ind w:firstLine="0" w:firstLineChars="0"/>
              <w:jc w:val="left"/>
              <w:textAlignment w:val="auto"/>
              <w:rPr>
                <w:rFonts w:hint="eastAsia" w:eastAsia="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昆明、禄丰（罗次）、禄劝、大理；贵州</w:t>
            </w:r>
          </w:p>
        </w:tc>
      </w:tr>
      <w:tr w14:paraId="6EBF91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5D6BCBBF">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2</w:t>
            </w:r>
          </w:p>
        </w:tc>
        <w:tc>
          <w:tcPr>
            <w:tcW w:w="912" w:type="dxa"/>
            <w:tcBorders>
              <w:tl2br w:val="nil"/>
              <w:tr2bl w:val="nil"/>
            </w:tcBorders>
            <w:vAlign w:val="center"/>
          </w:tcPr>
          <w:p w14:paraId="39E58E81">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rPr>
              <w:t>矮杨梅</w:t>
            </w:r>
          </w:p>
        </w:tc>
        <w:tc>
          <w:tcPr>
            <w:tcW w:w="1524" w:type="dxa"/>
            <w:tcBorders>
              <w:tl2br w:val="nil"/>
              <w:tr2bl w:val="nil"/>
            </w:tcBorders>
            <w:vAlign w:val="center"/>
          </w:tcPr>
          <w:p w14:paraId="1938393B">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vertAlign w:val="baseline"/>
                <w:lang w:val="en-US" w:eastAsia="zh-CN"/>
              </w:rPr>
            </w:pPr>
            <w:r>
              <w:rPr>
                <w:rFonts w:hint="eastAsia" w:eastAsia="宋体"/>
                <w:i/>
                <w:iCs/>
                <w:color w:val="auto"/>
                <w:sz w:val="21"/>
                <w:szCs w:val="21"/>
                <w:highlight w:val="none"/>
              </w:rPr>
              <w:t>Myrica</w:t>
            </w:r>
            <w:r>
              <w:rPr>
                <w:rFonts w:hint="eastAsia"/>
                <w:i/>
                <w:iCs/>
                <w:color w:val="auto"/>
                <w:sz w:val="21"/>
                <w:szCs w:val="21"/>
                <w:highlight w:val="none"/>
                <w:lang w:val="en-US" w:eastAsia="zh-CN"/>
              </w:rPr>
              <w:t xml:space="preserve"> </w:t>
            </w:r>
            <w:r>
              <w:rPr>
                <w:rFonts w:hint="eastAsia" w:eastAsia="宋体"/>
                <w:i/>
                <w:iCs/>
                <w:color w:val="auto"/>
                <w:sz w:val="21"/>
                <w:szCs w:val="21"/>
                <w:highlight w:val="none"/>
              </w:rPr>
              <w:t>nanta</w:t>
            </w:r>
          </w:p>
        </w:tc>
        <w:tc>
          <w:tcPr>
            <w:tcW w:w="720" w:type="dxa"/>
            <w:tcBorders>
              <w:tl2br w:val="nil"/>
              <w:tr2bl w:val="nil"/>
            </w:tcBorders>
            <w:vAlign w:val="center"/>
          </w:tcPr>
          <w:p w14:paraId="69B33AE6">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灌木</w:t>
            </w:r>
          </w:p>
        </w:tc>
        <w:tc>
          <w:tcPr>
            <w:tcW w:w="708" w:type="dxa"/>
            <w:tcBorders>
              <w:tl2br w:val="nil"/>
              <w:tr2bl w:val="nil"/>
            </w:tcBorders>
            <w:vAlign w:val="center"/>
          </w:tcPr>
          <w:p w14:paraId="7C363B0A">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多</w:t>
            </w:r>
          </w:p>
        </w:tc>
        <w:tc>
          <w:tcPr>
            <w:tcW w:w="960" w:type="dxa"/>
            <w:tcBorders>
              <w:tl2br w:val="nil"/>
              <w:tr2bl w:val="nil"/>
            </w:tcBorders>
            <w:vAlign w:val="center"/>
          </w:tcPr>
          <w:p w14:paraId="73A2F45C">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1500</w:t>
            </w:r>
            <w:r>
              <w:rPr>
                <w:rFonts w:hint="eastAsia"/>
                <w:color w:val="auto"/>
                <w:sz w:val="21"/>
                <w:szCs w:val="21"/>
                <w:highlight w:val="none"/>
                <w:vertAlign w:val="baseline"/>
                <w:lang w:val="en-US" w:eastAsia="zh-CN"/>
              </w:rPr>
              <w:t>~</w:t>
            </w:r>
            <w:r>
              <w:rPr>
                <w:rFonts w:hint="eastAsia" w:eastAsia="宋体"/>
                <w:color w:val="auto"/>
                <w:sz w:val="21"/>
                <w:szCs w:val="21"/>
                <w:highlight w:val="none"/>
                <w:vertAlign w:val="baseline"/>
                <w:lang w:val="en-US" w:eastAsia="zh-CN"/>
              </w:rPr>
              <w:t>3500</w:t>
            </w:r>
          </w:p>
        </w:tc>
        <w:tc>
          <w:tcPr>
            <w:tcW w:w="3087" w:type="dxa"/>
            <w:tcBorders>
              <w:tl2br w:val="nil"/>
              <w:tr2bl w:val="nil"/>
            </w:tcBorders>
            <w:vAlign w:val="center"/>
          </w:tcPr>
          <w:p w14:paraId="1CF484DC">
            <w:pPr>
              <w:keepNext w:val="0"/>
              <w:keepLines w:val="0"/>
              <w:pageBreakBefore w:val="0"/>
              <w:widowControl/>
              <w:suppressLineNumbers w:val="0"/>
              <w:kinsoku/>
              <w:wordWrap w:val="0"/>
              <w:overflowPunct/>
              <w:topLinePunct w:val="0"/>
              <w:autoSpaceDE/>
              <w:autoSpaceDN/>
              <w:bidi w:val="0"/>
              <w:adjustRightInd/>
              <w:snapToGrid/>
              <w:ind w:firstLine="0" w:firstLineChars="0"/>
              <w:jc w:val="left"/>
              <w:textAlignment w:val="auto"/>
              <w:rPr>
                <w:rFonts w:hint="eastAsia" w:eastAsia="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滇中、滇西、滇东北；贵州西部</w:t>
            </w:r>
          </w:p>
        </w:tc>
      </w:tr>
      <w:tr w14:paraId="389295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35641C5D">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3</w:t>
            </w:r>
          </w:p>
        </w:tc>
        <w:tc>
          <w:tcPr>
            <w:tcW w:w="912" w:type="dxa"/>
            <w:tcBorders>
              <w:tl2br w:val="nil"/>
              <w:tr2bl w:val="nil"/>
            </w:tcBorders>
            <w:vAlign w:val="center"/>
          </w:tcPr>
          <w:p w14:paraId="6A4021CE">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rPr>
              <w:t>滇青冈</w:t>
            </w:r>
          </w:p>
        </w:tc>
        <w:tc>
          <w:tcPr>
            <w:tcW w:w="1524" w:type="dxa"/>
            <w:tcBorders>
              <w:tl2br w:val="nil"/>
              <w:tr2bl w:val="nil"/>
            </w:tcBorders>
            <w:vAlign w:val="center"/>
          </w:tcPr>
          <w:p w14:paraId="202B0DC2">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vertAlign w:val="baseline"/>
                <w:lang w:val="en-US" w:eastAsia="zh-CN"/>
              </w:rPr>
            </w:pPr>
            <w:r>
              <w:rPr>
                <w:rFonts w:hint="eastAsia" w:eastAsia="宋体"/>
                <w:i/>
                <w:iCs/>
                <w:color w:val="auto"/>
                <w:sz w:val="21"/>
                <w:szCs w:val="21"/>
                <w:highlight w:val="none"/>
              </w:rPr>
              <w:t>Cyclobalanopsis</w:t>
            </w:r>
            <w:r>
              <w:rPr>
                <w:rFonts w:hint="eastAsia"/>
                <w:i/>
                <w:iCs/>
                <w:color w:val="auto"/>
                <w:sz w:val="21"/>
                <w:szCs w:val="21"/>
                <w:highlight w:val="none"/>
                <w:lang w:val="en-US" w:eastAsia="zh-CN"/>
              </w:rPr>
              <w:t xml:space="preserve"> </w:t>
            </w:r>
            <w:r>
              <w:rPr>
                <w:rFonts w:hint="eastAsia" w:eastAsia="宋体"/>
                <w:i/>
                <w:iCs/>
                <w:color w:val="auto"/>
                <w:sz w:val="21"/>
                <w:szCs w:val="21"/>
                <w:highlight w:val="none"/>
              </w:rPr>
              <w:t>glaucoides</w:t>
            </w:r>
          </w:p>
        </w:tc>
        <w:tc>
          <w:tcPr>
            <w:tcW w:w="720" w:type="dxa"/>
            <w:tcBorders>
              <w:tl2br w:val="nil"/>
              <w:tr2bl w:val="nil"/>
            </w:tcBorders>
            <w:vAlign w:val="center"/>
          </w:tcPr>
          <w:p w14:paraId="25A31580">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乔木</w:t>
            </w:r>
          </w:p>
        </w:tc>
        <w:tc>
          <w:tcPr>
            <w:tcW w:w="708" w:type="dxa"/>
            <w:tcBorders>
              <w:tl2br w:val="nil"/>
              <w:tr2bl w:val="nil"/>
            </w:tcBorders>
            <w:vAlign w:val="center"/>
          </w:tcPr>
          <w:p w14:paraId="0C1F0E10">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少</w:t>
            </w:r>
          </w:p>
        </w:tc>
        <w:tc>
          <w:tcPr>
            <w:tcW w:w="960" w:type="dxa"/>
            <w:tcBorders>
              <w:tl2br w:val="nil"/>
              <w:tr2bl w:val="nil"/>
            </w:tcBorders>
            <w:vAlign w:val="center"/>
          </w:tcPr>
          <w:p w14:paraId="14FE584E">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1100</w:t>
            </w:r>
            <w:r>
              <w:rPr>
                <w:rFonts w:hint="eastAsia"/>
                <w:color w:val="auto"/>
                <w:sz w:val="21"/>
                <w:szCs w:val="21"/>
                <w:highlight w:val="none"/>
                <w:vertAlign w:val="baseline"/>
                <w:lang w:val="en-US" w:eastAsia="zh-CN"/>
              </w:rPr>
              <w:t>~</w:t>
            </w:r>
            <w:r>
              <w:rPr>
                <w:rFonts w:hint="eastAsia" w:eastAsia="宋体"/>
                <w:color w:val="auto"/>
                <w:sz w:val="21"/>
                <w:szCs w:val="21"/>
                <w:highlight w:val="none"/>
                <w:vertAlign w:val="baseline"/>
                <w:lang w:val="en-US" w:eastAsia="zh-CN"/>
              </w:rPr>
              <w:t>3000</w:t>
            </w:r>
          </w:p>
        </w:tc>
        <w:tc>
          <w:tcPr>
            <w:tcW w:w="3087" w:type="dxa"/>
            <w:tcBorders>
              <w:tl2br w:val="nil"/>
              <w:tr2bl w:val="nil"/>
            </w:tcBorders>
            <w:vAlign w:val="center"/>
          </w:tcPr>
          <w:p w14:paraId="3ED38ABC">
            <w:pPr>
              <w:keepNext w:val="0"/>
              <w:keepLines w:val="0"/>
              <w:pageBreakBefore w:val="0"/>
              <w:widowControl/>
              <w:suppressLineNumbers w:val="0"/>
              <w:kinsoku/>
              <w:wordWrap w:val="0"/>
              <w:overflowPunct/>
              <w:topLinePunct w:val="0"/>
              <w:autoSpaceDE/>
              <w:autoSpaceDN/>
              <w:bidi w:val="0"/>
              <w:adjustRightInd/>
              <w:snapToGrid/>
              <w:ind w:firstLine="0" w:firstLineChars="0"/>
              <w:jc w:val="left"/>
              <w:textAlignment w:val="auto"/>
              <w:rPr>
                <w:rFonts w:hint="eastAsia" w:eastAsia="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全省大部分地区均有；贵州、四川</w:t>
            </w:r>
          </w:p>
        </w:tc>
      </w:tr>
      <w:tr w14:paraId="25B0D95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69E34993">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4</w:t>
            </w:r>
          </w:p>
        </w:tc>
        <w:tc>
          <w:tcPr>
            <w:tcW w:w="912" w:type="dxa"/>
            <w:tcBorders>
              <w:tl2br w:val="nil"/>
              <w:tr2bl w:val="nil"/>
            </w:tcBorders>
            <w:vAlign w:val="center"/>
          </w:tcPr>
          <w:p w14:paraId="6007B8CF">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rPr>
            </w:pPr>
            <w:r>
              <w:rPr>
                <w:rFonts w:hint="eastAsia" w:eastAsia="宋体"/>
                <w:color w:val="auto"/>
                <w:sz w:val="21"/>
                <w:szCs w:val="21"/>
                <w:highlight w:val="none"/>
              </w:rPr>
              <w:t>露珠</w:t>
            </w:r>
          </w:p>
          <w:p w14:paraId="2F0D5971">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rPr>
              <w:t>杜鹃</w:t>
            </w:r>
          </w:p>
        </w:tc>
        <w:tc>
          <w:tcPr>
            <w:tcW w:w="1524" w:type="dxa"/>
            <w:tcBorders>
              <w:tl2br w:val="nil"/>
              <w:tr2bl w:val="nil"/>
            </w:tcBorders>
            <w:vAlign w:val="center"/>
          </w:tcPr>
          <w:p w14:paraId="57739C94">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vertAlign w:val="baseline"/>
                <w:lang w:val="en-US" w:eastAsia="zh-CN"/>
              </w:rPr>
            </w:pPr>
            <w:r>
              <w:rPr>
                <w:rFonts w:hint="eastAsia" w:eastAsia="宋体"/>
                <w:i/>
                <w:iCs/>
                <w:color w:val="auto"/>
                <w:sz w:val="21"/>
                <w:szCs w:val="21"/>
                <w:highlight w:val="none"/>
              </w:rPr>
              <w:t>Rhododendron</w:t>
            </w:r>
            <w:r>
              <w:rPr>
                <w:rFonts w:hint="eastAsia"/>
                <w:i/>
                <w:iCs/>
                <w:color w:val="auto"/>
                <w:sz w:val="21"/>
                <w:szCs w:val="21"/>
                <w:highlight w:val="none"/>
                <w:lang w:val="en-US" w:eastAsia="zh-CN"/>
              </w:rPr>
              <w:t xml:space="preserve"> </w:t>
            </w:r>
            <w:r>
              <w:rPr>
                <w:rFonts w:hint="eastAsia" w:eastAsia="宋体"/>
                <w:i/>
                <w:iCs/>
                <w:color w:val="auto"/>
                <w:sz w:val="21"/>
                <w:szCs w:val="21"/>
                <w:highlight w:val="none"/>
              </w:rPr>
              <w:t>irroratum</w:t>
            </w:r>
          </w:p>
        </w:tc>
        <w:tc>
          <w:tcPr>
            <w:tcW w:w="720" w:type="dxa"/>
            <w:tcBorders>
              <w:tl2br w:val="nil"/>
              <w:tr2bl w:val="nil"/>
            </w:tcBorders>
            <w:vAlign w:val="center"/>
          </w:tcPr>
          <w:p w14:paraId="6FB3BBFB">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灌木</w:t>
            </w:r>
          </w:p>
        </w:tc>
        <w:tc>
          <w:tcPr>
            <w:tcW w:w="708" w:type="dxa"/>
            <w:tcBorders>
              <w:tl2br w:val="nil"/>
              <w:tr2bl w:val="nil"/>
            </w:tcBorders>
            <w:vAlign w:val="center"/>
          </w:tcPr>
          <w:p w14:paraId="1386DD92">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较多</w:t>
            </w:r>
          </w:p>
        </w:tc>
        <w:tc>
          <w:tcPr>
            <w:tcW w:w="960" w:type="dxa"/>
            <w:tcBorders>
              <w:tl2br w:val="nil"/>
              <w:tr2bl w:val="nil"/>
            </w:tcBorders>
            <w:vAlign w:val="center"/>
          </w:tcPr>
          <w:p w14:paraId="33A97D6F">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1800</w:t>
            </w:r>
            <w:r>
              <w:rPr>
                <w:rFonts w:hint="eastAsia"/>
                <w:color w:val="auto"/>
                <w:sz w:val="21"/>
                <w:szCs w:val="21"/>
                <w:highlight w:val="none"/>
                <w:vertAlign w:val="baseline"/>
                <w:lang w:val="en-US" w:eastAsia="zh-CN"/>
              </w:rPr>
              <w:t>~</w:t>
            </w:r>
            <w:r>
              <w:rPr>
                <w:rFonts w:hint="eastAsia" w:eastAsia="宋体"/>
                <w:color w:val="auto"/>
                <w:sz w:val="21"/>
                <w:szCs w:val="21"/>
                <w:highlight w:val="none"/>
                <w:vertAlign w:val="baseline"/>
                <w:lang w:val="en-US" w:eastAsia="zh-CN"/>
              </w:rPr>
              <w:t>3000</w:t>
            </w:r>
          </w:p>
        </w:tc>
        <w:tc>
          <w:tcPr>
            <w:tcW w:w="3087" w:type="dxa"/>
            <w:tcBorders>
              <w:tl2br w:val="nil"/>
              <w:tr2bl w:val="nil"/>
            </w:tcBorders>
            <w:vAlign w:val="center"/>
          </w:tcPr>
          <w:p w14:paraId="535292AA">
            <w:pPr>
              <w:keepNext w:val="0"/>
              <w:keepLines w:val="0"/>
              <w:pageBreakBefore w:val="0"/>
              <w:widowControl/>
              <w:suppressLineNumbers w:val="0"/>
              <w:kinsoku/>
              <w:wordWrap w:val="0"/>
              <w:overflowPunct/>
              <w:topLinePunct w:val="0"/>
              <w:autoSpaceDE/>
              <w:autoSpaceDN/>
              <w:bidi w:val="0"/>
              <w:adjustRightInd/>
              <w:snapToGrid/>
              <w:ind w:firstLine="0" w:firstLineChars="0"/>
              <w:jc w:val="left"/>
              <w:textAlignment w:val="auto"/>
              <w:rPr>
                <w:rFonts w:hint="eastAsia" w:eastAsia="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昆明、嵩明、寻甸、富民、禄丰、武定、禄劝、大姚、宾川、大理、漾濞、鹤庆、剑川、丽江、永平、巍山、凤庆、镇康、临沧、景东、元江、易门；四川西南部</w:t>
            </w:r>
          </w:p>
        </w:tc>
      </w:tr>
      <w:tr w14:paraId="2B0E40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08583A6E">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5</w:t>
            </w:r>
          </w:p>
        </w:tc>
        <w:tc>
          <w:tcPr>
            <w:tcW w:w="912" w:type="dxa"/>
            <w:tcBorders>
              <w:tl2br w:val="nil"/>
              <w:tr2bl w:val="nil"/>
            </w:tcBorders>
            <w:vAlign w:val="center"/>
          </w:tcPr>
          <w:p w14:paraId="5E53ACDA">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rPr>
              <w:t>小叶女贞</w:t>
            </w:r>
          </w:p>
        </w:tc>
        <w:tc>
          <w:tcPr>
            <w:tcW w:w="1524" w:type="dxa"/>
            <w:tcBorders>
              <w:tl2br w:val="nil"/>
              <w:tr2bl w:val="nil"/>
            </w:tcBorders>
            <w:vAlign w:val="center"/>
          </w:tcPr>
          <w:p w14:paraId="25B75849">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vertAlign w:val="baseline"/>
                <w:lang w:val="en-US" w:eastAsia="zh-CN"/>
              </w:rPr>
            </w:pPr>
            <w:r>
              <w:rPr>
                <w:rFonts w:hint="eastAsia" w:eastAsia="宋体"/>
                <w:i/>
                <w:iCs/>
                <w:color w:val="auto"/>
                <w:sz w:val="21"/>
                <w:szCs w:val="21"/>
                <w:highlight w:val="none"/>
              </w:rPr>
              <w:t>Ligustrum</w:t>
            </w:r>
            <w:r>
              <w:rPr>
                <w:rFonts w:hint="eastAsia"/>
                <w:i/>
                <w:iCs/>
                <w:color w:val="auto"/>
                <w:sz w:val="21"/>
                <w:szCs w:val="21"/>
                <w:highlight w:val="none"/>
                <w:lang w:val="en-US" w:eastAsia="zh-CN"/>
              </w:rPr>
              <w:t xml:space="preserve"> </w:t>
            </w:r>
            <w:r>
              <w:rPr>
                <w:rFonts w:hint="eastAsia" w:eastAsia="宋体"/>
                <w:i/>
                <w:iCs/>
                <w:color w:val="auto"/>
                <w:sz w:val="21"/>
                <w:szCs w:val="21"/>
                <w:highlight w:val="none"/>
              </w:rPr>
              <w:t>quihoui</w:t>
            </w:r>
          </w:p>
        </w:tc>
        <w:tc>
          <w:tcPr>
            <w:tcW w:w="720" w:type="dxa"/>
            <w:tcBorders>
              <w:tl2br w:val="nil"/>
              <w:tr2bl w:val="nil"/>
            </w:tcBorders>
            <w:vAlign w:val="center"/>
          </w:tcPr>
          <w:p w14:paraId="326383B0">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灌木</w:t>
            </w:r>
          </w:p>
        </w:tc>
        <w:tc>
          <w:tcPr>
            <w:tcW w:w="708" w:type="dxa"/>
            <w:tcBorders>
              <w:tl2br w:val="nil"/>
              <w:tr2bl w:val="nil"/>
            </w:tcBorders>
            <w:vAlign w:val="center"/>
          </w:tcPr>
          <w:p w14:paraId="72842BB4">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少</w:t>
            </w:r>
          </w:p>
        </w:tc>
        <w:tc>
          <w:tcPr>
            <w:tcW w:w="960" w:type="dxa"/>
            <w:tcBorders>
              <w:tl2br w:val="nil"/>
              <w:tr2bl w:val="nil"/>
            </w:tcBorders>
            <w:vAlign w:val="center"/>
          </w:tcPr>
          <w:p w14:paraId="66891E03">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1100</w:t>
            </w:r>
            <w:r>
              <w:rPr>
                <w:rFonts w:hint="eastAsia"/>
                <w:color w:val="auto"/>
                <w:sz w:val="21"/>
                <w:szCs w:val="21"/>
                <w:highlight w:val="none"/>
                <w:vertAlign w:val="baseline"/>
                <w:lang w:val="en-US" w:eastAsia="zh-CN"/>
              </w:rPr>
              <w:t>~</w:t>
            </w:r>
            <w:r>
              <w:rPr>
                <w:rFonts w:hint="eastAsia" w:eastAsia="宋体"/>
                <w:color w:val="auto"/>
                <w:sz w:val="21"/>
                <w:szCs w:val="21"/>
                <w:highlight w:val="none"/>
                <w:vertAlign w:val="baseline"/>
                <w:lang w:val="en-US" w:eastAsia="zh-CN"/>
              </w:rPr>
              <w:t>2200</w:t>
            </w:r>
          </w:p>
        </w:tc>
        <w:tc>
          <w:tcPr>
            <w:tcW w:w="3087" w:type="dxa"/>
            <w:tcBorders>
              <w:tl2br w:val="nil"/>
              <w:tr2bl w:val="nil"/>
            </w:tcBorders>
            <w:vAlign w:val="center"/>
          </w:tcPr>
          <w:p w14:paraId="4F3E2EFB">
            <w:pPr>
              <w:keepNext w:val="0"/>
              <w:keepLines w:val="0"/>
              <w:pageBreakBefore w:val="0"/>
              <w:widowControl/>
              <w:suppressLineNumbers w:val="0"/>
              <w:kinsoku/>
              <w:wordWrap w:val="0"/>
              <w:overflowPunct/>
              <w:topLinePunct w:val="0"/>
              <w:autoSpaceDE/>
              <w:autoSpaceDN/>
              <w:bidi w:val="0"/>
              <w:adjustRightInd/>
              <w:snapToGrid/>
              <w:ind w:firstLine="0" w:firstLineChars="0"/>
              <w:jc w:val="left"/>
              <w:textAlignment w:val="auto"/>
              <w:rPr>
                <w:rFonts w:hint="eastAsia" w:eastAsia="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昆明、宜良、楚雄、武定、凤庆、剑川、邓川、丽江、蒙自、建水、砚山、西畴；山东、河北、河南、山西、陕西、湖北、湖南、江西、四川、贵州、西藏东南部</w:t>
            </w:r>
          </w:p>
        </w:tc>
      </w:tr>
      <w:tr w14:paraId="668C9F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4C9AEF12">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6</w:t>
            </w:r>
          </w:p>
        </w:tc>
        <w:tc>
          <w:tcPr>
            <w:tcW w:w="912" w:type="dxa"/>
            <w:tcBorders>
              <w:tl2br w:val="nil"/>
              <w:tr2bl w:val="nil"/>
            </w:tcBorders>
            <w:vAlign w:val="center"/>
          </w:tcPr>
          <w:p w14:paraId="741C21FD">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rPr>
            </w:pPr>
            <w:r>
              <w:rPr>
                <w:rFonts w:hint="eastAsia" w:eastAsia="宋体"/>
                <w:color w:val="auto"/>
                <w:sz w:val="21"/>
                <w:szCs w:val="21"/>
                <w:highlight w:val="none"/>
              </w:rPr>
              <w:t>黄腺</w:t>
            </w:r>
          </w:p>
          <w:p w14:paraId="42C20762">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rPr>
              <w:t>香青</w:t>
            </w:r>
          </w:p>
        </w:tc>
        <w:tc>
          <w:tcPr>
            <w:tcW w:w="1524" w:type="dxa"/>
            <w:tcBorders>
              <w:tl2br w:val="nil"/>
              <w:tr2bl w:val="nil"/>
            </w:tcBorders>
            <w:vAlign w:val="center"/>
          </w:tcPr>
          <w:p w14:paraId="79D66629">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vertAlign w:val="baseline"/>
                <w:lang w:val="en-US" w:eastAsia="zh-CN"/>
              </w:rPr>
            </w:pPr>
            <w:r>
              <w:rPr>
                <w:rFonts w:hint="eastAsia" w:eastAsia="宋体"/>
                <w:i/>
                <w:iCs/>
                <w:color w:val="auto"/>
                <w:sz w:val="21"/>
                <w:szCs w:val="21"/>
                <w:highlight w:val="none"/>
              </w:rPr>
              <w:t>Anaphalis</w:t>
            </w:r>
            <w:r>
              <w:rPr>
                <w:rFonts w:hint="eastAsia"/>
                <w:i/>
                <w:iCs/>
                <w:color w:val="auto"/>
                <w:sz w:val="21"/>
                <w:szCs w:val="21"/>
                <w:highlight w:val="none"/>
                <w:lang w:val="en-US" w:eastAsia="zh-CN"/>
              </w:rPr>
              <w:t xml:space="preserve"> </w:t>
            </w:r>
            <w:r>
              <w:rPr>
                <w:rFonts w:hint="eastAsia" w:eastAsia="宋体"/>
                <w:i/>
                <w:iCs/>
                <w:color w:val="auto"/>
                <w:sz w:val="21"/>
                <w:szCs w:val="21"/>
                <w:highlight w:val="none"/>
              </w:rPr>
              <w:t>aureopunctata</w:t>
            </w:r>
          </w:p>
        </w:tc>
        <w:tc>
          <w:tcPr>
            <w:tcW w:w="720" w:type="dxa"/>
            <w:tcBorders>
              <w:tl2br w:val="nil"/>
              <w:tr2bl w:val="nil"/>
            </w:tcBorders>
            <w:vAlign w:val="center"/>
          </w:tcPr>
          <w:p w14:paraId="3BDB7D44">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草本</w:t>
            </w:r>
          </w:p>
        </w:tc>
        <w:tc>
          <w:tcPr>
            <w:tcW w:w="708" w:type="dxa"/>
            <w:tcBorders>
              <w:tl2br w:val="nil"/>
              <w:tr2bl w:val="nil"/>
            </w:tcBorders>
            <w:vAlign w:val="center"/>
          </w:tcPr>
          <w:p w14:paraId="4F8AAE97">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较多</w:t>
            </w:r>
          </w:p>
        </w:tc>
        <w:tc>
          <w:tcPr>
            <w:tcW w:w="960" w:type="dxa"/>
            <w:tcBorders>
              <w:tl2br w:val="nil"/>
              <w:tr2bl w:val="nil"/>
            </w:tcBorders>
            <w:vAlign w:val="center"/>
          </w:tcPr>
          <w:p w14:paraId="62C1E096">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1900</w:t>
            </w:r>
            <w:r>
              <w:rPr>
                <w:rFonts w:hint="eastAsia"/>
                <w:color w:val="auto"/>
                <w:sz w:val="21"/>
                <w:szCs w:val="21"/>
                <w:highlight w:val="none"/>
                <w:vertAlign w:val="baseline"/>
                <w:lang w:val="en-US" w:eastAsia="zh-CN"/>
              </w:rPr>
              <w:t>~</w:t>
            </w:r>
            <w:r>
              <w:rPr>
                <w:rFonts w:hint="eastAsia" w:eastAsia="宋体"/>
                <w:color w:val="auto"/>
                <w:sz w:val="21"/>
                <w:szCs w:val="21"/>
                <w:highlight w:val="none"/>
                <w:vertAlign w:val="baseline"/>
                <w:lang w:val="en-US" w:eastAsia="zh-CN"/>
              </w:rPr>
              <w:t>3900</w:t>
            </w:r>
          </w:p>
        </w:tc>
        <w:tc>
          <w:tcPr>
            <w:tcW w:w="3087" w:type="dxa"/>
            <w:tcBorders>
              <w:tl2br w:val="nil"/>
              <w:tr2bl w:val="nil"/>
            </w:tcBorders>
            <w:vAlign w:val="center"/>
          </w:tcPr>
          <w:p w14:paraId="1EFF222E">
            <w:pPr>
              <w:keepNext w:val="0"/>
              <w:keepLines w:val="0"/>
              <w:pageBreakBefore w:val="0"/>
              <w:widowControl/>
              <w:suppressLineNumbers w:val="0"/>
              <w:kinsoku/>
              <w:wordWrap w:val="0"/>
              <w:overflowPunct/>
              <w:topLinePunct w:val="0"/>
              <w:autoSpaceDE/>
              <w:autoSpaceDN/>
              <w:bidi w:val="0"/>
              <w:adjustRightInd/>
              <w:snapToGrid/>
              <w:ind w:firstLine="0" w:firstLineChars="0"/>
              <w:jc w:val="left"/>
              <w:textAlignment w:val="auto"/>
              <w:rPr>
                <w:rFonts w:hint="eastAsia" w:eastAsia="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德钦、贡山、中甸、维西、丽江、福贡、泸水、大理、大姚、富民、昆明、景东；山西、江西、河南、湖北、湖南、广东、广西、陕西、甘肃、青海、四川、贵州、西藏</w:t>
            </w:r>
          </w:p>
        </w:tc>
      </w:tr>
      <w:tr w14:paraId="1156FD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3D1C6611">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7</w:t>
            </w:r>
          </w:p>
        </w:tc>
        <w:tc>
          <w:tcPr>
            <w:tcW w:w="912" w:type="dxa"/>
            <w:tcBorders>
              <w:tl2br w:val="nil"/>
              <w:tr2bl w:val="nil"/>
            </w:tcBorders>
            <w:vAlign w:val="center"/>
          </w:tcPr>
          <w:p w14:paraId="1D42E5DE">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rPr>
            </w:pPr>
            <w:r>
              <w:rPr>
                <w:rFonts w:hint="eastAsia" w:eastAsia="宋体"/>
                <w:color w:val="auto"/>
                <w:sz w:val="21"/>
                <w:szCs w:val="21"/>
                <w:highlight w:val="none"/>
              </w:rPr>
              <w:t>滇龙</w:t>
            </w:r>
          </w:p>
          <w:p w14:paraId="74272215">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rPr>
              <w:t>胆草</w:t>
            </w:r>
          </w:p>
        </w:tc>
        <w:tc>
          <w:tcPr>
            <w:tcW w:w="1524" w:type="dxa"/>
            <w:tcBorders>
              <w:tl2br w:val="nil"/>
              <w:tr2bl w:val="nil"/>
            </w:tcBorders>
            <w:vAlign w:val="center"/>
          </w:tcPr>
          <w:p w14:paraId="42E0B9D9">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vertAlign w:val="baseline"/>
                <w:lang w:val="en-US" w:eastAsia="zh-CN"/>
              </w:rPr>
            </w:pPr>
            <w:r>
              <w:rPr>
                <w:rFonts w:hint="eastAsia" w:eastAsia="宋体"/>
                <w:i/>
                <w:iCs/>
                <w:color w:val="auto"/>
                <w:sz w:val="21"/>
                <w:szCs w:val="21"/>
                <w:highlight w:val="none"/>
              </w:rPr>
              <w:t>Gentianarige</w:t>
            </w:r>
            <w:r>
              <w:rPr>
                <w:rFonts w:hint="eastAsia"/>
                <w:i/>
                <w:iCs/>
                <w:color w:val="auto"/>
                <w:sz w:val="21"/>
                <w:szCs w:val="21"/>
                <w:highlight w:val="none"/>
                <w:lang w:val="en-US" w:eastAsia="zh-CN"/>
              </w:rPr>
              <w:t xml:space="preserve"> </w:t>
            </w:r>
            <w:r>
              <w:rPr>
                <w:rFonts w:hint="eastAsia" w:eastAsia="宋体"/>
                <w:i/>
                <w:iCs/>
                <w:color w:val="auto"/>
                <w:sz w:val="21"/>
                <w:szCs w:val="21"/>
                <w:highlight w:val="none"/>
              </w:rPr>
              <w:t>scens</w:t>
            </w:r>
          </w:p>
        </w:tc>
        <w:tc>
          <w:tcPr>
            <w:tcW w:w="720" w:type="dxa"/>
            <w:tcBorders>
              <w:tl2br w:val="nil"/>
              <w:tr2bl w:val="nil"/>
            </w:tcBorders>
            <w:vAlign w:val="center"/>
          </w:tcPr>
          <w:p w14:paraId="6AF7DD0D">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草本</w:t>
            </w:r>
          </w:p>
        </w:tc>
        <w:tc>
          <w:tcPr>
            <w:tcW w:w="708" w:type="dxa"/>
            <w:tcBorders>
              <w:tl2br w:val="nil"/>
              <w:tr2bl w:val="nil"/>
            </w:tcBorders>
            <w:vAlign w:val="center"/>
          </w:tcPr>
          <w:p w14:paraId="600B0D09">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少</w:t>
            </w:r>
          </w:p>
        </w:tc>
        <w:tc>
          <w:tcPr>
            <w:tcW w:w="960" w:type="dxa"/>
            <w:tcBorders>
              <w:tl2br w:val="nil"/>
              <w:tr2bl w:val="nil"/>
            </w:tcBorders>
            <w:vAlign w:val="center"/>
          </w:tcPr>
          <w:p w14:paraId="1449DA33">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1000</w:t>
            </w:r>
            <w:r>
              <w:rPr>
                <w:rFonts w:hint="eastAsia"/>
                <w:color w:val="auto"/>
                <w:sz w:val="21"/>
                <w:szCs w:val="21"/>
                <w:highlight w:val="none"/>
                <w:vertAlign w:val="baseline"/>
                <w:lang w:val="en-US" w:eastAsia="zh-CN"/>
              </w:rPr>
              <w:t>~</w:t>
            </w:r>
            <w:r>
              <w:rPr>
                <w:rFonts w:hint="eastAsia" w:eastAsia="宋体"/>
                <w:color w:val="auto"/>
                <w:sz w:val="21"/>
                <w:szCs w:val="21"/>
                <w:highlight w:val="none"/>
                <w:vertAlign w:val="baseline"/>
                <w:lang w:val="en-US" w:eastAsia="zh-CN"/>
              </w:rPr>
              <w:t>2800</w:t>
            </w:r>
          </w:p>
        </w:tc>
        <w:tc>
          <w:tcPr>
            <w:tcW w:w="3087" w:type="dxa"/>
            <w:tcBorders>
              <w:tl2br w:val="nil"/>
              <w:tr2bl w:val="nil"/>
            </w:tcBorders>
            <w:vAlign w:val="center"/>
          </w:tcPr>
          <w:p w14:paraId="2B4FBF53">
            <w:pPr>
              <w:keepNext w:val="0"/>
              <w:keepLines w:val="0"/>
              <w:pageBreakBefore w:val="0"/>
              <w:widowControl/>
              <w:suppressLineNumbers w:val="0"/>
              <w:kinsoku/>
              <w:wordWrap w:val="0"/>
              <w:overflowPunct/>
              <w:topLinePunct w:val="0"/>
              <w:autoSpaceDE/>
              <w:autoSpaceDN/>
              <w:bidi w:val="0"/>
              <w:adjustRightInd/>
              <w:snapToGrid/>
              <w:ind w:firstLine="0" w:firstLineChars="0"/>
              <w:jc w:val="left"/>
              <w:textAlignment w:val="auto"/>
              <w:rPr>
                <w:rFonts w:hint="eastAsia" w:eastAsia="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中部、西部各县；四川、贵州、湖南、广西</w:t>
            </w:r>
          </w:p>
        </w:tc>
      </w:tr>
      <w:tr w14:paraId="7136BD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0A97EA14">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8</w:t>
            </w:r>
          </w:p>
        </w:tc>
        <w:tc>
          <w:tcPr>
            <w:tcW w:w="912" w:type="dxa"/>
            <w:tcBorders>
              <w:tl2br w:val="nil"/>
              <w:tr2bl w:val="nil"/>
            </w:tcBorders>
            <w:vAlign w:val="center"/>
          </w:tcPr>
          <w:p w14:paraId="47F57005">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rPr>
              <w:t>过路黄</w:t>
            </w:r>
          </w:p>
        </w:tc>
        <w:tc>
          <w:tcPr>
            <w:tcW w:w="1524" w:type="dxa"/>
            <w:tcBorders>
              <w:tl2br w:val="nil"/>
              <w:tr2bl w:val="nil"/>
            </w:tcBorders>
            <w:vAlign w:val="center"/>
          </w:tcPr>
          <w:p w14:paraId="1C469C35">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vertAlign w:val="baseline"/>
                <w:lang w:val="en-US" w:eastAsia="zh-CN"/>
              </w:rPr>
            </w:pPr>
            <w:r>
              <w:rPr>
                <w:rFonts w:hint="eastAsia" w:eastAsia="宋体"/>
                <w:i/>
                <w:iCs/>
                <w:color w:val="auto"/>
                <w:sz w:val="21"/>
                <w:szCs w:val="21"/>
                <w:highlight w:val="none"/>
              </w:rPr>
              <w:t>Lysimachia</w:t>
            </w:r>
            <w:r>
              <w:rPr>
                <w:rFonts w:hint="eastAsia"/>
                <w:i/>
                <w:iCs/>
                <w:color w:val="auto"/>
                <w:sz w:val="21"/>
                <w:szCs w:val="21"/>
                <w:highlight w:val="none"/>
                <w:lang w:val="en-US" w:eastAsia="zh-CN"/>
              </w:rPr>
              <w:t xml:space="preserve"> </w:t>
            </w:r>
            <w:r>
              <w:rPr>
                <w:rFonts w:hint="eastAsia" w:eastAsia="宋体"/>
                <w:i/>
                <w:iCs/>
                <w:color w:val="auto"/>
                <w:sz w:val="21"/>
                <w:szCs w:val="21"/>
                <w:highlight w:val="none"/>
              </w:rPr>
              <w:t>christiniae</w:t>
            </w:r>
          </w:p>
        </w:tc>
        <w:tc>
          <w:tcPr>
            <w:tcW w:w="720" w:type="dxa"/>
            <w:tcBorders>
              <w:tl2br w:val="nil"/>
              <w:tr2bl w:val="nil"/>
            </w:tcBorders>
            <w:vAlign w:val="center"/>
          </w:tcPr>
          <w:p w14:paraId="23DEA846">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草本</w:t>
            </w:r>
          </w:p>
        </w:tc>
        <w:tc>
          <w:tcPr>
            <w:tcW w:w="708" w:type="dxa"/>
            <w:tcBorders>
              <w:tl2br w:val="nil"/>
              <w:tr2bl w:val="nil"/>
            </w:tcBorders>
            <w:vAlign w:val="center"/>
          </w:tcPr>
          <w:p w14:paraId="4640388A">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较多</w:t>
            </w:r>
          </w:p>
        </w:tc>
        <w:tc>
          <w:tcPr>
            <w:tcW w:w="960" w:type="dxa"/>
            <w:tcBorders>
              <w:tl2br w:val="nil"/>
              <w:tr2bl w:val="nil"/>
            </w:tcBorders>
            <w:vAlign w:val="center"/>
          </w:tcPr>
          <w:p w14:paraId="51BBEEB8">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1300</w:t>
            </w:r>
            <w:r>
              <w:rPr>
                <w:rFonts w:hint="eastAsia"/>
                <w:color w:val="auto"/>
                <w:sz w:val="21"/>
                <w:szCs w:val="21"/>
                <w:highlight w:val="none"/>
                <w:vertAlign w:val="baseline"/>
                <w:lang w:val="en-US" w:eastAsia="zh-CN"/>
              </w:rPr>
              <w:t>~</w:t>
            </w:r>
            <w:r>
              <w:rPr>
                <w:rFonts w:hint="eastAsia" w:eastAsia="宋体"/>
                <w:color w:val="auto"/>
                <w:sz w:val="21"/>
                <w:szCs w:val="21"/>
                <w:highlight w:val="none"/>
                <w:vertAlign w:val="baseline"/>
                <w:lang w:val="en-US" w:eastAsia="zh-CN"/>
              </w:rPr>
              <w:t>2500</w:t>
            </w:r>
          </w:p>
        </w:tc>
        <w:tc>
          <w:tcPr>
            <w:tcW w:w="3087" w:type="dxa"/>
            <w:tcBorders>
              <w:tl2br w:val="nil"/>
              <w:tr2bl w:val="nil"/>
            </w:tcBorders>
            <w:vAlign w:val="center"/>
          </w:tcPr>
          <w:p w14:paraId="2BFFB1D8">
            <w:pPr>
              <w:keepNext w:val="0"/>
              <w:keepLines w:val="0"/>
              <w:pageBreakBefore w:val="0"/>
              <w:widowControl/>
              <w:suppressLineNumbers w:val="0"/>
              <w:kinsoku/>
              <w:wordWrap w:val="0"/>
              <w:overflowPunct/>
              <w:topLinePunct w:val="0"/>
              <w:autoSpaceDE/>
              <w:autoSpaceDN/>
              <w:bidi w:val="0"/>
              <w:adjustRightInd/>
              <w:snapToGrid/>
              <w:ind w:firstLine="0" w:firstLineChars="0"/>
              <w:jc w:val="left"/>
              <w:textAlignment w:val="auto"/>
              <w:rPr>
                <w:rFonts w:hint="eastAsia" w:eastAsia="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蒙自、马关、威信、永善、绥江、昆明、嵩明、安宁、富民、峨山、禄劝、景东、大理、漾濞、丽江、泸水、福贡、维西；陕西南部、江苏、安徽、浙江、江西、福建、河南、湖北、湖南、广东、广西、四川、贵州</w:t>
            </w:r>
          </w:p>
        </w:tc>
      </w:tr>
      <w:tr w14:paraId="0BDB59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57D3E8DF">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9</w:t>
            </w:r>
          </w:p>
        </w:tc>
        <w:tc>
          <w:tcPr>
            <w:tcW w:w="912" w:type="dxa"/>
            <w:tcBorders>
              <w:tl2br w:val="nil"/>
              <w:tr2bl w:val="nil"/>
            </w:tcBorders>
            <w:vAlign w:val="center"/>
          </w:tcPr>
          <w:p w14:paraId="00B9387A">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rPr>
              <w:t>寸金草</w:t>
            </w:r>
          </w:p>
        </w:tc>
        <w:tc>
          <w:tcPr>
            <w:tcW w:w="1524" w:type="dxa"/>
            <w:tcBorders>
              <w:tl2br w:val="nil"/>
              <w:tr2bl w:val="nil"/>
            </w:tcBorders>
            <w:vAlign w:val="center"/>
          </w:tcPr>
          <w:p w14:paraId="1A27D2E3">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rPr>
            </w:pPr>
            <w:r>
              <w:rPr>
                <w:rFonts w:hint="eastAsia" w:eastAsia="宋体"/>
                <w:i/>
                <w:iCs/>
                <w:color w:val="auto"/>
                <w:sz w:val="21"/>
                <w:szCs w:val="21"/>
                <w:highlight w:val="none"/>
              </w:rPr>
              <w:t>Clinopodium</w:t>
            </w:r>
          </w:p>
          <w:p w14:paraId="2CB5297E">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vertAlign w:val="baseline"/>
                <w:lang w:val="en-US" w:eastAsia="zh-CN"/>
              </w:rPr>
            </w:pPr>
            <w:r>
              <w:rPr>
                <w:rFonts w:hint="eastAsia" w:eastAsia="宋体"/>
                <w:i/>
                <w:iCs/>
                <w:color w:val="auto"/>
                <w:sz w:val="21"/>
                <w:szCs w:val="21"/>
                <w:highlight w:val="none"/>
              </w:rPr>
              <w:t>megalanthum</w:t>
            </w:r>
          </w:p>
        </w:tc>
        <w:tc>
          <w:tcPr>
            <w:tcW w:w="720" w:type="dxa"/>
            <w:tcBorders>
              <w:tl2br w:val="nil"/>
              <w:tr2bl w:val="nil"/>
            </w:tcBorders>
            <w:vAlign w:val="center"/>
          </w:tcPr>
          <w:p w14:paraId="5A32C33B">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草本</w:t>
            </w:r>
          </w:p>
        </w:tc>
        <w:tc>
          <w:tcPr>
            <w:tcW w:w="708" w:type="dxa"/>
            <w:tcBorders>
              <w:tl2br w:val="nil"/>
              <w:tr2bl w:val="nil"/>
            </w:tcBorders>
            <w:vAlign w:val="center"/>
          </w:tcPr>
          <w:p w14:paraId="685475BF">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较多</w:t>
            </w:r>
          </w:p>
        </w:tc>
        <w:tc>
          <w:tcPr>
            <w:tcW w:w="960" w:type="dxa"/>
            <w:tcBorders>
              <w:tl2br w:val="nil"/>
              <w:tr2bl w:val="nil"/>
            </w:tcBorders>
            <w:vAlign w:val="center"/>
          </w:tcPr>
          <w:p w14:paraId="2FA8C8C1">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1300</w:t>
            </w:r>
            <w:r>
              <w:rPr>
                <w:rFonts w:hint="eastAsia"/>
                <w:color w:val="auto"/>
                <w:sz w:val="21"/>
                <w:szCs w:val="21"/>
                <w:highlight w:val="none"/>
                <w:vertAlign w:val="baseline"/>
                <w:lang w:val="en-US" w:eastAsia="zh-CN"/>
              </w:rPr>
              <w:t>~</w:t>
            </w:r>
            <w:r>
              <w:rPr>
                <w:rFonts w:hint="eastAsia" w:eastAsia="宋体"/>
                <w:color w:val="auto"/>
                <w:sz w:val="21"/>
                <w:szCs w:val="21"/>
                <w:highlight w:val="none"/>
                <w:vertAlign w:val="baseline"/>
                <w:lang w:val="en-US" w:eastAsia="zh-CN"/>
              </w:rPr>
              <w:t>3500</w:t>
            </w:r>
          </w:p>
        </w:tc>
        <w:tc>
          <w:tcPr>
            <w:tcW w:w="3087" w:type="dxa"/>
            <w:tcBorders>
              <w:tl2br w:val="nil"/>
              <w:tr2bl w:val="nil"/>
            </w:tcBorders>
            <w:vAlign w:val="center"/>
          </w:tcPr>
          <w:p w14:paraId="51FE5091">
            <w:pPr>
              <w:keepNext w:val="0"/>
              <w:keepLines w:val="0"/>
              <w:pageBreakBefore w:val="0"/>
              <w:widowControl/>
              <w:suppressLineNumbers w:val="0"/>
              <w:kinsoku/>
              <w:wordWrap w:val="0"/>
              <w:overflowPunct/>
              <w:topLinePunct w:val="0"/>
              <w:autoSpaceDE/>
              <w:autoSpaceDN/>
              <w:bidi w:val="0"/>
              <w:adjustRightInd/>
              <w:snapToGrid/>
              <w:ind w:firstLine="0" w:firstLineChars="0"/>
              <w:jc w:val="left"/>
              <w:textAlignment w:val="auto"/>
              <w:rPr>
                <w:rFonts w:hint="eastAsia" w:eastAsia="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云南中部、南部、西北部、东北部；四川南部、西南部、湖北西南部、贵州北部</w:t>
            </w:r>
          </w:p>
        </w:tc>
      </w:tr>
      <w:tr w14:paraId="3D1E1E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76BE9447">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10</w:t>
            </w:r>
          </w:p>
        </w:tc>
        <w:tc>
          <w:tcPr>
            <w:tcW w:w="912" w:type="dxa"/>
            <w:tcBorders>
              <w:tl2br w:val="nil"/>
              <w:tr2bl w:val="nil"/>
            </w:tcBorders>
            <w:vAlign w:val="center"/>
          </w:tcPr>
          <w:p w14:paraId="39489A21">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rPr>
              <w:t>野拔子</w:t>
            </w:r>
          </w:p>
        </w:tc>
        <w:tc>
          <w:tcPr>
            <w:tcW w:w="1524" w:type="dxa"/>
            <w:tcBorders>
              <w:tl2br w:val="nil"/>
              <w:tr2bl w:val="nil"/>
            </w:tcBorders>
            <w:vAlign w:val="center"/>
          </w:tcPr>
          <w:p w14:paraId="1C9A27F0">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vertAlign w:val="baseline"/>
                <w:lang w:val="en-US" w:eastAsia="zh-CN"/>
              </w:rPr>
            </w:pPr>
            <w:r>
              <w:rPr>
                <w:rFonts w:hint="eastAsia" w:eastAsia="宋体"/>
                <w:i/>
                <w:iCs/>
                <w:color w:val="auto"/>
                <w:sz w:val="21"/>
                <w:szCs w:val="21"/>
                <w:highlight w:val="none"/>
              </w:rPr>
              <w:t>Elsholtzia</w:t>
            </w:r>
            <w:r>
              <w:rPr>
                <w:rFonts w:hint="eastAsia"/>
                <w:i/>
                <w:iCs/>
                <w:color w:val="auto"/>
                <w:sz w:val="21"/>
                <w:szCs w:val="21"/>
                <w:highlight w:val="none"/>
                <w:lang w:val="en-US" w:eastAsia="zh-CN"/>
              </w:rPr>
              <w:t xml:space="preserve"> </w:t>
            </w:r>
            <w:r>
              <w:rPr>
                <w:rFonts w:hint="eastAsia" w:eastAsia="宋体"/>
                <w:i/>
                <w:iCs/>
                <w:color w:val="auto"/>
                <w:sz w:val="21"/>
                <w:szCs w:val="21"/>
                <w:highlight w:val="none"/>
              </w:rPr>
              <w:t>rugulosa</w:t>
            </w:r>
          </w:p>
        </w:tc>
        <w:tc>
          <w:tcPr>
            <w:tcW w:w="720" w:type="dxa"/>
            <w:tcBorders>
              <w:tl2br w:val="nil"/>
              <w:tr2bl w:val="nil"/>
            </w:tcBorders>
            <w:vAlign w:val="center"/>
          </w:tcPr>
          <w:p w14:paraId="3A2C55F7">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草本</w:t>
            </w:r>
          </w:p>
        </w:tc>
        <w:tc>
          <w:tcPr>
            <w:tcW w:w="708" w:type="dxa"/>
            <w:tcBorders>
              <w:tl2br w:val="nil"/>
              <w:tr2bl w:val="nil"/>
            </w:tcBorders>
            <w:vAlign w:val="center"/>
          </w:tcPr>
          <w:p w14:paraId="0CAFB929">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多</w:t>
            </w:r>
          </w:p>
        </w:tc>
        <w:tc>
          <w:tcPr>
            <w:tcW w:w="960" w:type="dxa"/>
            <w:tcBorders>
              <w:tl2br w:val="nil"/>
              <w:tr2bl w:val="nil"/>
            </w:tcBorders>
            <w:vAlign w:val="center"/>
          </w:tcPr>
          <w:p w14:paraId="0DC1AE95">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1300</w:t>
            </w:r>
            <w:r>
              <w:rPr>
                <w:rFonts w:hint="eastAsia"/>
                <w:color w:val="auto"/>
                <w:sz w:val="21"/>
                <w:szCs w:val="21"/>
                <w:highlight w:val="none"/>
                <w:vertAlign w:val="baseline"/>
                <w:lang w:val="en-US" w:eastAsia="zh-CN"/>
              </w:rPr>
              <w:t>~</w:t>
            </w:r>
            <w:r>
              <w:rPr>
                <w:rFonts w:hint="eastAsia" w:eastAsia="宋体"/>
                <w:color w:val="auto"/>
                <w:sz w:val="21"/>
                <w:szCs w:val="21"/>
                <w:highlight w:val="none"/>
                <w:vertAlign w:val="baseline"/>
                <w:lang w:val="en-US" w:eastAsia="zh-CN"/>
              </w:rPr>
              <w:t>2800</w:t>
            </w:r>
          </w:p>
        </w:tc>
        <w:tc>
          <w:tcPr>
            <w:tcW w:w="3087" w:type="dxa"/>
            <w:tcBorders>
              <w:tl2br w:val="nil"/>
              <w:tr2bl w:val="nil"/>
            </w:tcBorders>
            <w:vAlign w:val="center"/>
          </w:tcPr>
          <w:p w14:paraId="39240A60">
            <w:pPr>
              <w:keepNext w:val="0"/>
              <w:keepLines w:val="0"/>
              <w:pageBreakBefore w:val="0"/>
              <w:widowControl/>
              <w:suppressLineNumbers w:val="0"/>
              <w:kinsoku/>
              <w:wordWrap w:val="0"/>
              <w:overflowPunct/>
              <w:topLinePunct w:val="0"/>
              <w:autoSpaceDE/>
              <w:autoSpaceDN/>
              <w:bidi w:val="0"/>
              <w:adjustRightInd/>
              <w:snapToGrid/>
              <w:ind w:firstLine="0" w:firstLineChars="0"/>
              <w:jc w:val="left"/>
              <w:textAlignment w:val="auto"/>
              <w:rPr>
                <w:rFonts w:hint="eastAsia" w:eastAsia="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云南各地；四川、贵州、广西</w:t>
            </w:r>
          </w:p>
        </w:tc>
      </w:tr>
      <w:tr w14:paraId="02D70A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068DF93B">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11</w:t>
            </w:r>
          </w:p>
        </w:tc>
        <w:tc>
          <w:tcPr>
            <w:tcW w:w="912" w:type="dxa"/>
            <w:tcBorders>
              <w:tl2br w:val="nil"/>
              <w:tr2bl w:val="nil"/>
            </w:tcBorders>
            <w:vAlign w:val="center"/>
          </w:tcPr>
          <w:p w14:paraId="3F568D7A">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rPr>
              <w:t>沿阶草</w:t>
            </w:r>
          </w:p>
        </w:tc>
        <w:tc>
          <w:tcPr>
            <w:tcW w:w="1524" w:type="dxa"/>
            <w:tcBorders>
              <w:tl2br w:val="nil"/>
              <w:tr2bl w:val="nil"/>
            </w:tcBorders>
            <w:vAlign w:val="center"/>
          </w:tcPr>
          <w:p w14:paraId="13D72639">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vertAlign w:val="baseline"/>
                <w:lang w:val="en-US" w:eastAsia="zh-CN"/>
              </w:rPr>
            </w:pPr>
            <w:r>
              <w:rPr>
                <w:rFonts w:hint="eastAsia" w:eastAsia="宋体"/>
                <w:i/>
                <w:iCs/>
                <w:color w:val="auto"/>
                <w:sz w:val="21"/>
                <w:szCs w:val="21"/>
                <w:highlight w:val="none"/>
              </w:rPr>
              <w:t>Ophiopogon</w:t>
            </w:r>
            <w:r>
              <w:rPr>
                <w:rFonts w:hint="eastAsia"/>
                <w:i/>
                <w:iCs/>
                <w:color w:val="auto"/>
                <w:sz w:val="21"/>
                <w:szCs w:val="21"/>
                <w:highlight w:val="none"/>
                <w:lang w:val="en-US" w:eastAsia="zh-CN"/>
              </w:rPr>
              <w:t xml:space="preserve">  </w:t>
            </w:r>
            <w:r>
              <w:rPr>
                <w:rFonts w:hint="eastAsia" w:eastAsia="宋体"/>
                <w:i/>
                <w:iCs/>
                <w:color w:val="auto"/>
                <w:sz w:val="21"/>
                <w:szCs w:val="21"/>
                <w:highlight w:val="none"/>
              </w:rPr>
              <w:t>bodinieri</w:t>
            </w:r>
          </w:p>
        </w:tc>
        <w:tc>
          <w:tcPr>
            <w:tcW w:w="720" w:type="dxa"/>
            <w:tcBorders>
              <w:tl2br w:val="nil"/>
              <w:tr2bl w:val="nil"/>
            </w:tcBorders>
            <w:vAlign w:val="center"/>
          </w:tcPr>
          <w:p w14:paraId="0C2A25A5">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草本</w:t>
            </w:r>
          </w:p>
        </w:tc>
        <w:tc>
          <w:tcPr>
            <w:tcW w:w="708" w:type="dxa"/>
            <w:tcBorders>
              <w:tl2br w:val="nil"/>
              <w:tr2bl w:val="nil"/>
            </w:tcBorders>
            <w:vAlign w:val="center"/>
          </w:tcPr>
          <w:p w14:paraId="6768EF2B">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较多</w:t>
            </w:r>
          </w:p>
        </w:tc>
        <w:tc>
          <w:tcPr>
            <w:tcW w:w="960" w:type="dxa"/>
            <w:tcBorders>
              <w:tl2br w:val="nil"/>
              <w:tr2bl w:val="nil"/>
            </w:tcBorders>
            <w:vAlign w:val="center"/>
          </w:tcPr>
          <w:p w14:paraId="70DDF0F3">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1000</w:t>
            </w:r>
            <w:r>
              <w:rPr>
                <w:rFonts w:hint="eastAsia"/>
                <w:color w:val="auto"/>
                <w:sz w:val="21"/>
                <w:szCs w:val="21"/>
                <w:highlight w:val="none"/>
                <w:vertAlign w:val="baseline"/>
                <w:lang w:val="en-US" w:eastAsia="zh-CN"/>
              </w:rPr>
              <w:t>~</w:t>
            </w:r>
            <w:r>
              <w:rPr>
                <w:rFonts w:hint="eastAsia" w:eastAsia="宋体"/>
                <w:color w:val="auto"/>
                <w:sz w:val="21"/>
                <w:szCs w:val="21"/>
                <w:highlight w:val="none"/>
                <w:vertAlign w:val="baseline"/>
                <w:lang w:val="en-US" w:eastAsia="zh-CN"/>
              </w:rPr>
              <w:t>4000</w:t>
            </w:r>
          </w:p>
        </w:tc>
        <w:tc>
          <w:tcPr>
            <w:tcW w:w="3087" w:type="dxa"/>
            <w:tcBorders>
              <w:tl2br w:val="nil"/>
              <w:tr2bl w:val="nil"/>
            </w:tcBorders>
            <w:vAlign w:val="center"/>
          </w:tcPr>
          <w:p w14:paraId="40215576">
            <w:pPr>
              <w:keepNext w:val="0"/>
              <w:keepLines w:val="0"/>
              <w:pageBreakBefore w:val="0"/>
              <w:widowControl/>
              <w:suppressLineNumbers w:val="0"/>
              <w:kinsoku/>
              <w:wordWrap w:val="0"/>
              <w:overflowPunct/>
              <w:topLinePunct w:val="0"/>
              <w:autoSpaceDE/>
              <w:autoSpaceDN/>
              <w:bidi w:val="0"/>
              <w:adjustRightInd/>
              <w:snapToGrid/>
              <w:ind w:firstLine="0" w:firstLineChars="0"/>
              <w:jc w:val="left"/>
              <w:textAlignment w:val="auto"/>
              <w:rPr>
                <w:rFonts w:hint="eastAsia" w:eastAsia="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贡山、福贡、德钦、中甸、维西、丽江、鹤庆、漾濞、洱源、大理、景东、镇康、凤庆、姚安、禄劝、大关、巧家、镇雄、东川、会泽、昆明、宜良、江川、石屏；云南、贵州、四川、湖北、河南、陕西（秦岭以南）、甘肃（南部）、西藏和台湾</w:t>
            </w:r>
          </w:p>
        </w:tc>
      </w:tr>
      <w:tr w14:paraId="6403C3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28CDA4F5">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12</w:t>
            </w:r>
          </w:p>
        </w:tc>
        <w:tc>
          <w:tcPr>
            <w:tcW w:w="912" w:type="dxa"/>
            <w:tcBorders>
              <w:tl2br w:val="nil"/>
              <w:tr2bl w:val="nil"/>
            </w:tcBorders>
            <w:vAlign w:val="center"/>
          </w:tcPr>
          <w:p w14:paraId="22F5BA4F">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rPr>
              <w:t>云南松</w:t>
            </w:r>
          </w:p>
        </w:tc>
        <w:tc>
          <w:tcPr>
            <w:tcW w:w="1524" w:type="dxa"/>
            <w:tcBorders>
              <w:tl2br w:val="nil"/>
              <w:tr2bl w:val="nil"/>
            </w:tcBorders>
            <w:vAlign w:val="center"/>
          </w:tcPr>
          <w:p w14:paraId="77C889B2">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vertAlign w:val="baseline"/>
                <w:lang w:val="en-US" w:eastAsia="zh-CN"/>
              </w:rPr>
            </w:pPr>
            <w:r>
              <w:rPr>
                <w:rFonts w:hint="eastAsia" w:eastAsia="宋体"/>
                <w:i/>
                <w:iCs/>
                <w:color w:val="auto"/>
                <w:sz w:val="21"/>
                <w:szCs w:val="21"/>
                <w:highlight w:val="none"/>
              </w:rPr>
              <w:t>Pinus</w:t>
            </w:r>
            <w:r>
              <w:rPr>
                <w:rFonts w:hint="eastAsia"/>
                <w:i/>
                <w:iCs/>
                <w:color w:val="auto"/>
                <w:sz w:val="21"/>
                <w:szCs w:val="21"/>
                <w:highlight w:val="none"/>
                <w:lang w:val="en-US" w:eastAsia="zh-CN"/>
              </w:rPr>
              <w:t xml:space="preserve"> </w:t>
            </w:r>
            <w:r>
              <w:rPr>
                <w:rFonts w:hint="eastAsia" w:eastAsia="宋体"/>
                <w:i/>
                <w:iCs/>
                <w:color w:val="auto"/>
                <w:sz w:val="21"/>
                <w:szCs w:val="21"/>
                <w:highlight w:val="none"/>
              </w:rPr>
              <w:t>yunnanensis</w:t>
            </w:r>
          </w:p>
        </w:tc>
        <w:tc>
          <w:tcPr>
            <w:tcW w:w="720" w:type="dxa"/>
            <w:tcBorders>
              <w:tl2br w:val="nil"/>
              <w:tr2bl w:val="nil"/>
            </w:tcBorders>
            <w:vAlign w:val="center"/>
          </w:tcPr>
          <w:p w14:paraId="04A0A399">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乔木</w:t>
            </w:r>
          </w:p>
        </w:tc>
        <w:tc>
          <w:tcPr>
            <w:tcW w:w="708" w:type="dxa"/>
            <w:tcBorders>
              <w:tl2br w:val="nil"/>
              <w:tr2bl w:val="nil"/>
            </w:tcBorders>
            <w:vAlign w:val="center"/>
          </w:tcPr>
          <w:p w14:paraId="52ECFCE5">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很多</w:t>
            </w:r>
          </w:p>
        </w:tc>
        <w:tc>
          <w:tcPr>
            <w:tcW w:w="960" w:type="dxa"/>
            <w:tcBorders>
              <w:tl2br w:val="nil"/>
              <w:tr2bl w:val="nil"/>
            </w:tcBorders>
            <w:vAlign w:val="center"/>
          </w:tcPr>
          <w:p w14:paraId="548508A1">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1000</w:t>
            </w:r>
            <w:r>
              <w:rPr>
                <w:rFonts w:hint="eastAsia"/>
                <w:color w:val="auto"/>
                <w:sz w:val="21"/>
                <w:szCs w:val="21"/>
                <w:highlight w:val="none"/>
                <w:vertAlign w:val="baseline"/>
                <w:lang w:val="en-US" w:eastAsia="zh-CN"/>
              </w:rPr>
              <w:t>~</w:t>
            </w:r>
            <w:r>
              <w:rPr>
                <w:rFonts w:hint="eastAsia" w:eastAsia="宋体"/>
                <w:color w:val="auto"/>
                <w:sz w:val="21"/>
                <w:szCs w:val="21"/>
                <w:highlight w:val="none"/>
                <w:vertAlign w:val="baseline"/>
                <w:lang w:val="en-US" w:eastAsia="zh-CN"/>
              </w:rPr>
              <w:t>3000</w:t>
            </w:r>
          </w:p>
        </w:tc>
        <w:tc>
          <w:tcPr>
            <w:tcW w:w="3087" w:type="dxa"/>
            <w:tcBorders>
              <w:tl2br w:val="nil"/>
              <w:tr2bl w:val="nil"/>
            </w:tcBorders>
            <w:vAlign w:val="center"/>
          </w:tcPr>
          <w:p w14:paraId="4FF288B4">
            <w:pPr>
              <w:keepNext w:val="0"/>
              <w:keepLines w:val="0"/>
              <w:pageBreakBefore w:val="0"/>
              <w:widowControl/>
              <w:suppressLineNumbers w:val="0"/>
              <w:kinsoku/>
              <w:wordWrap w:val="0"/>
              <w:overflowPunct/>
              <w:topLinePunct w:val="0"/>
              <w:autoSpaceDE/>
              <w:autoSpaceDN/>
              <w:bidi w:val="0"/>
              <w:adjustRightInd/>
              <w:snapToGrid/>
              <w:ind w:firstLine="0" w:firstLineChars="0"/>
              <w:jc w:val="left"/>
              <w:textAlignment w:val="auto"/>
              <w:rPr>
                <w:rFonts w:hint="eastAsia" w:eastAsia="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甚广。东至富宁、南至蒙自、普洱、西至腾冲、北至中甸以北；西藏东南部、四川泸定、天全以南、贵州西部、广西西部</w:t>
            </w:r>
          </w:p>
        </w:tc>
      </w:tr>
      <w:tr w14:paraId="5E5D3A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423C1F97">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13</w:t>
            </w:r>
          </w:p>
        </w:tc>
        <w:tc>
          <w:tcPr>
            <w:tcW w:w="912" w:type="dxa"/>
            <w:tcBorders>
              <w:tl2br w:val="nil"/>
              <w:tr2bl w:val="nil"/>
            </w:tcBorders>
            <w:vAlign w:val="center"/>
          </w:tcPr>
          <w:p w14:paraId="2D9D50E2">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eastAsia"/>
                <w:color w:val="auto"/>
                <w:sz w:val="21"/>
                <w:szCs w:val="21"/>
                <w:highlight w:val="none"/>
                <w:lang w:val="en-US" w:eastAsia="zh-CN"/>
              </w:rPr>
              <w:t>滇</w:t>
            </w:r>
            <w:r>
              <w:rPr>
                <w:rFonts w:hint="eastAsia" w:eastAsia="宋体"/>
                <w:color w:val="auto"/>
                <w:sz w:val="21"/>
                <w:szCs w:val="21"/>
                <w:highlight w:val="none"/>
              </w:rPr>
              <w:t>油杉</w:t>
            </w:r>
          </w:p>
        </w:tc>
        <w:tc>
          <w:tcPr>
            <w:tcW w:w="1524" w:type="dxa"/>
            <w:tcBorders>
              <w:tl2br w:val="nil"/>
              <w:tr2bl w:val="nil"/>
            </w:tcBorders>
            <w:vAlign w:val="center"/>
          </w:tcPr>
          <w:p w14:paraId="1017B65E">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vertAlign w:val="baseline"/>
                <w:lang w:val="en-US" w:eastAsia="zh-CN"/>
              </w:rPr>
            </w:pPr>
            <w:r>
              <w:rPr>
                <w:rFonts w:hint="eastAsia" w:eastAsia="宋体"/>
                <w:i/>
                <w:iCs/>
                <w:color w:val="auto"/>
                <w:sz w:val="21"/>
                <w:szCs w:val="21"/>
                <w:highlight w:val="none"/>
              </w:rPr>
              <w:t>Keteleeria</w:t>
            </w:r>
            <w:r>
              <w:rPr>
                <w:rFonts w:hint="eastAsia"/>
                <w:i/>
                <w:iCs/>
                <w:color w:val="auto"/>
                <w:sz w:val="21"/>
                <w:szCs w:val="21"/>
                <w:highlight w:val="none"/>
                <w:lang w:val="en-US" w:eastAsia="zh-CN"/>
              </w:rPr>
              <w:t xml:space="preserve"> </w:t>
            </w:r>
            <w:r>
              <w:rPr>
                <w:rFonts w:hint="eastAsia" w:eastAsia="宋体"/>
                <w:i/>
                <w:iCs/>
                <w:color w:val="auto"/>
                <w:sz w:val="21"/>
                <w:szCs w:val="21"/>
                <w:highlight w:val="none"/>
              </w:rPr>
              <w:t>evelyniana</w:t>
            </w:r>
          </w:p>
        </w:tc>
        <w:tc>
          <w:tcPr>
            <w:tcW w:w="720" w:type="dxa"/>
            <w:tcBorders>
              <w:tl2br w:val="nil"/>
              <w:tr2bl w:val="nil"/>
            </w:tcBorders>
            <w:vAlign w:val="center"/>
          </w:tcPr>
          <w:p w14:paraId="40DD49DF">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乔木</w:t>
            </w:r>
          </w:p>
        </w:tc>
        <w:tc>
          <w:tcPr>
            <w:tcW w:w="708" w:type="dxa"/>
            <w:tcBorders>
              <w:tl2br w:val="nil"/>
              <w:tr2bl w:val="nil"/>
            </w:tcBorders>
            <w:vAlign w:val="center"/>
          </w:tcPr>
          <w:p w14:paraId="33A6CEB6">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较少</w:t>
            </w:r>
          </w:p>
        </w:tc>
        <w:tc>
          <w:tcPr>
            <w:tcW w:w="960" w:type="dxa"/>
            <w:tcBorders>
              <w:tl2br w:val="nil"/>
              <w:tr2bl w:val="nil"/>
            </w:tcBorders>
            <w:vAlign w:val="center"/>
          </w:tcPr>
          <w:p w14:paraId="0B02565F">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lang w:val="en-US" w:eastAsia="zh-CN" w:bidi="ar"/>
              </w:rPr>
              <w:t>700-2600</w:t>
            </w:r>
          </w:p>
        </w:tc>
        <w:tc>
          <w:tcPr>
            <w:tcW w:w="3087" w:type="dxa"/>
            <w:tcBorders>
              <w:tl2br w:val="nil"/>
              <w:tr2bl w:val="nil"/>
            </w:tcBorders>
            <w:vAlign w:val="center"/>
          </w:tcPr>
          <w:p w14:paraId="4414FFE7">
            <w:pPr>
              <w:keepNext w:val="0"/>
              <w:keepLines w:val="0"/>
              <w:pageBreakBefore w:val="0"/>
              <w:widowControl/>
              <w:suppressLineNumbers w:val="0"/>
              <w:kinsoku/>
              <w:wordWrap w:val="0"/>
              <w:overflowPunct/>
              <w:topLinePunct w:val="0"/>
              <w:autoSpaceDE/>
              <w:autoSpaceDN/>
              <w:bidi w:val="0"/>
              <w:adjustRightInd/>
              <w:snapToGrid/>
              <w:ind w:firstLine="0" w:firstLineChars="0"/>
              <w:jc w:val="left"/>
              <w:textAlignment w:val="auto"/>
              <w:rPr>
                <w:rFonts w:hint="eastAsia" w:eastAsia="宋体"/>
                <w:color w:val="auto"/>
                <w:sz w:val="21"/>
                <w:szCs w:val="21"/>
                <w:highlight w:val="none"/>
                <w:vertAlign w:val="baseline"/>
                <w:lang w:val="en-US" w:eastAsia="zh-CN"/>
              </w:rPr>
            </w:pPr>
            <w:r>
              <w:rPr>
                <w:rFonts w:hint="eastAsia" w:ascii="宋体" w:hAnsi="宋体" w:eastAsia="宋体" w:cs="宋体"/>
                <w:color w:val="auto"/>
                <w:kern w:val="0"/>
                <w:sz w:val="21"/>
                <w:szCs w:val="21"/>
                <w:highlight w:val="none"/>
                <w:lang w:val="en-US" w:eastAsia="zh-CN" w:bidi="ar"/>
              </w:rPr>
              <w:t>云南大部分地区分布，贵州西部及西南部、四川西南部安宁河流域至西部大渡河流域海拔</w:t>
            </w:r>
            <w:r>
              <w:rPr>
                <w:rFonts w:hint="default" w:ascii="Times New Roman" w:hAnsi="Times New Roman" w:eastAsia="宋体" w:cs="Times New Roman"/>
                <w:color w:val="auto"/>
                <w:kern w:val="0"/>
                <w:sz w:val="21"/>
                <w:szCs w:val="21"/>
                <w:highlight w:val="none"/>
                <w:lang w:val="en-US" w:eastAsia="zh-CN" w:bidi="ar"/>
              </w:rPr>
              <w:t>700</w:t>
            </w:r>
            <w:r>
              <w:rPr>
                <w:rFonts w:hint="eastAsia" w:cs="Times New Roman"/>
                <w:color w:val="auto"/>
                <w:kern w:val="0"/>
                <w:sz w:val="21"/>
                <w:szCs w:val="21"/>
                <w:highlight w:val="none"/>
                <w:lang w:val="en-US" w:eastAsia="zh-CN" w:bidi="ar"/>
              </w:rPr>
              <w:t>—</w:t>
            </w:r>
            <w:r>
              <w:rPr>
                <w:rFonts w:hint="default" w:ascii="Times New Roman" w:hAnsi="Times New Roman" w:eastAsia="宋体" w:cs="Times New Roman"/>
                <w:color w:val="auto"/>
                <w:kern w:val="0"/>
                <w:sz w:val="21"/>
                <w:szCs w:val="21"/>
                <w:highlight w:val="none"/>
                <w:lang w:val="en-US" w:eastAsia="zh-CN" w:bidi="ar"/>
              </w:rPr>
              <w:t>2600</w:t>
            </w:r>
            <w:r>
              <w:rPr>
                <w:rFonts w:hint="eastAsia" w:ascii="宋体" w:hAnsi="宋体" w:eastAsia="宋体" w:cs="宋体"/>
                <w:color w:val="auto"/>
                <w:kern w:val="0"/>
                <w:sz w:val="21"/>
                <w:szCs w:val="21"/>
                <w:highlight w:val="none"/>
                <w:lang w:val="en-US" w:eastAsia="zh-CN" w:bidi="ar"/>
              </w:rPr>
              <w:t>米的地带分布</w:t>
            </w:r>
          </w:p>
        </w:tc>
      </w:tr>
      <w:tr w14:paraId="308A34A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605" w:type="dxa"/>
            <w:tcBorders>
              <w:tl2br w:val="nil"/>
              <w:tr2bl w:val="nil"/>
            </w:tcBorders>
            <w:vAlign w:val="center"/>
          </w:tcPr>
          <w:p w14:paraId="2E30F979">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14</w:t>
            </w:r>
          </w:p>
        </w:tc>
        <w:tc>
          <w:tcPr>
            <w:tcW w:w="912" w:type="dxa"/>
            <w:tcBorders>
              <w:tl2br w:val="nil"/>
              <w:tr2bl w:val="nil"/>
            </w:tcBorders>
            <w:vAlign w:val="center"/>
          </w:tcPr>
          <w:p w14:paraId="6242E111">
            <w:pPr>
              <w:keepNext w:val="0"/>
              <w:keepLines w:val="0"/>
              <w:pageBreakBefore w:val="0"/>
              <w:widowControl/>
              <w:kinsoku/>
              <w:overflowPunct/>
              <w:topLinePunct w:val="0"/>
              <w:bidi w:val="0"/>
              <w:spacing w:line="240" w:lineRule="auto"/>
              <w:ind w:firstLine="0" w:firstLineChars="0"/>
              <w:jc w:val="center"/>
              <w:outlineLvl w:val="1"/>
              <w:rPr>
                <w:rFonts w:hint="eastAsia" w:eastAsia="宋体"/>
                <w:color w:val="auto"/>
                <w:sz w:val="21"/>
                <w:szCs w:val="21"/>
                <w:highlight w:val="none"/>
              </w:rPr>
            </w:pPr>
            <w:r>
              <w:rPr>
                <w:rFonts w:hint="eastAsia" w:ascii="Times New Roman" w:hAnsi="Times New Roman" w:eastAsia="宋体" w:cs="Times New Roman"/>
                <w:color w:val="auto"/>
                <w:sz w:val="21"/>
                <w:szCs w:val="21"/>
                <w:highlight w:val="none"/>
              </w:rPr>
              <w:t>云南兔儿风</w:t>
            </w:r>
          </w:p>
        </w:tc>
        <w:tc>
          <w:tcPr>
            <w:tcW w:w="1524" w:type="dxa"/>
            <w:tcBorders>
              <w:tl2br w:val="nil"/>
              <w:tr2bl w:val="nil"/>
            </w:tcBorders>
            <w:vAlign w:val="center"/>
          </w:tcPr>
          <w:p w14:paraId="3EF994DF">
            <w:pPr>
              <w:keepNext w:val="0"/>
              <w:keepLines w:val="0"/>
              <w:pageBreakBefore w:val="0"/>
              <w:widowControl/>
              <w:kinsoku/>
              <w:overflowPunct/>
              <w:topLinePunct w:val="0"/>
              <w:bidi w:val="0"/>
              <w:spacing w:line="240" w:lineRule="auto"/>
              <w:ind w:firstLine="0" w:firstLineChars="0"/>
              <w:jc w:val="center"/>
              <w:outlineLvl w:val="1"/>
              <w:rPr>
                <w:rFonts w:hint="eastAsia" w:ascii="Times New Roman" w:hAnsi="Times New Roman" w:eastAsia="宋体" w:cs="Times New Roman"/>
                <w:i/>
                <w:iCs/>
                <w:color w:val="auto"/>
                <w:sz w:val="21"/>
                <w:szCs w:val="21"/>
                <w:highlight w:val="none"/>
              </w:rPr>
            </w:pPr>
            <w:r>
              <w:rPr>
                <w:rFonts w:hint="eastAsia" w:ascii="Times New Roman" w:hAnsi="Times New Roman" w:eastAsia="宋体" w:cs="Times New Roman"/>
                <w:i/>
                <w:iCs/>
                <w:color w:val="auto"/>
                <w:sz w:val="21"/>
                <w:szCs w:val="21"/>
                <w:highlight w:val="none"/>
              </w:rPr>
              <w:t>Ainsliaea</w:t>
            </w:r>
          </w:p>
          <w:p w14:paraId="65095552">
            <w:pPr>
              <w:keepNext w:val="0"/>
              <w:keepLines w:val="0"/>
              <w:pageBreakBefore w:val="0"/>
              <w:widowControl/>
              <w:kinsoku/>
              <w:overflowPunct/>
              <w:topLinePunct w:val="0"/>
              <w:bidi w:val="0"/>
              <w:spacing w:line="240" w:lineRule="auto"/>
              <w:ind w:firstLine="0" w:firstLineChars="0"/>
              <w:jc w:val="center"/>
              <w:outlineLvl w:val="1"/>
              <w:rPr>
                <w:rFonts w:hint="eastAsia" w:eastAsia="宋体"/>
                <w:i/>
                <w:iCs/>
                <w:color w:val="auto"/>
                <w:sz w:val="21"/>
                <w:szCs w:val="21"/>
                <w:highlight w:val="none"/>
              </w:rPr>
            </w:pPr>
            <w:r>
              <w:rPr>
                <w:rFonts w:hint="eastAsia" w:ascii="Times New Roman" w:hAnsi="Times New Roman" w:eastAsia="宋体" w:cs="Times New Roman"/>
                <w:i/>
                <w:iCs/>
                <w:color w:val="auto"/>
                <w:sz w:val="21"/>
                <w:szCs w:val="21"/>
                <w:highlight w:val="none"/>
              </w:rPr>
              <w:t>yunnanensis</w:t>
            </w:r>
          </w:p>
        </w:tc>
        <w:tc>
          <w:tcPr>
            <w:tcW w:w="720" w:type="dxa"/>
            <w:tcBorders>
              <w:tl2br w:val="nil"/>
              <w:tr2bl w:val="nil"/>
            </w:tcBorders>
            <w:vAlign w:val="center"/>
          </w:tcPr>
          <w:p w14:paraId="70970F55">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草本</w:t>
            </w:r>
          </w:p>
        </w:tc>
        <w:tc>
          <w:tcPr>
            <w:tcW w:w="708" w:type="dxa"/>
            <w:tcBorders>
              <w:tl2br w:val="nil"/>
              <w:tr2bl w:val="nil"/>
            </w:tcBorders>
            <w:vAlign w:val="center"/>
          </w:tcPr>
          <w:p w14:paraId="036EDE5E">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多</w:t>
            </w:r>
          </w:p>
        </w:tc>
        <w:tc>
          <w:tcPr>
            <w:tcW w:w="960" w:type="dxa"/>
            <w:tcBorders>
              <w:tl2br w:val="nil"/>
              <w:tr2bl w:val="nil"/>
            </w:tcBorders>
            <w:vAlign w:val="center"/>
          </w:tcPr>
          <w:p w14:paraId="0A85FB3A">
            <w:pPr>
              <w:keepNext w:val="0"/>
              <w:keepLines w:val="0"/>
              <w:pageBreakBefore w:val="0"/>
              <w:widowControl/>
              <w:kinsoku/>
              <w:overflowPunct/>
              <w:topLinePunct w:val="0"/>
              <w:bidi w:val="0"/>
              <w:spacing w:line="240" w:lineRule="auto"/>
              <w:ind w:firstLine="0" w:firstLineChars="0"/>
              <w:jc w:val="center"/>
              <w:outlineLvl w:val="1"/>
              <w:rPr>
                <w:rFonts w:hint="default" w:eastAsia="宋体"/>
                <w:color w:val="auto"/>
                <w:sz w:val="21"/>
                <w:szCs w:val="21"/>
                <w:highlight w:val="none"/>
                <w:vertAlign w:val="baseline"/>
                <w:lang w:val="en-US" w:eastAsia="zh-CN"/>
              </w:rPr>
            </w:pPr>
            <w:r>
              <w:rPr>
                <w:rFonts w:hint="eastAsia" w:eastAsia="宋体"/>
                <w:color w:val="auto"/>
                <w:sz w:val="21"/>
                <w:szCs w:val="21"/>
                <w:highlight w:val="none"/>
                <w:vertAlign w:val="baseline"/>
                <w:lang w:val="en-US" w:eastAsia="zh-CN"/>
              </w:rPr>
              <w:t>1200</w:t>
            </w:r>
            <w:r>
              <w:rPr>
                <w:rFonts w:hint="eastAsia"/>
                <w:color w:val="auto"/>
                <w:sz w:val="21"/>
                <w:szCs w:val="21"/>
                <w:highlight w:val="none"/>
                <w:vertAlign w:val="baseline"/>
                <w:lang w:val="en-US" w:eastAsia="zh-CN"/>
              </w:rPr>
              <w:t>~</w:t>
            </w:r>
            <w:r>
              <w:rPr>
                <w:rFonts w:hint="eastAsia" w:eastAsia="宋体"/>
                <w:color w:val="auto"/>
                <w:sz w:val="21"/>
                <w:szCs w:val="21"/>
                <w:highlight w:val="none"/>
                <w:vertAlign w:val="baseline"/>
                <w:lang w:val="en-US" w:eastAsia="zh-CN"/>
              </w:rPr>
              <w:t>2800</w:t>
            </w:r>
          </w:p>
        </w:tc>
        <w:tc>
          <w:tcPr>
            <w:tcW w:w="3087" w:type="dxa"/>
            <w:tcBorders>
              <w:tl2br w:val="nil"/>
              <w:tr2bl w:val="nil"/>
            </w:tcBorders>
            <w:vAlign w:val="center"/>
          </w:tcPr>
          <w:p w14:paraId="4511D328">
            <w:pPr>
              <w:keepNext w:val="0"/>
              <w:keepLines w:val="0"/>
              <w:pageBreakBefore w:val="0"/>
              <w:widowControl/>
              <w:kinsoku/>
              <w:wordWrap w:val="0"/>
              <w:overflowPunct/>
              <w:topLinePunct w:val="0"/>
              <w:autoSpaceDE/>
              <w:autoSpaceDN/>
              <w:bidi w:val="0"/>
              <w:adjustRightInd/>
              <w:snapToGrid/>
              <w:spacing w:line="240" w:lineRule="auto"/>
              <w:ind w:firstLine="0" w:firstLineChars="0"/>
              <w:jc w:val="left"/>
              <w:textAlignment w:val="auto"/>
              <w:outlineLvl w:val="1"/>
              <w:rPr>
                <w:rFonts w:hint="eastAsia" w:eastAsia="宋体"/>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lang w:val="en-US" w:eastAsia="zh-CN"/>
              </w:rPr>
              <w:t>中甸、丽江、鹤庆、剑川、洱源、云龙、大理、保山、景东、姚安、武定、禄劝、富民、嵩明、寻甸、昆明、宜良、澄江、江川、峨山、元江、玉溪、石屏、蒙自、砚山；四川西南部、贵州西部</w:t>
            </w:r>
          </w:p>
        </w:tc>
      </w:tr>
    </w:tbl>
    <w:p w14:paraId="5A49FF00">
      <w:pPr>
        <w:pStyle w:val="4"/>
        <w:bidi w:val="0"/>
        <w:rPr>
          <w:rFonts w:hint="eastAsia"/>
          <w:color w:val="auto"/>
          <w:lang w:val="en-US" w:eastAsia="zh-CN"/>
        </w:rPr>
      </w:pPr>
      <w:r>
        <w:rPr>
          <w:rFonts w:hint="eastAsia"/>
          <w:color w:val="auto"/>
          <w:lang w:val="en-US" w:eastAsia="zh-CN"/>
        </w:rPr>
        <w:t>2.2.6外来入侵物种</w:t>
      </w:r>
    </w:p>
    <w:p w14:paraId="37ABEC7E">
      <w:pPr>
        <w:pStyle w:val="41"/>
        <w:bidi w:val="0"/>
        <w:rPr>
          <w:color w:val="auto"/>
        </w:rPr>
      </w:pPr>
      <w:r>
        <w:rPr>
          <w:color w:val="auto"/>
        </w:rPr>
        <w:t>调查期间，在评价区仅见到外来入侵植物紫茎泽兰Ageratinaadenophora和喀西茄Solanumaculeatissimum。</w:t>
      </w:r>
    </w:p>
    <w:p w14:paraId="6A4FCA12">
      <w:pPr>
        <w:pStyle w:val="41"/>
        <w:bidi w:val="0"/>
        <w:rPr>
          <w:rFonts w:hint="eastAsia"/>
          <w:color w:val="auto"/>
        </w:rPr>
      </w:pPr>
      <w:r>
        <w:rPr>
          <w:color w:val="auto"/>
        </w:rPr>
        <w:t>紫茎泽兰</w:t>
      </w:r>
      <w:r>
        <w:rPr>
          <w:rFonts w:hint="eastAsia"/>
          <w:color w:val="auto"/>
        </w:rPr>
        <w:t>：</w:t>
      </w:r>
    </w:p>
    <w:p w14:paraId="71ED5C2A">
      <w:pPr>
        <w:pStyle w:val="41"/>
        <w:bidi w:val="0"/>
        <w:rPr>
          <w:color w:val="auto"/>
        </w:rPr>
      </w:pPr>
      <w:r>
        <w:rPr>
          <w:color w:val="auto"/>
        </w:rPr>
        <w:t>原产美洲的墨西哥至哥斯达黎加一带，为多年生草本或半灌木状植物。根茎粗壮发达，直立，株高30</w:t>
      </w:r>
      <w:r>
        <w:rPr>
          <w:rFonts w:hint="eastAsia"/>
          <w:color w:val="auto"/>
          <w:lang w:eastAsia="zh-CN"/>
        </w:rPr>
        <w:t>—</w:t>
      </w:r>
      <w:r>
        <w:rPr>
          <w:color w:val="auto"/>
        </w:rPr>
        <w:t>200cm，分枝对生、斜上，茎紫色、被白色或锈色短柔毛。叶对生，叶片质薄，卵形、三角形或菱状卵形，腹面绿色，背面色浅，边缘有稀疏粗大而不规则的锯齿，在花序下方则为波状浅锯齿或近全缘。头状花序小，直径可达6毫米，在枝端排列成伞房或复伞房花序，约含40</w:t>
      </w:r>
      <w:r>
        <w:rPr>
          <w:rFonts w:hint="eastAsia"/>
          <w:color w:val="auto"/>
          <w:lang w:eastAsia="zh-CN"/>
        </w:rPr>
        <w:t>—</w:t>
      </w:r>
      <w:r>
        <w:rPr>
          <w:color w:val="auto"/>
        </w:rPr>
        <w:t>50朵小花，管状花两性，白色。子实瘦果，黑褐色。每株可年产瘦果1万粒左右，藉冠毛随风传播。花期11月</w:t>
      </w:r>
      <w:r>
        <w:rPr>
          <w:rFonts w:hint="eastAsia"/>
          <w:color w:val="auto"/>
          <w:lang w:eastAsia="zh-CN"/>
        </w:rPr>
        <w:t>－</w:t>
      </w:r>
      <w:r>
        <w:rPr>
          <w:color w:val="auto"/>
        </w:rPr>
        <w:t>翌年4月，结果期3月-4月。紫茎泽兰为热带亚热带分布植物，主要分布于中低海拔区域，评价区海拔高，紫茎泽兰在评价区少见。</w:t>
      </w:r>
    </w:p>
    <w:p w14:paraId="01400A5F">
      <w:pPr>
        <w:pStyle w:val="41"/>
        <w:bidi w:val="0"/>
        <w:rPr>
          <w:rFonts w:hint="eastAsia"/>
          <w:color w:val="auto"/>
        </w:rPr>
      </w:pPr>
      <w:r>
        <w:rPr>
          <w:color w:val="auto"/>
        </w:rPr>
        <w:t>喀西茄</w:t>
      </w:r>
      <w:r>
        <w:rPr>
          <w:rFonts w:hint="eastAsia"/>
          <w:color w:val="auto"/>
        </w:rPr>
        <w:t>：</w:t>
      </w:r>
    </w:p>
    <w:p w14:paraId="3C28BF58">
      <w:pPr>
        <w:pStyle w:val="41"/>
        <w:bidi w:val="0"/>
        <w:rPr>
          <w:color w:val="auto"/>
        </w:rPr>
      </w:pPr>
      <w:r>
        <w:rPr>
          <w:color w:val="auto"/>
        </w:rPr>
        <w:t>原产南美洲的巴西，直立草本至亚灌木，高1</w:t>
      </w:r>
      <w:r>
        <w:rPr>
          <w:rFonts w:hint="eastAsia"/>
          <w:color w:val="auto"/>
          <w:lang w:eastAsia="zh-CN"/>
        </w:rPr>
        <w:t>—</w:t>
      </w:r>
      <w:r>
        <w:rPr>
          <w:color w:val="auto"/>
        </w:rPr>
        <w:t>2米，最高达3米，茎、枝、叶及花柄多混生黄白色具节的长硬毛，短硬毛，腺毛及淡黄色基部宽扁的直刺，刺长2</w:t>
      </w:r>
      <w:r>
        <w:rPr>
          <w:rFonts w:hint="eastAsia"/>
          <w:color w:val="auto"/>
          <w:lang w:eastAsia="zh-CN"/>
        </w:rPr>
        <w:t>—</w:t>
      </w:r>
      <w:r>
        <w:rPr>
          <w:color w:val="auto"/>
        </w:rPr>
        <w:t>15毫米，宽1</w:t>
      </w:r>
      <w:r>
        <w:rPr>
          <w:rFonts w:hint="eastAsia"/>
          <w:color w:val="auto"/>
          <w:lang w:eastAsia="zh-CN"/>
        </w:rPr>
        <w:t>—</w:t>
      </w:r>
      <w:r>
        <w:rPr>
          <w:color w:val="auto"/>
        </w:rPr>
        <w:t>5毫米，基部暗黄色。叶阔卵形，长6</w:t>
      </w:r>
      <w:r>
        <w:rPr>
          <w:rFonts w:hint="eastAsia"/>
          <w:color w:val="auto"/>
          <w:lang w:eastAsia="zh-CN"/>
        </w:rPr>
        <w:t>—</w:t>
      </w:r>
      <w:r>
        <w:rPr>
          <w:color w:val="auto"/>
        </w:rPr>
        <w:t>12厘米，裂片边缘又作不规则的齿裂及浅裂；上面深绿，毛被在叶脉处更密；叶柄粗壮，长约为，叶片之半。花冠筒淡黄色，隐于萼内，长约1.5毫米；浆果球状，初时绿白色，具绿色花纹，成熟时淡黄色，宿萼上具纤毛及细直刺，后逐渐脱落；种子淡黄色，近倒卵形，扁平，直径约2.5毫米。花期春夏，果熟期冬季。</w:t>
      </w:r>
    </w:p>
    <w:p w14:paraId="3F6AC3C0">
      <w:pPr>
        <w:pStyle w:val="41"/>
        <w:bidi w:val="0"/>
        <w:rPr>
          <w:color w:val="auto"/>
        </w:rPr>
      </w:pPr>
      <w:r>
        <w:rPr>
          <w:color w:val="auto"/>
        </w:rPr>
        <w:t>喀西茄为热带亚热带分布植物，主要分布于中低海拔区域，评价区海拔高，在评价区也少见。</w:t>
      </w:r>
    </w:p>
    <w:p w14:paraId="4471B225">
      <w:pPr>
        <w:pStyle w:val="4"/>
        <w:bidi w:val="0"/>
        <w:rPr>
          <w:rFonts w:hint="eastAsia"/>
          <w:color w:val="auto"/>
          <w:lang w:val="en-US" w:eastAsia="zh-CN"/>
        </w:rPr>
      </w:pPr>
      <w:r>
        <w:rPr>
          <w:rFonts w:hint="eastAsia"/>
          <w:color w:val="auto"/>
          <w:lang w:val="en-US" w:eastAsia="zh-CN"/>
        </w:rPr>
        <w:t>2.2.7资源植物</w:t>
      </w:r>
    </w:p>
    <w:p w14:paraId="13842BF7">
      <w:pPr>
        <w:pStyle w:val="41"/>
        <w:bidi w:val="0"/>
        <w:rPr>
          <w:color w:val="auto"/>
        </w:rPr>
      </w:pPr>
      <w:r>
        <w:rPr>
          <w:color w:val="auto"/>
        </w:rPr>
        <w:t>评价区的资源植物种类和数量不是十分丰富，利用程度不一。主要利用类型有以下几类：</w:t>
      </w:r>
    </w:p>
    <w:p w14:paraId="03D0DB62">
      <w:pPr>
        <w:pStyle w:val="41"/>
        <w:bidi w:val="0"/>
        <w:rPr>
          <w:color w:val="auto"/>
        </w:rPr>
      </w:pPr>
      <w:r>
        <w:rPr>
          <w:color w:val="auto"/>
        </w:rPr>
        <w:t>（1）药用植物</w:t>
      </w:r>
    </w:p>
    <w:p w14:paraId="5E1AF278">
      <w:pPr>
        <w:pStyle w:val="41"/>
        <w:bidi w:val="0"/>
        <w:rPr>
          <w:color w:val="auto"/>
        </w:rPr>
      </w:pPr>
      <w:r>
        <w:rPr>
          <w:color w:val="auto"/>
        </w:rPr>
        <w:t>评价区分布的药用植物种类较多，虽然评价区药用植物种数较多，却没有特别珍贵的药用种类，均为滇中地区常见种类，主要分布于路边，荒地，耕地边和次生灌丛中。评价区药用植物主要有西南委陵菜</w:t>
      </w:r>
      <w:r>
        <w:rPr>
          <w:i/>
          <w:iCs/>
          <w:color w:val="auto"/>
        </w:rPr>
        <w:t>Potentilla</w:t>
      </w:r>
      <w:r>
        <w:rPr>
          <w:rFonts w:hint="eastAsia"/>
          <w:i/>
          <w:iCs/>
          <w:color w:val="auto"/>
          <w:lang w:val="en-US" w:eastAsia="zh-CN"/>
        </w:rPr>
        <w:t xml:space="preserve"> </w:t>
      </w:r>
      <w:r>
        <w:rPr>
          <w:i/>
          <w:iCs/>
          <w:color w:val="auto"/>
        </w:rPr>
        <w:t>fulgens</w:t>
      </w:r>
      <w:r>
        <w:rPr>
          <w:color w:val="auto"/>
        </w:rPr>
        <w:t>、火棘</w:t>
      </w:r>
      <w:r>
        <w:rPr>
          <w:i/>
          <w:iCs/>
          <w:color w:val="auto"/>
        </w:rPr>
        <w:t>Pyracantha</w:t>
      </w:r>
      <w:r>
        <w:rPr>
          <w:rFonts w:hint="eastAsia"/>
          <w:i/>
          <w:iCs/>
          <w:color w:val="auto"/>
          <w:lang w:val="en-US" w:eastAsia="zh-CN"/>
        </w:rPr>
        <w:t xml:space="preserve"> </w:t>
      </w:r>
      <w:r>
        <w:rPr>
          <w:i/>
          <w:iCs/>
          <w:color w:val="auto"/>
        </w:rPr>
        <w:t>fortuneana</w:t>
      </w:r>
      <w:r>
        <w:rPr>
          <w:color w:val="auto"/>
        </w:rPr>
        <w:t>、地果</w:t>
      </w:r>
      <w:r>
        <w:rPr>
          <w:i/>
          <w:iCs/>
          <w:color w:val="auto"/>
        </w:rPr>
        <w:t>Ficus</w:t>
      </w:r>
      <w:r>
        <w:rPr>
          <w:rFonts w:hint="eastAsia"/>
          <w:i/>
          <w:iCs/>
          <w:color w:val="auto"/>
          <w:lang w:val="en-US" w:eastAsia="zh-CN"/>
        </w:rPr>
        <w:t xml:space="preserve"> </w:t>
      </w:r>
      <w:r>
        <w:rPr>
          <w:i/>
          <w:iCs/>
          <w:color w:val="auto"/>
        </w:rPr>
        <w:t>tikoua</w:t>
      </w:r>
      <w:r>
        <w:rPr>
          <w:color w:val="auto"/>
        </w:rPr>
        <w:t>、野拔子</w:t>
      </w:r>
      <w:r>
        <w:rPr>
          <w:i/>
          <w:iCs/>
          <w:color w:val="auto"/>
        </w:rPr>
        <w:t>Elsholtzia</w:t>
      </w:r>
      <w:r>
        <w:rPr>
          <w:rFonts w:hint="eastAsia"/>
          <w:i/>
          <w:iCs/>
          <w:color w:val="auto"/>
          <w:lang w:val="en-US" w:eastAsia="zh-CN"/>
        </w:rPr>
        <w:t xml:space="preserve"> </w:t>
      </w:r>
      <w:r>
        <w:rPr>
          <w:i/>
          <w:iCs/>
          <w:color w:val="auto"/>
        </w:rPr>
        <w:t>rugulosa</w:t>
      </w:r>
      <w:r>
        <w:rPr>
          <w:color w:val="auto"/>
        </w:rPr>
        <w:t>、滇香薷</w:t>
      </w:r>
      <w:r>
        <w:rPr>
          <w:i/>
          <w:iCs/>
          <w:color w:val="auto"/>
        </w:rPr>
        <w:t>Origanum</w:t>
      </w:r>
      <w:r>
        <w:rPr>
          <w:rFonts w:hint="eastAsia"/>
          <w:i/>
          <w:iCs/>
          <w:color w:val="auto"/>
          <w:lang w:val="en-US" w:eastAsia="zh-CN"/>
        </w:rPr>
        <w:t xml:space="preserve"> </w:t>
      </w:r>
      <w:r>
        <w:rPr>
          <w:i/>
          <w:iCs/>
          <w:color w:val="auto"/>
        </w:rPr>
        <w:t>vulgare</w:t>
      </w:r>
      <w:r>
        <w:rPr>
          <w:color w:val="auto"/>
        </w:rPr>
        <w:t>、杏叶茴芹</w:t>
      </w:r>
      <w:r>
        <w:rPr>
          <w:i/>
          <w:iCs/>
          <w:color w:val="auto"/>
        </w:rPr>
        <w:t>Pimpinella</w:t>
      </w:r>
      <w:r>
        <w:rPr>
          <w:rFonts w:hint="eastAsia"/>
          <w:i/>
          <w:iCs/>
          <w:color w:val="auto"/>
          <w:lang w:val="en-US" w:eastAsia="zh-CN"/>
        </w:rPr>
        <w:t xml:space="preserve"> </w:t>
      </w:r>
      <w:r>
        <w:rPr>
          <w:i/>
          <w:iCs/>
          <w:color w:val="auto"/>
        </w:rPr>
        <w:t>candolleana</w:t>
      </w:r>
      <w:r>
        <w:rPr>
          <w:color w:val="auto"/>
        </w:rPr>
        <w:t>、香薷</w:t>
      </w:r>
      <w:r>
        <w:rPr>
          <w:i/>
          <w:iCs/>
          <w:color w:val="auto"/>
        </w:rPr>
        <w:t>Elsholtzia</w:t>
      </w:r>
      <w:r>
        <w:rPr>
          <w:rFonts w:hint="eastAsia"/>
          <w:i/>
          <w:iCs/>
          <w:color w:val="auto"/>
          <w:lang w:val="en-US" w:eastAsia="zh-CN"/>
        </w:rPr>
        <w:t xml:space="preserve"> </w:t>
      </w:r>
      <w:r>
        <w:rPr>
          <w:i/>
          <w:iCs/>
          <w:color w:val="auto"/>
        </w:rPr>
        <w:t>ciliata</w:t>
      </w:r>
      <w:r>
        <w:rPr>
          <w:color w:val="auto"/>
        </w:rPr>
        <w:t>、乌鸦果</w:t>
      </w:r>
      <w:r>
        <w:rPr>
          <w:i/>
          <w:iCs/>
          <w:color w:val="auto"/>
        </w:rPr>
        <w:t>Vaccinium</w:t>
      </w:r>
      <w:r>
        <w:rPr>
          <w:rFonts w:hint="eastAsia"/>
          <w:i/>
          <w:iCs/>
          <w:color w:val="auto"/>
          <w:lang w:val="en-US" w:eastAsia="zh-CN"/>
        </w:rPr>
        <w:t xml:space="preserve"> </w:t>
      </w:r>
      <w:r>
        <w:rPr>
          <w:i/>
          <w:iCs/>
          <w:color w:val="auto"/>
        </w:rPr>
        <w:t>fragile</w:t>
      </w:r>
      <w:r>
        <w:rPr>
          <w:color w:val="auto"/>
        </w:rPr>
        <w:t>、千里光</w:t>
      </w:r>
      <w:r>
        <w:rPr>
          <w:i/>
          <w:iCs/>
          <w:color w:val="auto"/>
        </w:rPr>
        <w:t>Senecio</w:t>
      </w:r>
      <w:r>
        <w:rPr>
          <w:rFonts w:hint="eastAsia"/>
          <w:i/>
          <w:iCs/>
          <w:color w:val="auto"/>
          <w:lang w:val="en-US" w:eastAsia="zh-CN"/>
        </w:rPr>
        <w:t xml:space="preserve"> </w:t>
      </w:r>
      <w:r>
        <w:rPr>
          <w:i/>
          <w:iCs/>
          <w:color w:val="auto"/>
        </w:rPr>
        <w:t>scandens</w:t>
      </w:r>
      <w:r>
        <w:rPr>
          <w:color w:val="auto"/>
        </w:rPr>
        <w:t>、黄褐珠光香青</w:t>
      </w:r>
      <w:r>
        <w:rPr>
          <w:i/>
          <w:iCs/>
          <w:color w:val="auto"/>
        </w:rPr>
        <w:t>Anaphalis</w:t>
      </w:r>
      <w:r>
        <w:rPr>
          <w:rFonts w:hint="eastAsia"/>
          <w:i/>
          <w:iCs/>
          <w:color w:val="auto"/>
          <w:lang w:val="en-US" w:eastAsia="zh-CN"/>
        </w:rPr>
        <w:t xml:space="preserve"> </w:t>
      </w:r>
      <w:r>
        <w:rPr>
          <w:i/>
          <w:iCs/>
          <w:color w:val="auto"/>
        </w:rPr>
        <w:t>margaritacea</w:t>
      </w:r>
      <w:r>
        <w:rPr>
          <w:color w:val="auto"/>
        </w:rPr>
        <w:t>、滇龙胆草</w:t>
      </w:r>
      <w:r>
        <w:rPr>
          <w:i/>
          <w:iCs/>
          <w:color w:val="auto"/>
        </w:rPr>
        <w:t>Gentianarige</w:t>
      </w:r>
      <w:r>
        <w:rPr>
          <w:rFonts w:hint="eastAsia"/>
          <w:i/>
          <w:iCs/>
          <w:color w:val="auto"/>
          <w:lang w:val="en-US" w:eastAsia="zh-CN"/>
        </w:rPr>
        <w:t xml:space="preserve"> </w:t>
      </w:r>
      <w:r>
        <w:rPr>
          <w:i/>
          <w:iCs/>
          <w:color w:val="auto"/>
        </w:rPr>
        <w:t>scens</w:t>
      </w:r>
      <w:r>
        <w:rPr>
          <w:color w:val="auto"/>
        </w:rPr>
        <w:t>、青刺尖</w:t>
      </w:r>
      <w:r>
        <w:rPr>
          <w:i/>
          <w:iCs/>
          <w:color w:val="auto"/>
        </w:rPr>
        <w:t>Prinsepia</w:t>
      </w:r>
      <w:r>
        <w:rPr>
          <w:rFonts w:hint="eastAsia"/>
          <w:i/>
          <w:iCs/>
          <w:color w:val="auto"/>
          <w:lang w:val="en-US" w:eastAsia="zh-CN"/>
        </w:rPr>
        <w:t xml:space="preserve"> </w:t>
      </w:r>
      <w:r>
        <w:rPr>
          <w:i/>
          <w:iCs/>
          <w:color w:val="auto"/>
        </w:rPr>
        <w:t>utilis</w:t>
      </w:r>
      <w:r>
        <w:rPr>
          <w:color w:val="auto"/>
        </w:rPr>
        <w:t>、红花龙胆</w:t>
      </w:r>
      <w:r>
        <w:rPr>
          <w:i/>
          <w:iCs/>
          <w:color w:val="auto"/>
        </w:rPr>
        <w:t>Gentiana</w:t>
      </w:r>
      <w:r>
        <w:rPr>
          <w:rFonts w:hint="eastAsia"/>
          <w:i/>
          <w:iCs/>
          <w:color w:val="auto"/>
          <w:lang w:val="en-US" w:eastAsia="zh-CN"/>
        </w:rPr>
        <w:t xml:space="preserve"> </w:t>
      </w:r>
      <w:r>
        <w:rPr>
          <w:i/>
          <w:iCs/>
          <w:color w:val="auto"/>
        </w:rPr>
        <w:t>rhodantha</w:t>
      </w:r>
      <w:r>
        <w:rPr>
          <w:color w:val="auto"/>
        </w:rPr>
        <w:t>、铁线莲</w:t>
      </w:r>
      <w:r>
        <w:rPr>
          <w:i/>
          <w:iCs/>
          <w:color w:val="auto"/>
        </w:rPr>
        <w:t>Clematis</w:t>
      </w:r>
      <w:r>
        <w:rPr>
          <w:rFonts w:hint="eastAsia"/>
          <w:i/>
          <w:iCs/>
          <w:color w:val="auto"/>
          <w:lang w:val="en-US" w:eastAsia="zh-CN"/>
        </w:rPr>
        <w:t xml:space="preserve"> </w:t>
      </w:r>
      <w:r>
        <w:rPr>
          <w:i/>
          <w:iCs/>
          <w:color w:val="auto"/>
        </w:rPr>
        <w:t>florida</w:t>
      </w:r>
      <w:r>
        <w:rPr>
          <w:color w:val="auto"/>
        </w:rPr>
        <w:t>、土牛膝</w:t>
      </w:r>
      <w:r>
        <w:rPr>
          <w:i/>
          <w:iCs/>
          <w:color w:val="auto"/>
        </w:rPr>
        <w:t>Achyranthes</w:t>
      </w:r>
      <w:r>
        <w:rPr>
          <w:rFonts w:hint="eastAsia"/>
          <w:i/>
          <w:iCs/>
          <w:color w:val="auto"/>
          <w:lang w:val="en-US" w:eastAsia="zh-CN"/>
        </w:rPr>
        <w:t xml:space="preserve"> </w:t>
      </w:r>
      <w:r>
        <w:rPr>
          <w:i/>
          <w:iCs/>
          <w:color w:val="auto"/>
        </w:rPr>
        <w:t>asper</w:t>
      </w:r>
      <w:r>
        <w:rPr>
          <w:color w:val="auto"/>
        </w:rPr>
        <w:t>等。总体来说，这些药用植物，种类虽多，但是由于数量少，没有资源优势，当地利用并不广泛，仅民间偶尔利用，没有形成药物产业。</w:t>
      </w:r>
    </w:p>
    <w:p w14:paraId="60D885C9">
      <w:pPr>
        <w:pStyle w:val="41"/>
        <w:bidi w:val="0"/>
        <w:rPr>
          <w:color w:val="auto"/>
        </w:rPr>
      </w:pPr>
      <w:r>
        <w:rPr>
          <w:color w:val="auto"/>
        </w:rPr>
        <w:t>（2）用材树种</w:t>
      </w:r>
    </w:p>
    <w:p w14:paraId="3BD30594">
      <w:pPr>
        <w:pStyle w:val="41"/>
        <w:bidi w:val="0"/>
        <w:rPr>
          <w:color w:val="auto"/>
        </w:rPr>
      </w:pPr>
      <w:r>
        <w:rPr>
          <w:color w:val="auto"/>
        </w:rPr>
        <w:t>评价区分布的用材树种主要是人工种植的类型，而自然分布的用材树种种类和数量都很少。用材树种主要有云南松</w:t>
      </w:r>
      <w:r>
        <w:rPr>
          <w:i/>
          <w:iCs/>
          <w:color w:val="auto"/>
        </w:rPr>
        <w:t>Pinus</w:t>
      </w:r>
      <w:r>
        <w:rPr>
          <w:rFonts w:hint="eastAsia"/>
          <w:i/>
          <w:iCs/>
          <w:color w:val="auto"/>
          <w:lang w:val="en-US" w:eastAsia="zh-CN"/>
        </w:rPr>
        <w:t xml:space="preserve"> </w:t>
      </w:r>
      <w:r>
        <w:rPr>
          <w:i/>
          <w:iCs/>
          <w:color w:val="auto"/>
        </w:rPr>
        <w:t>yunnanensis</w:t>
      </w:r>
      <w:r>
        <w:rPr>
          <w:color w:val="auto"/>
        </w:rPr>
        <w:t>、旱冬瓜</w:t>
      </w:r>
      <w:r>
        <w:rPr>
          <w:i/>
          <w:iCs/>
          <w:color w:val="auto"/>
        </w:rPr>
        <w:t>Alnus</w:t>
      </w:r>
      <w:r>
        <w:rPr>
          <w:rFonts w:hint="eastAsia"/>
          <w:i/>
          <w:iCs/>
          <w:color w:val="auto"/>
          <w:lang w:val="en-US" w:eastAsia="zh-CN"/>
        </w:rPr>
        <w:t xml:space="preserve"> </w:t>
      </w:r>
      <w:r>
        <w:rPr>
          <w:i/>
          <w:iCs/>
          <w:color w:val="auto"/>
        </w:rPr>
        <w:t>nepalensis</w:t>
      </w:r>
      <w:r>
        <w:rPr>
          <w:color w:val="auto"/>
        </w:rPr>
        <w:t>、栓皮栎</w:t>
      </w:r>
      <w:r>
        <w:rPr>
          <w:i/>
          <w:iCs/>
          <w:color w:val="auto"/>
        </w:rPr>
        <w:t>Quercus</w:t>
      </w:r>
      <w:r>
        <w:rPr>
          <w:rFonts w:hint="eastAsia"/>
          <w:i/>
          <w:iCs/>
          <w:color w:val="auto"/>
          <w:lang w:val="en-US" w:eastAsia="zh-CN"/>
        </w:rPr>
        <w:t xml:space="preserve"> </w:t>
      </w:r>
      <w:r>
        <w:rPr>
          <w:i/>
          <w:iCs/>
          <w:color w:val="auto"/>
        </w:rPr>
        <w:t>variabilis</w:t>
      </w:r>
      <w:r>
        <w:rPr>
          <w:color w:val="auto"/>
        </w:rPr>
        <w:t>、滇青冈</w:t>
      </w:r>
      <w:r>
        <w:rPr>
          <w:i/>
          <w:iCs/>
          <w:color w:val="auto"/>
        </w:rPr>
        <w:t>Cyclobalanopsis</w:t>
      </w:r>
      <w:r>
        <w:rPr>
          <w:rFonts w:hint="eastAsia"/>
          <w:i/>
          <w:iCs/>
          <w:color w:val="auto"/>
          <w:lang w:val="en-US" w:eastAsia="zh-CN"/>
        </w:rPr>
        <w:t xml:space="preserve"> </w:t>
      </w:r>
      <w:r>
        <w:rPr>
          <w:i/>
          <w:iCs/>
          <w:color w:val="auto"/>
        </w:rPr>
        <w:t>glaucoides</w:t>
      </w:r>
      <w:r>
        <w:rPr>
          <w:color w:val="auto"/>
        </w:rPr>
        <w:t>、云南油杉</w:t>
      </w:r>
      <w:r>
        <w:rPr>
          <w:i/>
          <w:iCs/>
          <w:color w:val="auto"/>
        </w:rPr>
        <w:t>Keteleeria</w:t>
      </w:r>
      <w:r>
        <w:rPr>
          <w:rFonts w:hint="eastAsia"/>
          <w:i/>
          <w:iCs/>
          <w:color w:val="auto"/>
          <w:lang w:val="en-US" w:eastAsia="zh-CN"/>
        </w:rPr>
        <w:t xml:space="preserve"> </w:t>
      </w:r>
      <w:r>
        <w:rPr>
          <w:i/>
          <w:iCs/>
          <w:color w:val="auto"/>
        </w:rPr>
        <w:t>evelyniana</w:t>
      </w:r>
      <w:r>
        <w:rPr>
          <w:color w:val="auto"/>
        </w:rPr>
        <w:t>、滇石栎</w:t>
      </w:r>
      <w:r>
        <w:rPr>
          <w:i/>
          <w:iCs/>
          <w:color w:val="auto"/>
        </w:rPr>
        <w:t>Lithocarpus</w:t>
      </w:r>
      <w:r>
        <w:rPr>
          <w:rFonts w:hint="eastAsia"/>
          <w:i/>
          <w:iCs/>
          <w:color w:val="auto"/>
          <w:lang w:val="en-US" w:eastAsia="zh-CN"/>
        </w:rPr>
        <w:t xml:space="preserve"> </w:t>
      </w:r>
      <w:r>
        <w:rPr>
          <w:i/>
          <w:iCs/>
          <w:color w:val="auto"/>
        </w:rPr>
        <w:t>dealbatus</w:t>
      </w:r>
      <w:r>
        <w:rPr>
          <w:color w:val="auto"/>
        </w:rPr>
        <w:t>、*华山松</w:t>
      </w:r>
      <w:r>
        <w:rPr>
          <w:i/>
          <w:iCs/>
          <w:color w:val="auto"/>
        </w:rPr>
        <w:t>Pinus</w:t>
      </w:r>
      <w:r>
        <w:rPr>
          <w:rFonts w:hint="eastAsia"/>
          <w:i/>
          <w:iCs/>
          <w:color w:val="auto"/>
          <w:lang w:val="en-US" w:eastAsia="zh-CN"/>
        </w:rPr>
        <w:t xml:space="preserve"> </w:t>
      </w:r>
      <w:r>
        <w:rPr>
          <w:i/>
          <w:iCs/>
          <w:color w:val="auto"/>
        </w:rPr>
        <w:t>armandi</w:t>
      </w:r>
      <w:r>
        <w:rPr>
          <w:color w:val="auto"/>
        </w:rPr>
        <w:t>等，</w:t>
      </w:r>
      <w:r>
        <w:rPr>
          <w:rFonts w:hint="eastAsia"/>
          <w:color w:val="auto"/>
          <w:lang w:eastAsia="zh-CN"/>
        </w:rPr>
        <w:t>其他均</w:t>
      </w:r>
      <w:r>
        <w:rPr>
          <w:color w:val="auto"/>
        </w:rPr>
        <w:t>难形成大面积的用材林，更缺少大胸径的用材资源。</w:t>
      </w:r>
    </w:p>
    <w:p w14:paraId="642BB077">
      <w:pPr>
        <w:pStyle w:val="41"/>
        <w:bidi w:val="0"/>
        <w:rPr>
          <w:color w:val="auto"/>
        </w:rPr>
      </w:pPr>
      <w:r>
        <w:rPr>
          <w:color w:val="auto"/>
        </w:rPr>
        <w:t>（3）食用植物</w:t>
      </w:r>
    </w:p>
    <w:p w14:paraId="44851577">
      <w:pPr>
        <w:pStyle w:val="41"/>
        <w:bidi w:val="0"/>
        <w:rPr>
          <w:color w:val="auto"/>
        </w:rPr>
      </w:pPr>
      <w:r>
        <w:rPr>
          <w:color w:val="auto"/>
        </w:rPr>
        <w:t>评价区可以作为蔬菜食用，或者作为果实食用的野生植物种类少、数量也不多，较为常见的有菜蕨</w:t>
      </w:r>
      <w:r>
        <w:rPr>
          <w:i/>
          <w:iCs/>
          <w:color w:val="auto"/>
        </w:rPr>
        <w:t>Pteridium</w:t>
      </w:r>
      <w:r>
        <w:rPr>
          <w:rFonts w:hint="eastAsia"/>
          <w:i/>
          <w:iCs/>
          <w:color w:val="auto"/>
          <w:lang w:val="en-US" w:eastAsia="zh-CN"/>
        </w:rPr>
        <w:t xml:space="preserve"> </w:t>
      </w:r>
      <w:r>
        <w:rPr>
          <w:i/>
          <w:iCs/>
          <w:color w:val="auto"/>
        </w:rPr>
        <w:t>aquilinum</w:t>
      </w:r>
      <w:r>
        <w:rPr>
          <w:color w:val="auto"/>
        </w:rPr>
        <w:t>、川梨</w:t>
      </w:r>
      <w:r>
        <w:rPr>
          <w:i/>
          <w:iCs/>
          <w:color w:val="auto"/>
        </w:rPr>
        <w:t>Pyru</w:t>
      </w:r>
      <w:r>
        <w:rPr>
          <w:rFonts w:hint="eastAsia"/>
          <w:i/>
          <w:iCs/>
          <w:color w:val="auto"/>
          <w:lang w:val="en-US" w:eastAsia="zh-CN"/>
        </w:rPr>
        <w:t xml:space="preserve"> </w:t>
      </w:r>
      <w:r>
        <w:rPr>
          <w:i/>
          <w:iCs/>
          <w:color w:val="auto"/>
        </w:rPr>
        <w:t>spashia</w:t>
      </w:r>
      <w:r>
        <w:rPr>
          <w:color w:val="auto"/>
        </w:rPr>
        <w:t>、乌鸦果</w:t>
      </w:r>
      <w:r>
        <w:rPr>
          <w:i/>
          <w:iCs/>
          <w:color w:val="auto"/>
        </w:rPr>
        <w:t>Vaccinium</w:t>
      </w:r>
      <w:r>
        <w:rPr>
          <w:rFonts w:hint="eastAsia"/>
          <w:i/>
          <w:iCs/>
          <w:color w:val="auto"/>
          <w:lang w:val="en-US" w:eastAsia="zh-CN"/>
        </w:rPr>
        <w:t xml:space="preserve"> </w:t>
      </w:r>
      <w:r>
        <w:rPr>
          <w:i/>
          <w:iCs/>
          <w:color w:val="auto"/>
        </w:rPr>
        <w:t>fragile</w:t>
      </w:r>
      <w:r>
        <w:rPr>
          <w:color w:val="auto"/>
        </w:rPr>
        <w:t>、火棘</w:t>
      </w:r>
      <w:r>
        <w:rPr>
          <w:i/>
          <w:iCs/>
          <w:color w:val="auto"/>
        </w:rPr>
        <w:t>Pyracantha</w:t>
      </w:r>
      <w:r>
        <w:rPr>
          <w:rFonts w:hint="eastAsia"/>
          <w:i/>
          <w:iCs/>
          <w:color w:val="auto"/>
          <w:lang w:val="en-US" w:eastAsia="zh-CN"/>
        </w:rPr>
        <w:t xml:space="preserve"> </w:t>
      </w:r>
      <w:r>
        <w:rPr>
          <w:i/>
          <w:iCs/>
          <w:color w:val="auto"/>
        </w:rPr>
        <w:t>fortuneana</w:t>
      </w:r>
      <w:r>
        <w:rPr>
          <w:color w:val="auto"/>
        </w:rPr>
        <w:t>、野草莓</w:t>
      </w:r>
      <w:r>
        <w:rPr>
          <w:i/>
          <w:iCs/>
          <w:color w:val="auto"/>
        </w:rPr>
        <w:t>Fragaria</w:t>
      </w:r>
      <w:r>
        <w:rPr>
          <w:rFonts w:hint="eastAsia"/>
          <w:i/>
          <w:iCs/>
          <w:color w:val="auto"/>
          <w:lang w:val="en-US" w:eastAsia="zh-CN"/>
        </w:rPr>
        <w:t xml:space="preserve"> </w:t>
      </w:r>
      <w:r>
        <w:rPr>
          <w:i/>
          <w:iCs/>
          <w:color w:val="auto"/>
        </w:rPr>
        <w:t>vesca</w:t>
      </w:r>
      <w:r>
        <w:rPr>
          <w:color w:val="auto"/>
        </w:rPr>
        <w:t>、黄褐珠光香青</w:t>
      </w:r>
      <w:r>
        <w:rPr>
          <w:i/>
          <w:iCs/>
          <w:color w:val="auto"/>
        </w:rPr>
        <w:t>Anaphalis</w:t>
      </w:r>
      <w:r>
        <w:rPr>
          <w:rFonts w:hint="eastAsia"/>
          <w:i/>
          <w:iCs/>
          <w:color w:val="auto"/>
          <w:lang w:val="en-US" w:eastAsia="zh-CN"/>
        </w:rPr>
        <w:t xml:space="preserve"> </w:t>
      </w:r>
      <w:r>
        <w:rPr>
          <w:i/>
          <w:iCs/>
          <w:color w:val="auto"/>
        </w:rPr>
        <w:t>margaritacea</w:t>
      </w:r>
      <w:r>
        <w:rPr>
          <w:color w:val="auto"/>
        </w:rPr>
        <w:t>、大白花杜鹃</w:t>
      </w:r>
      <w:r>
        <w:rPr>
          <w:i/>
          <w:iCs/>
          <w:color w:val="auto"/>
        </w:rPr>
        <w:t>Rhododendron</w:t>
      </w:r>
      <w:r>
        <w:rPr>
          <w:rFonts w:hint="eastAsia"/>
          <w:i/>
          <w:iCs/>
          <w:color w:val="auto"/>
          <w:lang w:val="en-US" w:eastAsia="zh-CN"/>
        </w:rPr>
        <w:t xml:space="preserve"> </w:t>
      </w:r>
      <w:r>
        <w:rPr>
          <w:i/>
          <w:iCs/>
          <w:color w:val="auto"/>
        </w:rPr>
        <w:t>decorum</w:t>
      </w:r>
      <w:r>
        <w:rPr>
          <w:color w:val="auto"/>
        </w:rPr>
        <w:t>、野青茅</w:t>
      </w:r>
      <w:r>
        <w:rPr>
          <w:i/>
          <w:iCs/>
          <w:color w:val="auto"/>
        </w:rPr>
        <w:t>Deyeuxiaarun</w:t>
      </w:r>
      <w:r>
        <w:rPr>
          <w:rFonts w:hint="eastAsia"/>
          <w:i/>
          <w:iCs/>
          <w:color w:val="auto"/>
          <w:lang w:val="en-US" w:eastAsia="zh-CN"/>
        </w:rPr>
        <w:t xml:space="preserve"> </w:t>
      </w:r>
      <w:r>
        <w:rPr>
          <w:i/>
          <w:iCs/>
          <w:color w:val="auto"/>
        </w:rPr>
        <w:t>dinacea</w:t>
      </w:r>
      <w:r>
        <w:rPr>
          <w:color w:val="auto"/>
        </w:rPr>
        <w:t>、二色香青</w:t>
      </w:r>
      <w:r>
        <w:rPr>
          <w:i/>
          <w:iCs/>
          <w:color w:val="auto"/>
        </w:rPr>
        <w:t>Anaphalis</w:t>
      </w:r>
      <w:r>
        <w:rPr>
          <w:rFonts w:hint="eastAsia"/>
          <w:i/>
          <w:iCs/>
          <w:color w:val="auto"/>
          <w:lang w:val="en-US" w:eastAsia="zh-CN"/>
        </w:rPr>
        <w:t xml:space="preserve"> </w:t>
      </w:r>
      <w:r>
        <w:rPr>
          <w:i/>
          <w:iCs/>
          <w:color w:val="auto"/>
        </w:rPr>
        <w:t>bicolor</w:t>
      </w:r>
      <w:r>
        <w:rPr>
          <w:color w:val="auto"/>
        </w:rPr>
        <w:t>等。本区的食用植物资源，多数种类都仅仅是当地老百姓自己偶尔采食而已，没有形成商品。</w:t>
      </w:r>
    </w:p>
    <w:p w14:paraId="503D22EF">
      <w:pPr>
        <w:pStyle w:val="41"/>
        <w:bidi w:val="0"/>
        <w:rPr>
          <w:color w:val="auto"/>
        </w:rPr>
      </w:pPr>
      <w:r>
        <w:rPr>
          <w:color w:val="auto"/>
        </w:rPr>
        <w:t>（4）野生绿化及花卉植物</w:t>
      </w:r>
    </w:p>
    <w:p w14:paraId="0D76C857">
      <w:pPr>
        <w:pStyle w:val="41"/>
        <w:bidi w:val="0"/>
        <w:rPr>
          <w:color w:val="auto"/>
        </w:rPr>
      </w:pPr>
      <w:r>
        <w:rPr>
          <w:color w:val="auto"/>
        </w:rPr>
        <w:t>评价区生境干燥，野生绿化及花卉植物种类不多，性状主要为灌木、草本。其中数量最多的野生绿化植物有火棘</w:t>
      </w:r>
      <w:r>
        <w:rPr>
          <w:i/>
          <w:iCs/>
          <w:color w:val="auto"/>
        </w:rPr>
        <w:t>Pyracantha</w:t>
      </w:r>
      <w:r>
        <w:rPr>
          <w:rFonts w:hint="eastAsia"/>
          <w:i/>
          <w:iCs/>
          <w:color w:val="auto"/>
          <w:lang w:val="en-US" w:eastAsia="zh-CN"/>
        </w:rPr>
        <w:t xml:space="preserve"> </w:t>
      </w:r>
      <w:r>
        <w:rPr>
          <w:i/>
          <w:iCs/>
          <w:color w:val="auto"/>
        </w:rPr>
        <w:t>fortuneana</w:t>
      </w:r>
      <w:r>
        <w:rPr>
          <w:color w:val="auto"/>
        </w:rPr>
        <w:t>、大白花杜鹃</w:t>
      </w:r>
      <w:r>
        <w:rPr>
          <w:i/>
          <w:iCs/>
          <w:color w:val="auto"/>
        </w:rPr>
        <w:t>Rhododendron</w:t>
      </w:r>
      <w:r>
        <w:rPr>
          <w:rFonts w:hint="eastAsia"/>
          <w:i/>
          <w:iCs/>
          <w:color w:val="auto"/>
          <w:lang w:val="en-US" w:eastAsia="zh-CN"/>
        </w:rPr>
        <w:t xml:space="preserve"> </w:t>
      </w:r>
      <w:r>
        <w:rPr>
          <w:i/>
          <w:iCs/>
          <w:color w:val="auto"/>
        </w:rPr>
        <w:t>decorum</w:t>
      </w:r>
      <w:r>
        <w:rPr>
          <w:color w:val="auto"/>
        </w:rPr>
        <w:t>、沿阶草</w:t>
      </w:r>
      <w:r>
        <w:rPr>
          <w:i/>
          <w:iCs/>
          <w:color w:val="auto"/>
        </w:rPr>
        <w:t>Ophiopogon</w:t>
      </w:r>
      <w:r>
        <w:rPr>
          <w:rFonts w:hint="eastAsia"/>
          <w:i/>
          <w:iCs/>
          <w:color w:val="auto"/>
          <w:lang w:val="en-US" w:eastAsia="zh-CN"/>
        </w:rPr>
        <w:t xml:space="preserve"> </w:t>
      </w:r>
      <w:r>
        <w:rPr>
          <w:i/>
          <w:iCs/>
          <w:color w:val="auto"/>
        </w:rPr>
        <w:t>bodinieri</w:t>
      </w:r>
      <w:r>
        <w:rPr>
          <w:color w:val="auto"/>
        </w:rPr>
        <w:t>、马缨花</w:t>
      </w:r>
      <w:r>
        <w:rPr>
          <w:i/>
          <w:iCs/>
          <w:color w:val="auto"/>
        </w:rPr>
        <w:t>Rhododendron</w:t>
      </w:r>
      <w:r>
        <w:rPr>
          <w:rFonts w:hint="eastAsia"/>
          <w:i/>
          <w:iCs/>
          <w:color w:val="auto"/>
          <w:lang w:val="en-US" w:eastAsia="zh-CN"/>
        </w:rPr>
        <w:t xml:space="preserve"> </w:t>
      </w:r>
      <w:r>
        <w:rPr>
          <w:i/>
          <w:iCs/>
          <w:color w:val="auto"/>
        </w:rPr>
        <w:t>delavayi</w:t>
      </w:r>
      <w:r>
        <w:rPr>
          <w:color w:val="auto"/>
        </w:rPr>
        <w:t>、滇中矮生栒子</w:t>
      </w:r>
      <w:r>
        <w:rPr>
          <w:i/>
          <w:iCs/>
          <w:color w:val="auto"/>
        </w:rPr>
        <w:t>Cotoneaster</w:t>
      </w:r>
      <w:r>
        <w:rPr>
          <w:rFonts w:hint="eastAsia"/>
          <w:i/>
          <w:iCs/>
          <w:color w:val="auto"/>
          <w:lang w:val="en-US" w:eastAsia="zh-CN"/>
        </w:rPr>
        <w:t xml:space="preserve"> </w:t>
      </w:r>
      <w:r>
        <w:rPr>
          <w:i/>
          <w:iCs/>
          <w:color w:val="auto"/>
        </w:rPr>
        <w:t>dammerii</w:t>
      </w:r>
      <w:r>
        <w:rPr>
          <w:color w:val="auto"/>
        </w:rPr>
        <w:t>、粉叶小檗</w:t>
      </w:r>
      <w:r>
        <w:rPr>
          <w:i/>
          <w:iCs/>
          <w:color w:val="auto"/>
        </w:rPr>
        <w:t>Berberis</w:t>
      </w:r>
      <w:r>
        <w:rPr>
          <w:rFonts w:hint="eastAsia"/>
          <w:i/>
          <w:iCs/>
          <w:color w:val="auto"/>
          <w:lang w:val="en-US" w:eastAsia="zh-CN"/>
        </w:rPr>
        <w:t xml:space="preserve"> </w:t>
      </w:r>
      <w:r>
        <w:rPr>
          <w:i/>
          <w:iCs/>
          <w:color w:val="auto"/>
        </w:rPr>
        <w:t>pruinosa</w:t>
      </w:r>
      <w:r>
        <w:rPr>
          <w:color w:val="auto"/>
        </w:rPr>
        <w:t>、铁仔</w:t>
      </w:r>
      <w:r>
        <w:rPr>
          <w:i/>
          <w:iCs/>
          <w:color w:val="auto"/>
        </w:rPr>
        <w:t>Myrsine</w:t>
      </w:r>
      <w:r>
        <w:rPr>
          <w:rFonts w:hint="eastAsia"/>
          <w:i/>
          <w:iCs/>
          <w:color w:val="auto"/>
          <w:lang w:val="en-US" w:eastAsia="zh-CN"/>
        </w:rPr>
        <w:t xml:space="preserve"> </w:t>
      </w:r>
      <w:r>
        <w:rPr>
          <w:i/>
          <w:iCs/>
          <w:color w:val="auto"/>
        </w:rPr>
        <w:t>africana</w:t>
      </w:r>
      <w:r>
        <w:rPr>
          <w:color w:val="auto"/>
        </w:rPr>
        <w:t>、青刺尖</w:t>
      </w:r>
      <w:r>
        <w:rPr>
          <w:i/>
          <w:iCs/>
          <w:color w:val="auto"/>
        </w:rPr>
        <w:t>Prinsepia</w:t>
      </w:r>
      <w:r>
        <w:rPr>
          <w:rFonts w:hint="eastAsia"/>
          <w:i/>
          <w:iCs/>
          <w:color w:val="auto"/>
          <w:lang w:val="en-US" w:eastAsia="zh-CN"/>
        </w:rPr>
        <w:t xml:space="preserve"> </w:t>
      </w:r>
      <w:r>
        <w:rPr>
          <w:i/>
          <w:iCs/>
          <w:color w:val="auto"/>
        </w:rPr>
        <w:t>utilis</w:t>
      </w:r>
      <w:r>
        <w:rPr>
          <w:color w:val="auto"/>
        </w:rPr>
        <w:t>、西南栒子</w:t>
      </w:r>
      <w:r>
        <w:rPr>
          <w:i/>
          <w:iCs/>
          <w:color w:val="auto"/>
        </w:rPr>
        <w:t>Cotoneaster</w:t>
      </w:r>
      <w:r>
        <w:rPr>
          <w:rFonts w:hint="eastAsia"/>
          <w:i/>
          <w:iCs/>
          <w:color w:val="auto"/>
          <w:lang w:val="en-US" w:eastAsia="zh-CN"/>
        </w:rPr>
        <w:t xml:space="preserve"> </w:t>
      </w:r>
      <w:r>
        <w:rPr>
          <w:i/>
          <w:iCs/>
          <w:color w:val="auto"/>
        </w:rPr>
        <w:t>franchetii</w:t>
      </w:r>
      <w:r>
        <w:rPr>
          <w:color w:val="auto"/>
        </w:rPr>
        <w:t>、半齿铁子</w:t>
      </w:r>
      <w:r>
        <w:rPr>
          <w:i/>
          <w:iCs/>
          <w:color w:val="auto"/>
        </w:rPr>
        <w:t>Myrsinese</w:t>
      </w:r>
      <w:r>
        <w:rPr>
          <w:rFonts w:hint="eastAsia"/>
          <w:i/>
          <w:iCs/>
          <w:color w:val="auto"/>
          <w:lang w:val="en-US" w:eastAsia="zh-CN"/>
        </w:rPr>
        <w:t xml:space="preserve"> </w:t>
      </w:r>
      <w:r>
        <w:rPr>
          <w:i/>
          <w:iCs/>
          <w:color w:val="auto"/>
        </w:rPr>
        <w:t>miserrata</w:t>
      </w:r>
      <w:r>
        <w:rPr>
          <w:color w:val="auto"/>
        </w:rPr>
        <w:t>等，其中火棘、大白花杜鹃、沿阶草、马缨花等种类经人工育苗后常用于园林绿化，而其他种类其利用较少或尚未利用。</w:t>
      </w:r>
    </w:p>
    <w:p w14:paraId="1C57E897">
      <w:pPr>
        <w:pStyle w:val="41"/>
        <w:bidi w:val="0"/>
        <w:rPr>
          <w:color w:val="auto"/>
        </w:rPr>
      </w:pPr>
      <w:r>
        <w:rPr>
          <w:color w:val="auto"/>
        </w:rPr>
        <w:t>（5）饲料植物</w:t>
      </w:r>
    </w:p>
    <w:p w14:paraId="0F96A40F">
      <w:pPr>
        <w:pStyle w:val="41"/>
        <w:bidi w:val="0"/>
        <w:rPr>
          <w:color w:val="auto"/>
        </w:rPr>
      </w:pPr>
      <w:r>
        <w:rPr>
          <w:color w:val="auto"/>
        </w:rPr>
        <w:t>评价区还有不少的饲料植物，种类不多，数量较少。其中莎草属</w:t>
      </w:r>
      <w:r>
        <w:rPr>
          <w:i/>
          <w:iCs/>
          <w:color w:val="auto"/>
        </w:rPr>
        <w:t>Cyperus</w:t>
      </w:r>
      <w:r>
        <w:rPr>
          <w:color w:val="auto"/>
        </w:rPr>
        <w:t>、金茅</w:t>
      </w:r>
      <w:r>
        <w:rPr>
          <w:i/>
          <w:iCs/>
          <w:color w:val="auto"/>
        </w:rPr>
        <w:t>Eulalia</w:t>
      </w:r>
      <w:r>
        <w:rPr>
          <w:rFonts w:hint="eastAsia"/>
          <w:i/>
          <w:iCs/>
          <w:color w:val="auto"/>
          <w:lang w:val="en-US" w:eastAsia="zh-CN"/>
        </w:rPr>
        <w:t xml:space="preserve"> </w:t>
      </w:r>
      <w:r>
        <w:rPr>
          <w:i/>
          <w:iCs/>
          <w:color w:val="auto"/>
        </w:rPr>
        <w:t>speciosa</w:t>
      </w:r>
      <w:r>
        <w:rPr>
          <w:color w:val="auto"/>
        </w:rPr>
        <w:t>、砖子苗</w:t>
      </w:r>
      <w:r>
        <w:rPr>
          <w:i/>
          <w:iCs/>
          <w:color w:val="auto"/>
        </w:rPr>
        <w:t>Mariscus</w:t>
      </w:r>
      <w:r>
        <w:rPr>
          <w:rFonts w:hint="eastAsia"/>
          <w:i/>
          <w:iCs/>
          <w:color w:val="auto"/>
          <w:lang w:val="en-US" w:eastAsia="zh-CN"/>
        </w:rPr>
        <w:t xml:space="preserve"> </w:t>
      </w:r>
      <w:r>
        <w:rPr>
          <w:i/>
          <w:iCs/>
          <w:color w:val="auto"/>
        </w:rPr>
        <w:t>sumatrensis</w:t>
      </w:r>
      <w:r>
        <w:rPr>
          <w:color w:val="auto"/>
        </w:rPr>
        <w:t>、荩草属</w:t>
      </w:r>
      <w:r>
        <w:rPr>
          <w:i/>
          <w:iCs/>
          <w:color w:val="auto"/>
        </w:rPr>
        <w:t>Arthraxon</w:t>
      </w:r>
      <w:r>
        <w:rPr>
          <w:color w:val="auto"/>
        </w:rPr>
        <w:t>、黄背草</w:t>
      </w:r>
      <w:r>
        <w:rPr>
          <w:i/>
          <w:iCs/>
          <w:color w:val="auto"/>
        </w:rPr>
        <w:t>Themeda</w:t>
      </w:r>
      <w:r>
        <w:rPr>
          <w:rFonts w:hint="eastAsia"/>
          <w:i/>
          <w:iCs/>
          <w:color w:val="auto"/>
          <w:lang w:val="en-US" w:eastAsia="zh-CN"/>
        </w:rPr>
        <w:t xml:space="preserve"> </w:t>
      </w:r>
      <w:r>
        <w:rPr>
          <w:i/>
          <w:iCs/>
          <w:color w:val="auto"/>
        </w:rPr>
        <w:t>triandra</w:t>
      </w:r>
      <w:r>
        <w:rPr>
          <w:color w:val="auto"/>
        </w:rPr>
        <w:t>数量相对较多，但是也没有多到可以大规模</w:t>
      </w:r>
      <w:r>
        <w:rPr>
          <w:rFonts w:hint="eastAsia"/>
          <w:color w:val="auto"/>
          <w:lang w:eastAsia="zh-CN"/>
        </w:rPr>
        <w:t>当作</w:t>
      </w:r>
      <w:r>
        <w:rPr>
          <w:color w:val="auto"/>
        </w:rPr>
        <w:t>饲料植物利用的程度。</w:t>
      </w:r>
    </w:p>
    <w:p w14:paraId="1798D0AB">
      <w:pPr>
        <w:pStyle w:val="41"/>
        <w:bidi w:val="0"/>
        <w:rPr>
          <w:color w:val="auto"/>
        </w:rPr>
      </w:pPr>
      <w:r>
        <w:rPr>
          <w:color w:val="auto"/>
        </w:rPr>
        <w:t>除了上述类型的资源植物以外，评价区内还有爵床</w:t>
      </w:r>
      <w:r>
        <w:rPr>
          <w:i/>
          <w:iCs/>
          <w:color w:val="auto"/>
        </w:rPr>
        <w:t>Rostellularia</w:t>
      </w:r>
      <w:r>
        <w:rPr>
          <w:rFonts w:hint="eastAsia"/>
          <w:i/>
          <w:iCs/>
          <w:color w:val="auto"/>
          <w:lang w:val="en-US" w:eastAsia="zh-CN"/>
        </w:rPr>
        <w:t xml:space="preserve"> </w:t>
      </w:r>
      <w:r>
        <w:rPr>
          <w:i/>
          <w:iCs/>
          <w:color w:val="auto"/>
        </w:rPr>
        <w:t>procumbens</w:t>
      </w:r>
      <w:r>
        <w:rPr>
          <w:color w:val="auto"/>
        </w:rPr>
        <w:t>等可用来造纸的植物，还有像地檀香等的香料植物。但是，上述资源植物的数量很少，零星分布，都没有被加以利用。</w:t>
      </w:r>
    </w:p>
    <w:p w14:paraId="29D056C9">
      <w:pPr>
        <w:pStyle w:val="41"/>
        <w:bidi w:val="0"/>
        <w:rPr>
          <w:color w:val="auto"/>
        </w:rPr>
      </w:pPr>
      <w:r>
        <w:rPr>
          <w:color w:val="auto"/>
        </w:rPr>
        <w:t>评价区更多的资源信息在附录评价区的维管植物名录中有所记载。</w:t>
      </w:r>
    </w:p>
    <w:p w14:paraId="2160D1BE">
      <w:pPr>
        <w:pStyle w:val="4"/>
        <w:bidi w:val="0"/>
        <w:rPr>
          <w:rFonts w:hint="eastAsia"/>
          <w:color w:val="auto"/>
          <w:lang w:val="en-US" w:eastAsia="zh-CN"/>
        </w:rPr>
      </w:pPr>
      <w:r>
        <w:rPr>
          <w:rFonts w:hint="eastAsia"/>
          <w:color w:val="auto"/>
          <w:lang w:val="en-US" w:eastAsia="zh-CN"/>
        </w:rPr>
        <w:t>2.2.8小结</w:t>
      </w:r>
    </w:p>
    <w:p w14:paraId="09E3FE60">
      <w:pPr>
        <w:pStyle w:val="41"/>
        <w:bidi w:val="0"/>
        <w:rPr>
          <w:rFonts w:hint="default"/>
          <w:color w:val="auto"/>
          <w:lang w:val="en-US" w:eastAsia="zh-CN"/>
        </w:rPr>
      </w:pPr>
      <w:r>
        <w:rPr>
          <w:rFonts w:hint="eastAsia"/>
          <w:color w:val="auto"/>
          <w:lang w:val="en-US" w:eastAsia="zh-CN"/>
        </w:rPr>
        <w:t>项目调查范围内的植被以暖温性针叶林和禾草草丛为主，暖温性石灰岩灌丛、旱冬瓜林和半湿润常绿阔叶林呈斑块状分布，人工植被以耕地植被为主，主要种植玉米等作物。调查期间未发现重点保护野生植物、名木古树等，发现1种云南特有植物小叶栒子和</w:t>
      </w:r>
      <w:r>
        <w:rPr>
          <w:rFonts w:hint="default" w:ascii="Times New Roman" w:hAnsi="Times New Roman" w:eastAsia="宋体" w:cs="Times New Roman"/>
          <w:color w:val="auto"/>
          <w:sz w:val="24"/>
          <w:szCs w:val="24"/>
          <w:highlight w:val="none"/>
          <w:lang w:val="en-US" w:eastAsia="zh-CN"/>
        </w:rPr>
        <w:t>14种中国特有植物云南松</w:t>
      </w:r>
      <w:r>
        <w:rPr>
          <w:rFonts w:hint="eastAsia" w:cs="Times New Roman"/>
          <w:color w:val="auto"/>
          <w:sz w:val="24"/>
          <w:szCs w:val="24"/>
          <w:highlight w:val="none"/>
          <w:lang w:val="en-US" w:eastAsia="zh-CN"/>
        </w:rPr>
        <w:t>等。通过对照西泽风电场一期调查资料和现场情况，架空线路和升压站周边植被及植物资源与评价区基本一致。</w:t>
      </w:r>
    </w:p>
    <w:p w14:paraId="4C3BF968">
      <w:pPr>
        <w:pStyle w:val="3"/>
        <w:bidi w:val="0"/>
        <w:rPr>
          <w:rFonts w:hint="default"/>
          <w:color w:val="auto"/>
          <w:lang w:val="en-US" w:eastAsia="zh-CN"/>
        </w:rPr>
      </w:pPr>
      <w:r>
        <w:rPr>
          <w:rFonts w:hint="eastAsia"/>
          <w:color w:val="auto"/>
          <w:lang w:val="en-US" w:eastAsia="zh-CN"/>
        </w:rPr>
        <w:t>2.3动物现状调查</w:t>
      </w:r>
    </w:p>
    <w:p w14:paraId="4F70AA05">
      <w:pPr>
        <w:pStyle w:val="4"/>
        <w:bidi w:val="0"/>
        <w:rPr>
          <w:rFonts w:hint="default"/>
          <w:color w:val="auto"/>
          <w:lang w:val="en-US" w:eastAsia="zh-CN"/>
        </w:rPr>
      </w:pPr>
      <w:r>
        <w:rPr>
          <w:rFonts w:hint="eastAsia"/>
          <w:color w:val="auto"/>
          <w:lang w:val="en-US" w:eastAsia="zh-CN"/>
        </w:rPr>
        <w:t>2.3.1调查人员及时间</w:t>
      </w:r>
    </w:p>
    <w:p w14:paraId="53C72B4D">
      <w:pPr>
        <w:pStyle w:val="41"/>
        <w:bidi w:val="0"/>
        <w:rPr>
          <w:color w:val="auto"/>
        </w:rPr>
      </w:pPr>
      <w:r>
        <w:rPr>
          <w:rFonts w:hint="eastAsia"/>
          <w:color w:val="auto"/>
        </w:rPr>
        <w:t>调查时间为</w:t>
      </w:r>
      <w:r>
        <w:rPr>
          <w:rFonts w:hint="eastAsia"/>
          <w:color w:val="auto"/>
          <w:lang w:val="en-US" w:eastAsia="zh-CN"/>
        </w:rPr>
        <w:t>动物的</w:t>
      </w:r>
      <w:r>
        <w:rPr>
          <w:rFonts w:hint="eastAsia"/>
          <w:color w:val="auto"/>
        </w:rPr>
        <w:t>2025年4月1</w:t>
      </w:r>
      <w:r>
        <w:rPr>
          <w:rFonts w:hint="eastAsia"/>
          <w:color w:val="auto"/>
          <w:lang w:val="en-US" w:eastAsia="zh-CN"/>
        </w:rPr>
        <w:t>3</w:t>
      </w:r>
      <w:r>
        <w:rPr>
          <w:rFonts w:hint="eastAsia"/>
          <w:color w:val="auto"/>
        </w:rPr>
        <w:t>日</w:t>
      </w:r>
      <w:r>
        <w:rPr>
          <w:rFonts w:hint="eastAsia"/>
          <w:color w:val="auto"/>
          <w:lang w:eastAsia="zh-CN"/>
        </w:rPr>
        <w:t>—</w:t>
      </w:r>
      <w:r>
        <w:rPr>
          <w:rFonts w:hint="eastAsia"/>
          <w:color w:val="auto"/>
        </w:rPr>
        <w:t>2025年4月</w:t>
      </w:r>
      <w:r>
        <w:rPr>
          <w:rFonts w:hint="eastAsia"/>
          <w:color w:val="auto"/>
          <w:lang w:val="en-US" w:eastAsia="zh-CN"/>
        </w:rPr>
        <w:t>14</w:t>
      </w:r>
      <w:r>
        <w:rPr>
          <w:rFonts w:hint="eastAsia"/>
          <w:color w:val="auto"/>
        </w:rPr>
        <w:t>日</w:t>
      </w:r>
      <w:r>
        <w:rPr>
          <w:rFonts w:hint="eastAsia"/>
          <w:color w:val="auto"/>
          <w:lang w:eastAsia="zh-CN"/>
        </w:rPr>
        <w:t>（</w:t>
      </w:r>
      <w:r>
        <w:rPr>
          <w:rFonts w:hint="eastAsia"/>
          <w:color w:val="auto"/>
          <w:lang w:val="en-US" w:eastAsia="zh-CN"/>
        </w:rPr>
        <w:t>繁殖期</w:t>
      </w:r>
      <w:r>
        <w:rPr>
          <w:rFonts w:hint="eastAsia"/>
          <w:color w:val="auto"/>
          <w:lang w:eastAsia="zh-CN"/>
        </w:rPr>
        <w:t>）</w:t>
      </w:r>
      <w:r>
        <w:rPr>
          <w:rFonts w:hint="eastAsia"/>
          <w:color w:val="auto"/>
        </w:rPr>
        <w:t>、2025年10月</w:t>
      </w:r>
      <w:r>
        <w:rPr>
          <w:rFonts w:hint="eastAsia"/>
          <w:color w:val="auto"/>
          <w:lang w:val="en-US" w:eastAsia="zh-CN"/>
        </w:rPr>
        <w:t>13</w:t>
      </w:r>
      <w:r>
        <w:rPr>
          <w:rFonts w:hint="eastAsia"/>
          <w:color w:val="auto"/>
        </w:rPr>
        <w:t>日</w:t>
      </w:r>
      <w:r>
        <w:rPr>
          <w:rFonts w:hint="eastAsia"/>
          <w:color w:val="auto"/>
          <w:lang w:eastAsia="zh-CN"/>
        </w:rPr>
        <w:t>—</w:t>
      </w:r>
      <w:r>
        <w:rPr>
          <w:rFonts w:hint="eastAsia"/>
          <w:color w:val="auto"/>
        </w:rPr>
        <w:t>2025年10月</w:t>
      </w:r>
      <w:r>
        <w:rPr>
          <w:rFonts w:hint="eastAsia"/>
          <w:color w:val="auto"/>
          <w:lang w:val="en-US" w:eastAsia="zh-CN"/>
        </w:rPr>
        <w:t>14</w:t>
      </w:r>
      <w:r>
        <w:rPr>
          <w:rFonts w:hint="eastAsia"/>
          <w:color w:val="auto"/>
        </w:rPr>
        <w:t>日</w:t>
      </w:r>
      <w:r>
        <w:rPr>
          <w:rFonts w:hint="eastAsia"/>
          <w:color w:val="auto"/>
          <w:lang w:eastAsia="zh-CN"/>
        </w:rPr>
        <w:t>（</w:t>
      </w:r>
      <w:r>
        <w:rPr>
          <w:rFonts w:hint="eastAsia"/>
          <w:color w:val="auto"/>
          <w:lang w:val="en-US" w:eastAsia="zh-CN"/>
        </w:rPr>
        <w:t>迁徙期</w:t>
      </w:r>
      <w:r>
        <w:rPr>
          <w:rFonts w:hint="eastAsia"/>
          <w:color w:val="auto"/>
          <w:lang w:eastAsia="zh-CN"/>
        </w:rPr>
        <w:t>）</w:t>
      </w:r>
      <w:r>
        <w:rPr>
          <w:rFonts w:hint="eastAsia"/>
          <w:color w:val="auto"/>
        </w:rPr>
        <w:t>、2025年12月</w:t>
      </w:r>
      <w:r>
        <w:rPr>
          <w:rFonts w:hint="eastAsia"/>
          <w:color w:val="auto"/>
          <w:lang w:val="en-US" w:eastAsia="zh-CN"/>
        </w:rPr>
        <w:t>20</w:t>
      </w:r>
      <w:r>
        <w:rPr>
          <w:rFonts w:hint="eastAsia"/>
          <w:color w:val="auto"/>
        </w:rPr>
        <w:t>日</w:t>
      </w:r>
      <w:r>
        <w:rPr>
          <w:rFonts w:hint="eastAsia"/>
          <w:color w:val="auto"/>
          <w:lang w:eastAsia="zh-CN"/>
        </w:rPr>
        <w:t>—</w:t>
      </w:r>
      <w:r>
        <w:rPr>
          <w:rFonts w:hint="eastAsia"/>
          <w:color w:val="auto"/>
        </w:rPr>
        <w:t>2025年12月</w:t>
      </w:r>
      <w:r>
        <w:rPr>
          <w:rFonts w:hint="eastAsia"/>
          <w:color w:val="auto"/>
          <w:lang w:val="en-US" w:eastAsia="zh-CN"/>
        </w:rPr>
        <w:t>21</w:t>
      </w:r>
      <w:r>
        <w:rPr>
          <w:rFonts w:hint="eastAsia"/>
          <w:color w:val="auto"/>
        </w:rPr>
        <w:t>日</w:t>
      </w:r>
      <w:r>
        <w:rPr>
          <w:rFonts w:hint="eastAsia"/>
          <w:color w:val="auto"/>
          <w:lang w:eastAsia="zh-CN"/>
        </w:rPr>
        <w:t>（</w:t>
      </w:r>
      <w:r>
        <w:rPr>
          <w:rFonts w:hint="eastAsia"/>
          <w:color w:val="auto"/>
          <w:lang w:val="en-US" w:eastAsia="zh-CN"/>
        </w:rPr>
        <w:t>越冬期</w:t>
      </w:r>
      <w:r>
        <w:rPr>
          <w:rFonts w:hint="eastAsia"/>
          <w:color w:val="auto"/>
          <w:lang w:eastAsia="zh-CN"/>
        </w:rPr>
        <w:t>）</w:t>
      </w:r>
      <w:r>
        <w:rPr>
          <w:rFonts w:hint="eastAsia"/>
          <w:color w:val="auto"/>
        </w:rPr>
        <w:t>。调查人员和分工见</w:t>
      </w:r>
      <w:r>
        <w:rPr>
          <w:rFonts w:hint="eastAsia"/>
          <w:color w:val="auto"/>
          <w:lang w:val="en-US" w:eastAsia="zh-CN"/>
        </w:rPr>
        <w:t>下表</w:t>
      </w:r>
      <w:r>
        <w:rPr>
          <w:rFonts w:hint="eastAsia"/>
          <w:color w:val="auto"/>
        </w:rPr>
        <w:t>。</w:t>
      </w:r>
    </w:p>
    <w:p w14:paraId="1AD512B3">
      <w:pPr>
        <w:pStyle w:val="42"/>
        <w:bidi w:val="0"/>
        <w:rPr>
          <w:color w:val="auto"/>
        </w:rPr>
      </w:pPr>
      <w:r>
        <w:rPr>
          <w:rFonts w:hint="eastAsia"/>
          <w:color w:val="auto"/>
        </w:rPr>
        <w:t>表</w:t>
      </w:r>
      <w:r>
        <w:rPr>
          <w:rFonts w:hint="eastAsia"/>
          <w:color w:val="auto"/>
          <w:lang w:val="en-US" w:eastAsia="zh-CN"/>
        </w:rPr>
        <w:t xml:space="preserve">2-9  </w:t>
      </w:r>
      <w:r>
        <w:rPr>
          <w:rFonts w:hint="eastAsia"/>
          <w:color w:val="auto"/>
        </w:rPr>
        <w:t>调查人员与分工</w:t>
      </w:r>
    </w:p>
    <w:tbl>
      <w:tblPr>
        <w:tblStyle w:val="20"/>
        <w:tblW w:w="8730" w:type="dxa"/>
        <w:jc w:val="center"/>
        <w:tblLayout w:type="fixed"/>
        <w:tblCellMar>
          <w:top w:w="0" w:type="dxa"/>
          <w:left w:w="108" w:type="dxa"/>
          <w:bottom w:w="0" w:type="dxa"/>
          <w:right w:w="108" w:type="dxa"/>
        </w:tblCellMar>
      </w:tblPr>
      <w:tblGrid>
        <w:gridCol w:w="3305"/>
        <w:gridCol w:w="951"/>
        <w:gridCol w:w="1013"/>
        <w:gridCol w:w="3461"/>
      </w:tblGrid>
      <w:tr w14:paraId="3EF621A0">
        <w:tblPrEx>
          <w:tblCellMar>
            <w:top w:w="0" w:type="dxa"/>
            <w:left w:w="108" w:type="dxa"/>
            <w:bottom w:w="0" w:type="dxa"/>
            <w:right w:w="108" w:type="dxa"/>
          </w:tblCellMar>
        </w:tblPrEx>
        <w:trPr>
          <w:trHeight w:val="300" w:hRule="atLeast"/>
          <w:jc w:val="center"/>
        </w:trPr>
        <w:tc>
          <w:tcPr>
            <w:tcW w:w="3305" w:type="dxa"/>
            <w:tcBorders>
              <w:top w:val="single" w:color="000000" w:sz="12" w:space="0"/>
              <w:left w:val="nil"/>
              <w:bottom w:val="single" w:color="000000" w:sz="4" w:space="0"/>
              <w:right w:val="single" w:color="000000" w:sz="4" w:space="0"/>
            </w:tcBorders>
            <w:vAlign w:val="center"/>
          </w:tcPr>
          <w:p w14:paraId="7B3B1BD0">
            <w:pPr>
              <w:pStyle w:val="34"/>
              <w:tabs>
                <w:tab w:val="left" w:pos="1389"/>
              </w:tabs>
              <w:bidi w:val="0"/>
              <w:rPr>
                <w:color w:val="auto"/>
              </w:rPr>
            </w:pPr>
            <w:r>
              <w:rPr>
                <w:rFonts w:hint="eastAsia"/>
                <w:color w:val="auto"/>
              </w:rPr>
              <w:t>单位</w:t>
            </w:r>
          </w:p>
        </w:tc>
        <w:tc>
          <w:tcPr>
            <w:tcW w:w="951" w:type="dxa"/>
            <w:tcBorders>
              <w:top w:val="single" w:color="000000" w:sz="12" w:space="0"/>
              <w:left w:val="single" w:color="000000" w:sz="4" w:space="0"/>
              <w:bottom w:val="single" w:color="000000" w:sz="4" w:space="0"/>
              <w:right w:val="single" w:color="000000" w:sz="4" w:space="0"/>
            </w:tcBorders>
            <w:vAlign w:val="center"/>
          </w:tcPr>
          <w:p w14:paraId="25A70302">
            <w:pPr>
              <w:pStyle w:val="34"/>
              <w:tabs>
                <w:tab w:val="left" w:pos="1389"/>
              </w:tabs>
              <w:bidi w:val="0"/>
              <w:rPr>
                <w:color w:val="auto"/>
              </w:rPr>
            </w:pPr>
            <w:r>
              <w:rPr>
                <w:rFonts w:hint="eastAsia"/>
                <w:color w:val="auto"/>
              </w:rPr>
              <w:t>姓名</w:t>
            </w:r>
          </w:p>
        </w:tc>
        <w:tc>
          <w:tcPr>
            <w:tcW w:w="1013" w:type="dxa"/>
            <w:tcBorders>
              <w:top w:val="single" w:color="000000" w:sz="12" w:space="0"/>
              <w:left w:val="single" w:color="000000" w:sz="4" w:space="0"/>
              <w:bottom w:val="single" w:color="000000" w:sz="4" w:space="0"/>
              <w:right w:val="single" w:color="000000" w:sz="4" w:space="0"/>
            </w:tcBorders>
            <w:vAlign w:val="center"/>
          </w:tcPr>
          <w:p w14:paraId="132B34BA">
            <w:pPr>
              <w:pStyle w:val="34"/>
              <w:tabs>
                <w:tab w:val="left" w:pos="1389"/>
              </w:tabs>
              <w:bidi w:val="0"/>
              <w:rPr>
                <w:color w:val="auto"/>
              </w:rPr>
            </w:pPr>
            <w:r>
              <w:rPr>
                <w:rFonts w:hint="eastAsia"/>
                <w:color w:val="auto"/>
              </w:rPr>
              <w:t>职称</w:t>
            </w:r>
          </w:p>
        </w:tc>
        <w:tc>
          <w:tcPr>
            <w:tcW w:w="3461" w:type="dxa"/>
            <w:tcBorders>
              <w:top w:val="single" w:color="000000" w:sz="12" w:space="0"/>
              <w:left w:val="single" w:color="000000" w:sz="4" w:space="0"/>
              <w:bottom w:val="single" w:color="000000" w:sz="4" w:space="0"/>
              <w:right w:val="nil"/>
            </w:tcBorders>
            <w:vAlign w:val="center"/>
          </w:tcPr>
          <w:p w14:paraId="7B92849B">
            <w:pPr>
              <w:pStyle w:val="34"/>
              <w:tabs>
                <w:tab w:val="left" w:pos="1389"/>
              </w:tabs>
              <w:bidi w:val="0"/>
              <w:rPr>
                <w:color w:val="auto"/>
              </w:rPr>
            </w:pPr>
            <w:r>
              <w:rPr>
                <w:rFonts w:hint="eastAsia"/>
                <w:color w:val="auto"/>
              </w:rPr>
              <w:t>分工</w:t>
            </w:r>
          </w:p>
        </w:tc>
      </w:tr>
      <w:tr w14:paraId="33631BBF">
        <w:tblPrEx>
          <w:tblCellMar>
            <w:top w:w="0" w:type="dxa"/>
            <w:left w:w="108" w:type="dxa"/>
            <w:bottom w:w="0" w:type="dxa"/>
            <w:right w:w="108" w:type="dxa"/>
          </w:tblCellMar>
        </w:tblPrEx>
        <w:trPr>
          <w:trHeight w:val="300" w:hRule="atLeast"/>
          <w:jc w:val="center"/>
        </w:trPr>
        <w:tc>
          <w:tcPr>
            <w:tcW w:w="3305" w:type="dxa"/>
            <w:tcBorders>
              <w:top w:val="single" w:color="000000" w:sz="4" w:space="0"/>
              <w:left w:val="nil"/>
              <w:bottom w:val="single" w:color="000000" w:sz="4" w:space="0"/>
              <w:right w:val="single" w:color="000000" w:sz="4" w:space="0"/>
            </w:tcBorders>
            <w:vAlign w:val="center"/>
          </w:tcPr>
          <w:p w14:paraId="0374BF96">
            <w:pPr>
              <w:pStyle w:val="34"/>
              <w:tabs>
                <w:tab w:val="left" w:pos="1389"/>
              </w:tabs>
              <w:bidi w:val="0"/>
              <w:rPr>
                <w:color w:val="auto"/>
              </w:rPr>
            </w:pPr>
            <w:r>
              <w:rPr>
                <w:rFonts w:hint="eastAsia"/>
                <w:color w:val="auto"/>
              </w:rPr>
              <w:t>云南瑞麝生物科技有限公司</w:t>
            </w:r>
          </w:p>
        </w:tc>
        <w:tc>
          <w:tcPr>
            <w:tcW w:w="951" w:type="dxa"/>
            <w:tcBorders>
              <w:top w:val="single" w:color="000000" w:sz="4" w:space="0"/>
              <w:left w:val="single" w:color="000000" w:sz="4" w:space="0"/>
              <w:bottom w:val="single" w:color="000000" w:sz="4" w:space="0"/>
              <w:right w:val="single" w:color="000000" w:sz="4" w:space="0"/>
            </w:tcBorders>
            <w:vAlign w:val="center"/>
          </w:tcPr>
          <w:p w14:paraId="30E68368">
            <w:pPr>
              <w:pStyle w:val="34"/>
              <w:tabs>
                <w:tab w:val="left" w:pos="1389"/>
              </w:tabs>
              <w:bidi w:val="0"/>
              <w:rPr>
                <w:color w:val="auto"/>
              </w:rPr>
            </w:pPr>
            <w:r>
              <w:rPr>
                <w:rFonts w:hint="eastAsia"/>
                <w:color w:val="auto"/>
              </w:rPr>
              <w:t>韩联宪</w:t>
            </w:r>
          </w:p>
        </w:tc>
        <w:tc>
          <w:tcPr>
            <w:tcW w:w="1013" w:type="dxa"/>
            <w:tcBorders>
              <w:top w:val="single" w:color="000000" w:sz="4" w:space="0"/>
              <w:left w:val="single" w:color="000000" w:sz="4" w:space="0"/>
              <w:bottom w:val="single" w:color="000000" w:sz="4" w:space="0"/>
              <w:right w:val="single" w:color="000000" w:sz="4" w:space="0"/>
            </w:tcBorders>
            <w:vAlign w:val="center"/>
          </w:tcPr>
          <w:p w14:paraId="164C032D">
            <w:pPr>
              <w:pStyle w:val="34"/>
              <w:tabs>
                <w:tab w:val="left" w:pos="1389"/>
              </w:tabs>
              <w:bidi w:val="0"/>
              <w:rPr>
                <w:color w:val="auto"/>
              </w:rPr>
            </w:pPr>
            <w:r>
              <w:rPr>
                <w:rFonts w:hint="eastAsia"/>
                <w:color w:val="auto"/>
              </w:rPr>
              <w:t>教授</w:t>
            </w:r>
          </w:p>
        </w:tc>
        <w:tc>
          <w:tcPr>
            <w:tcW w:w="3461" w:type="dxa"/>
            <w:tcBorders>
              <w:top w:val="single" w:color="000000" w:sz="4" w:space="0"/>
              <w:left w:val="single" w:color="000000" w:sz="4" w:space="0"/>
              <w:bottom w:val="single" w:color="000000" w:sz="4" w:space="0"/>
              <w:right w:val="nil"/>
            </w:tcBorders>
            <w:vAlign w:val="center"/>
          </w:tcPr>
          <w:p w14:paraId="7D229961">
            <w:pPr>
              <w:pStyle w:val="34"/>
              <w:tabs>
                <w:tab w:val="left" w:pos="1389"/>
              </w:tabs>
              <w:bidi w:val="0"/>
              <w:rPr>
                <w:color w:val="auto"/>
              </w:rPr>
            </w:pPr>
            <w:r>
              <w:rPr>
                <w:rFonts w:hint="eastAsia"/>
                <w:color w:val="auto"/>
              </w:rPr>
              <w:t>野外调查、数据分析、撰写报告</w:t>
            </w:r>
          </w:p>
        </w:tc>
      </w:tr>
      <w:tr w14:paraId="51146223">
        <w:tblPrEx>
          <w:tblCellMar>
            <w:top w:w="0" w:type="dxa"/>
            <w:left w:w="108" w:type="dxa"/>
            <w:bottom w:w="0" w:type="dxa"/>
            <w:right w:w="108" w:type="dxa"/>
          </w:tblCellMar>
        </w:tblPrEx>
        <w:trPr>
          <w:trHeight w:val="300" w:hRule="atLeast"/>
          <w:jc w:val="center"/>
        </w:trPr>
        <w:tc>
          <w:tcPr>
            <w:tcW w:w="3305" w:type="dxa"/>
            <w:tcBorders>
              <w:top w:val="single" w:color="000000" w:sz="4" w:space="0"/>
              <w:left w:val="nil"/>
              <w:bottom w:val="single" w:color="000000" w:sz="4" w:space="0"/>
              <w:right w:val="single" w:color="000000" w:sz="4" w:space="0"/>
            </w:tcBorders>
          </w:tcPr>
          <w:p w14:paraId="7C2C2B73">
            <w:pPr>
              <w:pStyle w:val="34"/>
              <w:tabs>
                <w:tab w:val="left" w:pos="1389"/>
              </w:tabs>
              <w:bidi w:val="0"/>
              <w:rPr>
                <w:color w:val="auto"/>
              </w:rPr>
            </w:pPr>
            <w:r>
              <w:rPr>
                <w:rFonts w:hint="eastAsia"/>
                <w:color w:val="auto"/>
              </w:rPr>
              <w:t>云南瑞麝生物科技有限公司</w:t>
            </w:r>
          </w:p>
        </w:tc>
        <w:tc>
          <w:tcPr>
            <w:tcW w:w="951" w:type="dxa"/>
            <w:tcBorders>
              <w:top w:val="single" w:color="000000" w:sz="4" w:space="0"/>
              <w:left w:val="single" w:color="000000" w:sz="4" w:space="0"/>
              <w:bottom w:val="single" w:color="000000" w:sz="4" w:space="0"/>
              <w:right w:val="single" w:color="000000" w:sz="4" w:space="0"/>
            </w:tcBorders>
            <w:vAlign w:val="center"/>
          </w:tcPr>
          <w:p w14:paraId="458BDC67">
            <w:pPr>
              <w:pStyle w:val="34"/>
              <w:tabs>
                <w:tab w:val="left" w:pos="1389"/>
              </w:tabs>
              <w:bidi w:val="0"/>
              <w:rPr>
                <w:color w:val="auto"/>
              </w:rPr>
            </w:pPr>
            <w:r>
              <w:rPr>
                <w:rFonts w:hint="eastAsia"/>
                <w:color w:val="auto"/>
              </w:rPr>
              <w:t>杨亚非</w:t>
            </w:r>
          </w:p>
        </w:tc>
        <w:tc>
          <w:tcPr>
            <w:tcW w:w="1013" w:type="dxa"/>
            <w:tcBorders>
              <w:top w:val="single" w:color="000000" w:sz="4" w:space="0"/>
              <w:left w:val="single" w:color="000000" w:sz="4" w:space="0"/>
              <w:bottom w:val="single" w:color="000000" w:sz="4" w:space="0"/>
              <w:right w:val="single" w:color="000000" w:sz="4" w:space="0"/>
            </w:tcBorders>
            <w:vAlign w:val="center"/>
          </w:tcPr>
          <w:p w14:paraId="21933E8D">
            <w:pPr>
              <w:pStyle w:val="34"/>
              <w:tabs>
                <w:tab w:val="left" w:pos="1389"/>
              </w:tabs>
              <w:bidi w:val="0"/>
              <w:rPr>
                <w:color w:val="auto"/>
              </w:rPr>
            </w:pPr>
            <w:r>
              <w:rPr>
                <w:rFonts w:hint="eastAsia"/>
                <w:color w:val="auto"/>
              </w:rPr>
              <w:t>员工</w:t>
            </w:r>
          </w:p>
        </w:tc>
        <w:tc>
          <w:tcPr>
            <w:tcW w:w="3461" w:type="dxa"/>
            <w:tcBorders>
              <w:top w:val="single" w:color="000000" w:sz="4" w:space="0"/>
              <w:left w:val="single" w:color="000000" w:sz="4" w:space="0"/>
              <w:bottom w:val="single" w:color="000000" w:sz="4" w:space="0"/>
              <w:right w:val="nil"/>
            </w:tcBorders>
            <w:vAlign w:val="center"/>
          </w:tcPr>
          <w:p w14:paraId="28D3669D">
            <w:pPr>
              <w:pStyle w:val="34"/>
              <w:tabs>
                <w:tab w:val="left" w:pos="1389"/>
              </w:tabs>
              <w:bidi w:val="0"/>
              <w:rPr>
                <w:color w:val="auto"/>
              </w:rPr>
            </w:pPr>
            <w:r>
              <w:rPr>
                <w:rFonts w:hint="eastAsia"/>
                <w:color w:val="auto"/>
              </w:rPr>
              <w:t>野外调查、鸟类拍摄</w:t>
            </w:r>
          </w:p>
        </w:tc>
      </w:tr>
      <w:tr w14:paraId="17106C07">
        <w:tblPrEx>
          <w:tblCellMar>
            <w:top w:w="0" w:type="dxa"/>
            <w:left w:w="108" w:type="dxa"/>
            <w:bottom w:w="0" w:type="dxa"/>
            <w:right w:w="108" w:type="dxa"/>
          </w:tblCellMar>
        </w:tblPrEx>
        <w:trPr>
          <w:trHeight w:val="300" w:hRule="atLeast"/>
          <w:jc w:val="center"/>
        </w:trPr>
        <w:tc>
          <w:tcPr>
            <w:tcW w:w="3305" w:type="dxa"/>
            <w:tcBorders>
              <w:top w:val="single" w:color="000000" w:sz="4" w:space="0"/>
              <w:left w:val="nil"/>
              <w:bottom w:val="single" w:color="000000" w:sz="4" w:space="0"/>
              <w:right w:val="single" w:color="000000" w:sz="4" w:space="0"/>
            </w:tcBorders>
          </w:tcPr>
          <w:p w14:paraId="1605AF09">
            <w:pPr>
              <w:pStyle w:val="34"/>
              <w:tabs>
                <w:tab w:val="left" w:pos="1389"/>
              </w:tabs>
              <w:bidi w:val="0"/>
              <w:rPr>
                <w:color w:val="auto"/>
              </w:rPr>
            </w:pPr>
            <w:r>
              <w:rPr>
                <w:rFonts w:hint="eastAsia"/>
                <w:color w:val="auto"/>
              </w:rPr>
              <w:t>云南瑞麝生物科技有限公司</w:t>
            </w:r>
          </w:p>
        </w:tc>
        <w:tc>
          <w:tcPr>
            <w:tcW w:w="951" w:type="dxa"/>
            <w:tcBorders>
              <w:top w:val="single" w:color="000000" w:sz="4" w:space="0"/>
              <w:left w:val="single" w:color="000000" w:sz="4" w:space="0"/>
              <w:bottom w:val="single" w:color="000000" w:sz="4" w:space="0"/>
              <w:right w:val="single" w:color="000000" w:sz="4" w:space="0"/>
            </w:tcBorders>
            <w:vAlign w:val="center"/>
          </w:tcPr>
          <w:p w14:paraId="7318A955">
            <w:pPr>
              <w:pStyle w:val="34"/>
              <w:tabs>
                <w:tab w:val="left" w:pos="1389"/>
              </w:tabs>
              <w:bidi w:val="0"/>
              <w:rPr>
                <w:color w:val="auto"/>
              </w:rPr>
            </w:pPr>
            <w:r>
              <w:rPr>
                <w:rFonts w:hint="eastAsia"/>
                <w:color w:val="auto"/>
              </w:rPr>
              <w:t>韩奔</w:t>
            </w:r>
          </w:p>
        </w:tc>
        <w:tc>
          <w:tcPr>
            <w:tcW w:w="1013" w:type="dxa"/>
            <w:tcBorders>
              <w:top w:val="single" w:color="000000" w:sz="4" w:space="0"/>
              <w:left w:val="single" w:color="000000" w:sz="4" w:space="0"/>
              <w:bottom w:val="single" w:color="000000" w:sz="4" w:space="0"/>
              <w:right w:val="single" w:color="000000" w:sz="4" w:space="0"/>
            </w:tcBorders>
            <w:vAlign w:val="center"/>
          </w:tcPr>
          <w:p w14:paraId="14252382">
            <w:pPr>
              <w:pStyle w:val="34"/>
              <w:tabs>
                <w:tab w:val="left" w:pos="1389"/>
              </w:tabs>
              <w:bidi w:val="0"/>
              <w:rPr>
                <w:color w:val="auto"/>
              </w:rPr>
            </w:pPr>
            <w:r>
              <w:rPr>
                <w:rFonts w:hint="eastAsia"/>
                <w:color w:val="auto"/>
              </w:rPr>
              <w:t>员工</w:t>
            </w:r>
          </w:p>
        </w:tc>
        <w:tc>
          <w:tcPr>
            <w:tcW w:w="3461" w:type="dxa"/>
            <w:tcBorders>
              <w:top w:val="single" w:color="000000" w:sz="4" w:space="0"/>
              <w:left w:val="single" w:color="000000" w:sz="4" w:space="0"/>
              <w:bottom w:val="single" w:color="000000" w:sz="4" w:space="0"/>
              <w:right w:val="nil"/>
            </w:tcBorders>
            <w:vAlign w:val="center"/>
          </w:tcPr>
          <w:p w14:paraId="6FCFEEFE">
            <w:pPr>
              <w:pStyle w:val="34"/>
              <w:tabs>
                <w:tab w:val="left" w:pos="1389"/>
              </w:tabs>
              <w:bidi w:val="0"/>
              <w:rPr>
                <w:color w:val="auto"/>
              </w:rPr>
            </w:pPr>
            <w:r>
              <w:rPr>
                <w:rFonts w:hint="eastAsia"/>
                <w:color w:val="auto"/>
              </w:rPr>
              <w:t>野外调查、鸟类生境拍摄，制图</w:t>
            </w:r>
          </w:p>
        </w:tc>
      </w:tr>
      <w:tr w14:paraId="50224C7F">
        <w:tblPrEx>
          <w:tblCellMar>
            <w:top w:w="0" w:type="dxa"/>
            <w:left w:w="108" w:type="dxa"/>
            <w:bottom w:w="0" w:type="dxa"/>
            <w:right w:w="108" w:type="dxa"/>
          </w:tblCellMar>
        </w:tblPrEx>
        <w:trPr>
          <w:trHeight w:val="300" w:hRule="atLeast"/>
          <w:jc w:val="center"/>
        </w:trPr>
        <w:tc>
          <w:tcPr>
            <w:tcW w:w="3305" w:type="dxa"/>
            <w:tcBorders>
              <w:top w:val="single" w:color="000000" w:sz="4" w:space="0"/>
              <w:left w:val="nil"/>
              <w:bottom w:val="single" w:color="000000" w:sz="12" w:space="0"/>
              <w:right w:val="single" w:color="000000" w:sz="4" w:space="0"/>
            </w:tcBorders>
            <w:vAlign w:val="center"/>
          </w:tcPr>
          <w:p w14:paraId="6C0D15CB">
            <w:pPr>
              <w:pStyle w:val="34"/>
              <w:tabs>
                <w:tab w:val="left" w:pos="1389"/>
              </w:tabs>
              <w:bidi w:val="0"/>
              <w:rPr>
                <w:color w:val="auto"/>
              </w:rPr>
            </w:pPr>
            <w:r>
              <w:rPr>
                <w:rFonts w:hint="eastAsia"/>
                <w:color w:val="auto"/>
              </w:rPr>
              <w:t>昆明龙慧工程设计咨询有限公司</w:t>
            </w:r>
          </w:p>
        </w:tc>
        <w:tc>
          <w:tcPr>
            <w:tcW w:w="951" w:type="dxa"/>
            <w:tcBorders>
              <w:top w:val="single" w:color="000000" w:sz="4" w:space="0"/>
              <w:left w:val="single" w:color="000000" w:sz="4" w:space="0"/>
              <w:bottom w:val="single" w:color="000000" w:sz="12" w:space="0"/>
              <w:right w:val="single" w:color="000000" w:sz="4" w:space="0"/>
            </w:tcBorders>
            <w:vAlign w:val="center"/>
          </w:tcPr>
          <w:p w14:paraId="4D09F100">
            <w:pPr>
              <w:pStyle w:val="34"/>
              <w:tabs>
                <w:tab w:val="left" w:pos="1389"/>
              </w:tabs>
              <w:bidi w:val="0"/>
              <w:rPr>
                <w:color w:val="auto"/>
              </w:rPr>
            </w:pPr>
            <w:r>
              <w:rPr>
                <w:rFonts w:hint="eastAsia"/>
                <w:color w:val="auto"/>
              </w:rPr>
              <w:t>杨惠</w:t>
            </w:r>
          </w:p>
        </w:tc>
        <w:tc>
          <w:tcPr>
            <w:tcW w:w="1013" w:type="dxa"/>
            <w:tcBorders>
              <w:top w:val="single" w:color="000000" w:sz="4" w:space="0"/>
              <w:left w:val="single" w:color="000000" w:sz="4" w:space="0"/>
              <w:bottom w:val="single" w:color="000000" w:sz="12" w:space="0"/>
              <w:right w:val="single" w:color="000000" w:sz="4" w:space="0"/>
            </w:tcBorders>
            <w:vAlign w:val="center"/>
          </w:tcPr>
          <w:p w14:paraId="116F6857">
            <w:pPr>
              <w:pStyle w:val="34"/>
              <w:tabs>
                <w:tab w:val="left" w:pos="1389"/>
              </w:tabs>
              <w:bidi w:val="0"/>
              <w:rPr>
                <w:color w:val="auto"/>
              </w:rPr>
            </w:pPr>
          </w:p>
        </w:tc>
        <w:tc>
          <w:tcPr>
            <w:tcW w:w="3461" w:type="dxa"/>
            <w:tcBorders>
              <w:top w:val="single" w:color="000000" w:sz="4" w:space="0"/>
              <w:left w:val="single" w:color="000000" w:sz="4" w:space="0"/>
              <w:bottom w:val="single" w:color="000000" w:sz="12" w:space="0"/>
              <w:right w:val="nil"/>
            </w:tcBorders>
            <w:vAlign w:val="center"/>
          </w:tcPr>
          <w:p w14:paraId="7A029530">
            <w:pPr>
              <w:pStyle w:val="34"/>
              <w:tabs>
                <w:tab w:val="left" w:pos="1389"/>
              </w:tabs>
              <w:bidi w:val="0"/>
              <w:rPr>
                <w:color w:val="auto"/>
              </w:rPr>
            </w:pPr>
            <w:r>
              <w:rPr>
                <w:rFonts w:hint="eastAsia"/>
                <w:color w:val="auto"/>
              </w:rPr>
              <w:t>参与野外调查</w:t>
            </w:r>
          </w:p>
        </w:tc>
      </w:tr>
    </w:tbl>
    <w:p w14:paraId="4480695B">
      <w:pPr>
        <w:pStyle w:val="4"/>
        <w:bidi w:val="0"/>
        <w:rPr>
          <w:rFonts w:hint="eastAsia"/>
          <w:color w:val="auto"/>
          <w:lang w:val="en-US" w:eastAsia="zh-CN"/>
        </w:rPr>
      </w:pPr>
      <w:r>
        <w:rPr>
          <w:rFonts w:hint="eastAsia"/>
          <w:color w:val="auto"/>
          <w:lang w:val="en-US" w:eastAsia="zh-CN"/>
        </w:rPr>
        <w:t>2.3.2调查方法</w:t>
      </w:r>
    </w:p>
    <w:p w14:paraId="574C6BBF">
      <w:pPr>
        <w:pStyle w:val="41"/>
        <w:bidi w:val="0"/>
        <w:rPr>
          <w:rFonts w:hint="default"/>
          <w:color w:val="auto"/>
          <w:lang w:val="en-US" w:eastAsia="zh-CN"/>
        </w:rPr>
      </w:pPr>
      <w:r>
        <w:rPr>
          <w:rFonts w:hint="eastAsia"/>
          <w:color w:val="auto"/>
          <w:lang w:val="en-US" w:eastAsia="zh-CN"/>
        </w:rPr>
        <w:t>（1）</w:t>
      </w:r>
      <w:r>
        <w:rPr>
          <w:rFonts w:hint="default"/>
          <w:color w:val="auto"/>
          <w:lang w:val="en-US" w:eastAsia="zh-CN"/>
        </w:rPr>
        <w:t>样线调查法</w:t>
      </w:r>
    </w:p>
    <w:p w14:paraId="31C83A0B">
      <w:pPr>
        <w:pStyle w:val="41"/>
        <w:bidi w:val="0"/>
        <w:rPr>
          <w:rFonts w:hint="default"/>
          <w:color w:val="auto"/>
          <w:lang w:val="en-US" w:eastAsia="zh-CN"/>
        </w:rPr>
      </w:pPr>
      <w:r>
        <w:rPr>
          <w:rFonts w:hint="default"/>
          <w:color w:val="auto"/>
          <w:lang w:val="en-US" w:eastAsia="zh-CN"/>
        </w:rPr>
        <w:t>利用调查区内现有公路、小路、便道作为</w:t>
      </w:r>
      <w:r>
        <w:rPr>
          <w:rFonts w:hint="eastAsia"/>
          <w:color w:val="auto"/>
          <w:lang w:val="en-US" w:eastAsia="zh-CN"/>
        </w:rPr>
        <w:t>动物</w:t>
      </w:r>
      <w:r>
        <w:rPr>
          <w:rFonts w:hint="default"/>
          <w:color w:val="auto"/>
          <w:lang w:val="en-US" w:eastAsia="zh-CN"/>
        </w:rPr>
        <w:t>调查路线，沿样线行走，使用卡尔蔡司10*42双筒望远镜观察调查样线两侧和前方视野范围内所见</w:t>
      </w:r>
      <w:r>
        <w:rPr>
          <w:rFonts w:hint="eastAsia"/>
          <w:color w:val="auto"/>
          <w:lang w:val="en-US" w:eastAsia="zh-CN"/>
        </w:rPr>
        <w:t>动物</w:t>
      </w:r>
      <w:r>
        <w:rPr>
          <w:rFonts w:hint="default"/>
          <w:color w:val="auto"/>
          <w:lang w:val="en-US" w:eastAsia="zh-CN"/>
        </w:rPr>
        <w:t>，调查样线不限单侧宽度。记录</w:t>
      </w:r>
      <w:r>
        <w:rPr>
          <w:rFonts w:hint="eastAsia"/>
          <w:color w:val="auto"/>
          <w:lang w:val="en-US" w:eastAsia="zh-CN"/>
        </w:rPr>
        <w:t>动物</w:t>
      </w:r>
      <w:r>
        <w:rPr>
          <w:rFonts w:hint="default"/>
          <w:color w:val="auto"/>
          <w:lang w:val="en-US" w:eastAsia="zh-CN"/>
        </w:rPr>
        <w:t>种类、个体数量以及生境类型等数据。样线调查沿途听到鸟类鸣声，未观察到鸟类实体，但能鉴定种类的也予以记录。在调查区域</w:t>
      </w:r>
      <w:r>
        <w:rPr>
          <w:rFonts w:hint="eastAsia"/>
          <w:color w:val="auto"/>
          <w:lang w:val="en-US" w:eastAsia="zh-CN"/>
        </w:rPr>
        <w:t>共</w:t>
      </w:r>
      <w:r>
        <w:rPr>
          <w:rFonts w:hint="default"/>
          <w:color w:val="auto"/>
          <w:lang w:val="en-US" w:eastAsia="zh-CN"/>
        </w:rPr>
        <w:t>布设调查路线</w:t>
      </w:r>
      <w:r>
        <w:rPr>
          <w:rFonts w:hint="eastAsia"/>
          <w:color w:val="auto"/>
          <w:lang w:val="en-US" w:eastAsia="zh-CN"/>
        </w:rPr>
        <w:t>3</w:t>
      </w:r>
      <w:r>
        <w:rPr>
          <w:rFonts w:hint="default"/>
          <w:color w:val="auto"/>
          <w:lang w:val="en-US" w:eastAsia="zh-CN"/>
        </w:rPr>
        <w:t>条，总长度约6.3km。每条样线进行</w:t>
      </w:r>
      <w:r>
        <w:rPr>
          <w:rFonts w:hint="eastAsia"/>
          <w:color w:val="auto"/>
          <w:lang w:val="en-US" w:eastAsia="zh-CN"/>
        </w:rPr>
        <w:t>3</w:t>
      </w:r>
      <w:r>
        <w:rPr>
          <w:rFonts w:hint="default"/>
          <w:color w:val="auto"/>
          <w:lang w:val="en-US" w:eastAsia="zh-CN"/>
        </w:rPr>
        <w:t>次观察记录。有效调查时间为236分钟。</w:t>
      </w:r>
    </w:p>
    <w:p w14:paraId="55CBDB15">
      <w:pPr>
        <w:pStyle w:val="41"/>
        <w:bidi w:val="0"/>
        <w:rPr>
          <w:rFonts w:hint="eastAsia"/>
          <w:color w:val="auto"/>
          <w:lang w:val="en-US" w:eastAsia="zh-CN"/>
        </w:rPr>
      </w:pPr>
      <w:r>
        <w:rPr>
          <w:rFonts w:hint="eastAsia"/>
          <w:color w:val="auto"/>
          <w:lang w:val="en-US" w:eastAsia="zh-CN"/>
        </w:rPr>
        <w:t>（2）样点调查法</w:t>
      </w:r>
    </w:p>
    <w:p w14:paraId="0AC46653">
      <w:pPr>
        <w:pStyle w:val="41"/>
        <w:bidi w:val="0"/>
        <w:rPr>
          <w:rFonts w:hint="eastAsia"/>
          <w:color w:val="auto"/>
          <w:lang w:val="en-US" w:eastAsia="zh-CN"/>
        </w:rPr>
      </w:pPr>
      <w:r>
        <w:rPr>
          <w:rFonts w:hint="eastAsia"/>
          <w:color w:val="auto"/>
          <w:lang w:val="en-US" w:eastAsia="zh-CN"/>
        </w:rPr>
        <w:t>在调查区域选择视野开阔的山顶、山坡作为动物调查样点，调查样点的观察半径地面为50m，空中为200m。调查时使用卡尔蔡司10*42双筒望远镜，观察记录在样点半径范围内活动的动物种类、数量。每个样点观察10分钟。本次调查共布设动物调查样点11个，每个样点观察统计1次，有效调查时间110分钟。</w:t>
      </w:r>
    </w:p>
    <w:p w14:paraId="38D4C970">
      <w:pPr>
        <w:pStyle w:val="41"/>
        <w:bidi w:val="0"/>
        <w:rPr>
          <w:rFonts w:hint="default"/>
          <w:color w:val="auto"/>
          <w:lang w:val="en-US" w:eastAsia="zh-CN"/>
        </w:rPr>
      </w:pPr>
      <w:r>
        <w:rPr>
          <w:rFonts w:hint="eastAsia"/>
          <w:color w:val="auto"/>
          <w:lang w:val="en-US" w:eastAsia="zh-CN"/>
        </w:rPr>
        <w:t>（3）</w:t>
      </w:r>
      <w:r>
        <w:rPr>
          <w:rFonts w:hint="default"/>
          <w:color w:val="auto"/>
          <w:lang w:val="en-US" w:eastAsia="zh-CN"/>
        </w:rPr>
        <w:t>文献查阅+生境判定法</w:t>
      </w:r>
    </w:p>
    <w:p w14:paraId="303FDC9D">
      <w:pPr>
        <w:pStyle w:val="41"/>
        <w:bidi w:val="0"/>
        <w:rPr>
          <w:rFonts w:hint="default"/>
          <w:color w:val="auto"/>
          <w:lang w:val="en-US" w:eastAsia="zh-CN"/>
        </w:rPr>
      </w:pPr>
      <w:r>
        <w:rPr>
          <w:rFonts w:hint="default"/>
          <w:color w:val="auto"/>
          <w:lang w:val="en-US" w:eastAsia="zh-CN"/>
        </w:rPr>
        <w:t>由于受调查季节和调查时间的限制，采用文献查阅+生境判定法对某些在宣威县和滇东北分布较为普遍，调查范围生境应该有分布，但是本次调查未观察记录的鸟类，依据生境类型加以确定。查阅文献主要有《云南鸟类志</w:t>
      </w:r>
      <w:r>
        <w:rPr>
          <w:rFonts w:hint="eastAsia"/>
          <w:color w:val="auto"/>
          <w:lang w:val="en-US" w:eastAsia="zh-CN"/>
        </w:rPr>
        <w:t>》《</w:t>
      </w:r>
      <w:r>
        <w:rPr>
          <w:rFonts w:hint="default"/>
          <w:color w:val="auto"/>
          <w:lang w:val="en-US" w:eastAsia="zh-CN"/>
        </w:rPr>
        <w:t>珠江源保护区综合科学考察报告》</w:t>
      </w:r>
      <w:r>
        <w:rPr>
          <w:rFonts w:hint="eastAsia"/>
          <w:color w:val="auto"/>
          <w:lang w:val="en-US" w:eastAsia="zh-CN"/>
        </w:rPr>
        <w:t>等</w:t>
      </w:r>
      <w:r>
        <w:rPr>
          <w:rFonts w:hint="default"/>
          <w:color w:val="auto"/>
          <w:lang w:val="en-US" w:eastAsia="zh-CN"/>
        </w:rPr>
        <w:t>。</w:t>
      </w:r>
    </w:p>
    <w:p w14:paraId="2B21AB73">
      <w:pPr>
        <w:pStyle w:val="41"/>
        <w:bidi w:val="0"/>
        <w:rPr>
          <w:rFonts w:hint="eastAsia"/>
          <w:color w:val="auto"/>
          <w:lang w:val="en-US" w:eastAsia="zh-CN"/>
        </w:rPr>
      </w:pPr>
      <w:r>
        <w:rPr>
          <w:rFonts w:hint="eastAsia"/>
          <w:color w:val="auto"/>
          <w:lang w:val="en-US" w:eastAsia="zh-CN"/>
        </w:rPr>
        <w:t>（4）访问调查法</w:t>
      </w:r>
    </w:p>
    <w:p w14:paraId="6AF7E557">
      <w:pPr>
        <w:pStyle w:val="41"/>
        <w:bidi w:val="0"/>
        <w:rPr>
          <w:rFonts w:hint="default"/>
          <w:color w:val="auto"/>
          <w:lang w:val="en-US" w:eastAsia="zh-CN"/>
        </w:rPr>
      </w:pPr>
      <w:r>
        <w:rPr>
          <w:rFonts w:hint="eastAsia"/>
          <w:color w:val="auto"/>
          <w:lang w:val="en-US" w:eastAsia="zh-CN"/>
        </w:rPr>
        <w:t>由于受调查时间限制，少数动物在实地调查中难以遇见，需要采用访问调查进行补充。访问调查可有效收集调查区内辨识度较高动物的信息。本次访问调查对象为当地村民，共访问5位村民。</w:t>
      </w:r>
    </w:p>
    <w:p w14:paraId="0E3E60EA">
      <w:pPr>
        <w:pStyle w:val="4"/>
        <w:bidi w:val="0"/>
        <w:rPr>
          <w:rFonts w:hint="default"/>
          <w:color w:val="auto"/>
          <w:lang w:val="en-US" w:eastAsia="zh-CN"/>
        </w:rPr>
      </w:pPr>
      <w:r>
        <w:rPr>
          <w:rFonts w:hint="eastAsia"/>
          <w:color w:val="auto"/>
          <w:lang w:val="en-US" w:eastAsia="zh-CN"/>
        </w:rPr>
        <w:t>2.3.3</w:t>
      </w:r>
      <w:r>
        <w:rPr>
          <w:rFonts w:hint="default"/>
          <w:color w:val="auto"/>
          <w:lang w:val="en-US" w:eastAsia="zh-CN"/>
        </w:rPr>
        <w:t>野生动物资源现状与评价</w:t>
      </w:r>
    </w:p>
    <w:p w14:paraId="47190FC3">
      <w:pPr>
        <w:pStyle w:val="41"/>
        <w:bidi w:val="0"/>
        <w:rPr>
          <w:color w:val="auto"/>
        </w:rPr>
      </w:pPr>
      <w:r>
        <w:rPr>
          <w:color w:val="auto"/>
        </w:rPr>
        <w:t>评价区共记录到陆生脊椎动物</w:t>
      </w:r>
      <w:r>
        <w:rPr>
          <w:rFonts w:hint="eastAsia"/>
          <w:color w:val="auto"/>
          <w:lang w:val="en-US" w:eastAsia="zh-CN"/>
        </w:rPr>
        <w:t>106</w:t>
      </w:r>
      <w:r>
        <w:rPr>
          <w:color w:val="auto"/>
        </w:rPr>
        <w:t>种，主要为两栖类、爬行类</w:t>
      </w:r>
      <w:r>
        <w:rPr>
          <w:rFonts w:hint="eastAsia"/>
          <w:color w:val="auto"/>
          <w:lang w:eastAsia="zh-CN"/>
        </w:rPr>
        <w:t>、</w:t>
      </w:r>
      <w:r>
        <w:rPr>
          <w:color w:val="auto"/>
        </w:rPr>
        <w:t>哺乳</w:t>
      </w:r>
      <w:r>
        <w:rPr>
          <w:rFonts w:hint="eastAsia"/>
          <w:color w:val="auto"/>
          <w:lang w:val="en-US" w:eastAsia="zh-CN"/>
        </w:rPr>
        <w:t>类和鸟类</w:t>
      </w:r>
      <w:r>
        <w:rPr>
          <w:color w:val="auto"/>
        </w:rPr>
        <w:t>。详见下表。</w:t>
      </w:r>
    </w:p>
    <w:p w14:paraId="67AF8565">
      <w:pPr>
        <w:pStyle w:val="42"/>
        <w:bidi w:val="0"/>
        <w:rPr>
          <w:color w:val="auto"/>
        </w:rPr>
      </w:pPr>
      <w:r>
        <w:rPr>
          <w:color w:val="auto"/>
        </w:rPr>
        <w:t>表</w:t>
      </w:r>
      <w:r>
        <w:rPr>
          <w:rFonts w:hint="eastAsia"/>
          <w:color w:val="auto"/>
          <w:lang w:val="en-US" w:eastAsia="zh-CN"/>
        </w:rPr>
        <w:t xml:space="preserve">2-10  </w:t>
      </w:r>
      <w:r>
        <w:rPr>
          <w:color w:val="auto"/>
        </w:rPr>
        <w:t>动物种类统计表</w:t>
      </w:r>
    </w:p>
    <w:tbl>
      <w:tblPr>
        <w:tblStyle w:val="20"/>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84"/>
        <w:gridCol w:w="1788"/>
        <w:gridCol w:w="1788"/>
        <w:gridCol w:w="1793"/>
        <w:gridCol w:w="1793"/>
      </w:tblGrid>
      <w:tr w14:paraId="6B37F19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99" w:type="pct"/>
            <w:tcBorders>
              <w:tl2br w:val="nil"/>
              <w:tr2bl w:val="nil"/>
            </w:tcBorders>
            <w:noWrap/>
            <w:vAlign w:val="bottom"/>
          </w:tcPr>
          <w:p w14:paraId="3D367F57">
            <w:pPr>
              <w:pStyle w:val="34"/>
              <w:tabs>
                <w:tab w:val="left" w:pos="1389"/>
              </w:tabs>
              <w:bidi w:val="0"/>
              <w:rPr>
                <w:color w:val="auto"/>
              </w:rPr>
            </w:pPr>
            <w:r>
              <w:rPr>
                <w:color w:val="auto"/>
              </w:rPr>
              <w:t>种类</w:t>
            </w:r>
          </w:p>
        </w:tc>
        <w:tc>
          <w:tcPr>
            <w:tcW w:w="999" w:type="pct"/>
            <w:tcBorders>
              <w:tl2br w:val="nil"/>
              <w:tr2bl w:val="nil"/>
            </w:tcBorders>
            <w:noWrap/>
            <w:vAlign w:val="bottom"/>
          </w:tcPr>
          <w:p w14:paraId="7BC4CD54">
            <w:pPr>
              <w:pStyle w:val="34"/>
              <w:tabs>
                <w:tab w:val="left" w:pos="1389"/>
              </w:tabs>
              <w:bidi w:val="0"/>
              <w:rPr>
                <w:color w:val="auto"/>
              </w:rPr>
            </w:pPr>
            <w:r>
              <w:rPr>
                <w:color w:val="auto"/>
              </w:rPr>
              <w:t>目</w:t>
            </w:r>
          </w:p>
        </w:tc>
        <w:tc>
          <w:tcPr>
            <w:tcW w:w="999" w:type="pct"/>
            <w:tcBorders>
              <w:tl2br w:val="nil"/>
              <w:tr2bl w:val="nil"/>
            </w:tcBorders>
            <w:noWrap/>
            <w:vAlign w:val="bottom"/>
          </w:tcPr>
          <w:p w14:paraId="5A079068">
            <w:pPr>
              <w:pStyle w:val="34"/>
              <w:tabs>
                <w:tab w:val="left" w:pos="1389"/>
              </w:tabs>
              <w:bidi w:val="0"/>
              <w:rPr>
                <w:color w:val="auto"/>
              </w:rPr>
            </w:pPr>
            <w:r>
              <w:rPr>
                <w:color w:val="auto"/>
              </w:rPr>
              <w:t>科</w:t>
            </w:r>
          </w:p>
        </w:tc>
        <w:tc>
          <w:tcPr>
            <w:tcW w:w="1000" w:type="pct"/>
            <w:tcBorders>
              <w:tl2br w:val="nil"/>
              <w:tr2bl w:val="nil"/>
            </w:tcBorders>
            <w:noWrap/>
            <w:vAlign w:val="bottom"/>
          </w:tcPr>
          <w:p w14:paraId="133DBAD5">
            <w:pPr>
              <w:pStyle w:val="34"/>
              <w:tabs>
                <w:tab w:val="left" w:pos="1389"/>
              </w:tabs>
              <w:bidi w:val="0"/>
              <w:rPr>
                <w:color w:val="auto"/>
              </w:rPr>
            </w:pPr>
            <w:r>
              <w:rPr>
                <w:color w:val="auto"/>
              </w:rPr>
              <w:t>属</w:t>
            </w:r>
          </w:p>
        </w:tc>
        <w:tc>
          <w:tcPr>
            <w:tcW w:w="1000" w:type="pct"/>
            <w:tcBorders>
              <w:tl2br w:val="nil"/>
              <w:tr2bl w:val="nil"/>
            </w:tcBorders>
            <w:noWrap/>
            <w:vAlign w:val="bottom"/>
          </w:tcPr>
          <w:p w14:paraId="17DC70B3">
            <w:pPr>
              <w:pStyle w:val="34"/>
              <w:tabs>
                <w:tab w:val="left" w:pos="1389"/>
              </w:tabs>
              <w:bidi w:val="0"/>
              <w:rPr>
                <w:color w:val="auto"/>
              </w:rPr>
            </w:pPr>
            <w:r>
              <w:rPr>
                <w:color w:val="auto"/>
              </w:rPr>
              <w:t>种</w:t>
            </w:r>
          </w:p>
        </w:tc>
      </w:tr>
      <w:tr w14:paraId="18503C4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99" w:type="pct"/>
            <w:tcBorders>
              <w:tl2br w:val="nil"/>
              <w:tr2bl w:val="nil"/>
            </w:tcBorders>
            <w:noWrap/>
            <w:vAlign w:val="bottom"/>
          </w:tcPr>
          <w:p w14:paraId="040CB4D7">
            <w:pPr>
              <w:pStyle w:val="34"/>
              <w:tabs>
                <w:tab w:val="left" w:pos="1389"/>
              </w:tabs>
              <w:bidi w:val="0"/>
              <w:rPr>
                <w:color w:val="auto"/>
              </w:rPr>
            </w:pPr>
            <w:r>
              <w:rPr>
                <w:color w:val="auto"/>
              </w:rPr>
              <w:t>两栖类</w:t>
            </w:r>
          </w:p>
        </w:tc>
        <w:tc>
          <w:tcPr>
            <w:tcW w:w="999" w:type="pct"/>
            <w:tcBorders>
              <w:tl2br w:val="nil"/>
              <w:tr2bl w:val="nil"/>
            </w:tcBorders>
            <w:noWrap/>
            <w:vAlign w:val="bottom"/>
          </w:tcPr>
          <w:p w14:paraId="550B263C">
            <w:pPr>
              <w:pStyle w:val="34"/>
              <w:tabs>
                <w:tab w:val="left" w:pos="1389"/>
              </w:tabs>
              <w:bidi w:val="0"/>
              <w:rPr>
                <w:color w:val="auto"/>
              </w:rPr>
            </w:pPr>
            <w:r>
              <w:rPr>
                <w:color w:val="auto"/>
              </w:rPr>
              <w:t>1</w:t>
            </w:r>
          </w:p>
        </w:tc>
        <w:tc>
          <w:tcPr>
            <w:tcW w:w="999" w:type="pct"/>
            <w:tcBorders>
              <w:tl2br w:val="nil"/>
              <w:tr2bl w:val="nil"/>
            </w:tcBorders>
            <w:noWrap/>
            <w:vAlign w:val="bottom"/>
          </w:tcPr>
          <w:p w14:paraId="0394AC4E">
            <w:pPr>
              <w:pStyle w:val="34"/>
              <w:tabs>
                <w:tab w:val="left" w:pos="1389"/>
              </w:tabs>
              <w:bidi w:val="0"/>
              <w:rPr>
                <w:rFonts w:hint="eastAsia" w:eastAsia="宋体"/>
                <w:color w:val="auto"/>
                <w:lang w:eastAsia="zh-CN"/>
              </w:rPr>
            </w:pPr>
            <w:r>
              <w:rPr>
                <w:rFonts w:hint="eastAsia"/>
                <w:color w:val="auto"/>
                <w:lang w:val="en-US" w:eastAsia="zh-CN"/>
              </w:rPr>
              <w:t>3</w:t>
            </w:r>
          </w:p>
        </w:tc>
        <w:tc>
          <w:tcPr>
            <w:tcW w:w="1000" w:type="pct"/>
            <w:tcBorders>
              <w:tl2br w:val="nil"/>
              <w:tr2bl w:val="nil"/>
            </w:tcBorders>
            <w:noWrap/>
            <w:vAlign w:val="bottom"/>
          </w:tcPr>
          <w:p w14:paraId="55427DB4">
            <w:pPr>
              <w:pStyle w:val="34"/>
              <w:tabs>
                <w:tab w:val="left" w:pos="1389"/>
              </w:tabs>
              <w:bidi w:val="0"/>
              <w:rPr>
                <w:rFonts w:hint="default" w:eastAsia="宋体"/>
                <w:color w:val="auto"/>
                <w:lang w:val="en-US" w:eastAsia="zh-CN"/>
              </w:rPr>
            </w:pPr>
            <w:r>
              <w:rPr>
                <w:rFonts w:hint="eastAsia"/>
                <w:color w:val="auto"/>
                <w:lang w:val="en-US" w:eastAsia="zh-CN"/>
              </w:rPr>
              <w:t>4</w:t>
            </w:r>
          </w:p>
        </w:tc>
        <w:tc>
          <w:tcPr>
            <w:tcW w:w="1000" w:type="pct"/>
            <w:tcBorders>
              <w:tl2br w:val="nil"/>
              <w:tr2bl w:val="nil"/>
            </w:tcBorders>
            <w:noWrap/>
            <w:vAlign w:val="bottom"/>
          </w:tcPr>
          <w:p w14:paraId="2FDFBD68">
            <w:pPr>
              <w:pStyle w:val="34"/>
              <w:tabs>
                <w:tab w:val="left" w:pos="1389"/>
              </w:tabs>
              <w:bidi w:val="0"/>
              <w:rPr>
                <w:rFonts w:hint="default"/>
                <w:color w:val="auto"/>
                <w:lang w:val="en-US" w:eastAsia="zh-CN"/>
              </w:rPr>
            </w:pPr>
            <w:r>
              <w:rPr>
                <w:rFonts w:hint="eastAsia"/>
                <w:color w:val="auto"/>
                <w:lang w:val="en-US" w:eastAsia="zh-CN"/>
              </w:rPr>
              <w:t>4</w:t>
            </w:r>
          </w:p>
        </w:tc>
      </w:tr>
      <w:tr w14:paraId="31341EF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99" w:type="pct"/>
            <w:tcBorders>
              <w:tl2br w:val="nil"/>
              <w:tr2bl w:val="nil"/>
            </w:tcBorders>
            <w:noWrap/>
            <w:vAlign w:val="bottom"/>
          </w:tcPr>
          <w:p w14:paraId="29772C52">
            <w:pPr>
              <w:pStyle w:val="34"/>
              <w:tabs>
                <w:tab w:val="left" w:pos="1389"/>
              </w:tabs>
              <w:bidi w:val="0"/>
              <w:rPr>
                <w:color w:val="auto"/>
              </w:rPr>
            </w:pPr>
            <w:r>
              <w:rPr>
                <w:color w:val="auto"/>
              </w:rPr>
              <w:t>爬行类</w:t>
            </w:r>
          </w:p>
        </w:tc>
        <w:tc>
          <w:tcPr>
            <w:tcW w:w="1788" w:type="dxa"/>
            <w:tcBorders>
              <w:tl2br w:val="nil"/>
              <w:tr2bl w:val="nil"/>
            </w:tcBorders>
            <w:noWrap/>
            <w:vAlign w:val="bottom"/>
          </w:tcPr>
          <w:p w14:paraId="06507832">
            <w:pPr>
              <w:pStyle w:val="34"/>
              <w:tabs>
                <w:tab w:val="left" w:pos="1389"/>
              </w:tabs>
              <w:bidi w:val="0"/>
              <w:ind w:right="38" w:rightChars="16"/>
              <w:rPr>
                <w:rFonts w:hint="eastAsia" w:eastAsia="宋体"/>
                <w:color w:val="auto"/>
                <w:lang w:eastAsia="zh-CN"/>
              </w:rPr>
            </w:pPr>
            <w:r>
              <w:rPr>
                <w:rFonts w:hint="eastAsia"/>
                <w:color w:val="auto"/>
                <w:lang w:val="en-US" w:eastAsia="zh-CN"/>
              </w:rPr>
              <w:t>2</w:t>
            </w:r>
          </w:p>
        </w:tc>
        <w:tc>
          <w:tcPr>
            <w:tcW w:w="1788" w:type="dxa"/>
            <w:tcBorders>
              <w:tl2br w:val="nil"/>
              <w:tr2bl w:val="nil"/>
            </w:tcBorders>
            <w:noWrap/>
            <w:vAlign w:val="bottom"/>
          </w:tcPr>
          <w:p w14:paraId="4B2BF0CF">
            <w:pPr>
              <w:pStyle w:val="34"/>
              <w:tabs>
                <w:tab w:val="left" w:pos="1389"/>
              </w:tabs>
              <w:bidi w:val="0"/>
              <w:ind w:right="38" w:rightChars="16"/>
              <w:rPr>
                <w:color w:val="auto"/>
              </w:rPr>
            </w:pPr>
            <w:r>
              <w:rPr>
                <w:rFonts w:hint="eastAsia"/>
                <w:color w:val="auto"/>
                <w:lang w:val="en-US" w:eastAsia="zh-CN"/>
              </w:rPr>
              <w:t>4</w:t>
            </w:r>
          </w:p>
        </w:tc>
        <w:tc>
          <w:tcPr>
            <w:tcW w:w="1791" w:type="dxa"/>
            <w:tcBorders>
              <w:tl2br w:val="nil"/>
              <w:tr2bl w:val="nil"/>
            </w:tcBorders>
            <w:noWrap/>
            <w:vAlign w:val="bottom"/>
          </w:tcPr>
          <w:p w14:paraId="06681F65">
            <w:pPr>
              <w:pStyle w:val="34"/>
              <w:tabs>
                <w:tab w:val="left" w:pos="1389"/>
              </w:tabs>
              <w:bidi w:val="0"/>
              <w:ind w:right="38" w:rightChars="16"/>
              <w:rPr>
                <w:color w:val="auto"/>
              </w:rPr>
            </w:pPr>
            <w:r>
              <w:rPr>
                <w:rFonts w:hint="eastAsia"/>
                <w:color w:val="auto"/>
                <w:lang w:val="en-US" w:eastAsia="zh-CN"/>
              </w:rPr>
              <w:t>5</w:t>
            </w:r>
          </w:p>
        </w:tc>
        <w:tc>
          <w:tcPr>
            <w:tcW w:w="1791" w:type="dxa"/>
            <w:tcBorders>
              <w:tl2br w:val="nil"/>
              <w:tr2bl w:val="nil"/>
            </w:tcBorders>
            <w:noWrap/>
            <w:vAlign w:val="bottom"/>
          </w:tcPr>
          <w:p w14:paraId="0CFC51E5">
            <w:pPr>
              <w:pStyle w:val="34"/>
              <w:tabs>
                <w:tab w:val="left" w:pos="1389"/>
              </w:tabs>
              <w:bidi w:val="0"/>
              <w:ind w:right="38" w:rightChars="16"/>
              <w:rPr>
                <w:color w:val="auto"/>
              </w:rPr>
            </w:pPr>
            <w:r>
              <w:rPr>
                <w:rFonts w:hint="eastAsia"/>
                <w:color w:val="auto"/>
                <w:lang w:val="en-US" w:eastAsia="zh-CN"/>
              </w:rPr>
              <w:t>5</w:t>
            </w:r>
          </w:p>
        </w:tc>
      </w:tr>
      <w:tr w14:paraId="58F8788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99" w:type="pct"/>
            <w:tcBorders>
              <w:tl2br w:val="nil"/>
              <w:tr2bl w:val="nil"/>
            </w:tcBorders>
            <w:noWrap/>
            <w:vAlign w:val="bottom"/>
          </w:tcPr>
          <w:p w14:paraId="2C4F93B8">
            <w:pPr>
              <w:pStyle w:val="34"/>
              <w:tabs>
                <w:tab w:val="left" w:pos="1389"/>
              </w:tabs>
              <w:bidi w:val="0"/>
              <w:rPr>
                <w:color w:val="auto"/>
              </w:rPr>
            </w:pPr>
            <w:r>
              <w:rPr>
                <w:color w:val="auto"/>
              </w:rPr>
              <w:t>哺乳类</w:t>
            </w:r>
          </w:p>
        </w:tc>
        <w:tc>
          <w:tcPr>
            <w:tcW w:w="999" w:type="pct"/>
            <w:tcBorders>
              <w:tl2br w:val="nil"/>
              <w:tr2bl w:val="nil"/>
            </w:tcBorders>
            <w:noWrap/>
            <w:vAlign w:val="bottom"/>
          </w:tcPr>
          <w:p w14:paraId="2B831836">
            <w:pPr>
              <w:pStyle w:val="34"/>
              <w:tabs>
                <w:tab w:val="left" w:pos="1389"/>
              </w:tabs>
              <w:bidi w:val="0"/>
              <w:rPr>
                <w:rFonts w:hint="eastAsia" w:eastAsia="宋体"/>
                <w:color w:val="auto"/>
                <w:lang w:val="en-US" w:eastAsia="zh-CN"/>
              </w:rPr>
            </w:pPr>
            <w:r>
              <w:rPr>
                <w:rFonts w:hint="eastAsia"/>
                <w:color w:val="auto"/>
                <w:lang w:val="en-US" w:eastAsia="zh-CN"/>
              </w:rPr>
              <w:t>4</w:t>
            </w:r>
          </w:p>
        </w:tc>
        <w:tc>
          <w:tcPr>
            <w:tcW w:w="999" w:type="pct"/>
            <w:tcBorders>
              <w:tl2br w:val="nil"/>
              <w:tr2bl w:val="nil"/>
            </w:tcBorders>
            <w:noWrap/>
            <w:vAlign w:val="bottom"/>
          </w:tcPr>
          <w:p w14:paraId="7E644851">
            <w:pPr>
              <w:pStyle w:val="34"/>
              <w:tabs>
                <w:tab w:val="left" w:pos="1389"/>
              </w:tabs>
              <w:bidi w:val="0"/>
              <w:rPr>
                <w:rFonts w:hint="default" w:eastAsia="宋体"/>
                <w:color w:val="auto"/>
                <w:lang w:val="en-US" w:eastAsia="zh-CN"/>
              </w:rPr>
            </w:pPr>
            <w:r>
              <w:rPr>
                <w:rFonts w:hint="eastAsia"/>
                <w:color w:val="auto"/>
                <w:lang w:val="en-US" w:eastAsia="zh-CN"/>
              </w:rPr>
              <w:t>6</w:t>
            </w:r>
          </w:p>
        </w:tc>
        <w:tc>
          <w:tcPr>
            <w:tcW w:w="1000" w:type="pct"/>
            <w:tcBorders>
              <w:tl2br w:val="nil"/>
              <w:tr2bl w:val="nil"/>
            </w:tcBorders>
            <w:noWrap/>
            <w:vAlign w:val="bottom"/>
          </w:tcPr>
          <w:p w14:paraId="7A500281">
            <w:pPr>
              <w:pStyle w:val="34"/>
              <w:tabs>
                <w:tab w:val="left" w:pos="1389"/>
              </w:tabs>
              <w:bidi w:val="0"/>
              <w:rPr>
                <w:rFonts w:hint="default" w:eastAsia="宋体"/>
                <w:color w:val="auto"/>
                <w:lang w:val="en-US" w:eastAsia="zh-CN"/>
              </w:rPr>
            </w:pPr>
            <w:r>
              <w:rPr>
                <w:rFonts w:hint="eastAsia"/>
                <w:color w:val="auto"/>
                <w:lang w:val="en-US" w:eastAsia="zh-CN"/>
              </w:rPr>
              <w:t>9</w:t>
            </w:r>
          </w:p>
        </w:tc>
        <w:tc>
          <w:tcPr>
            <w:tcW w:w="1000" w:type="pct"/>
            <w:tcBorders>
              <w:tl2br w:val="nil"/>
              <w:tr2bl w:val="nil"/>
            </w:tcBorders>
            <w:noWrap/>
            <w:vAlign w:val="bottom"/>
          </w:tcPr>
          <w:p w14:paraId="1B8A91F2">
            <w:pPr>
              <w:pStyle w:val="34"/>
              <w:tabs>
                <w:tab w:val="left" w:pos="1389"/>
              </w:tabs>
              <w:bidi w:val="0"/>
              <w:rPr>
                <w:rFonts w:hint="default"/>
                <w:color w:val="auto"/>
                <w:lang w:val="en-US" w:eastAsia="zh-CN"/>
              </w:rPr>
            </w:pPr>
            <w:r>
              <w:rPr>
                <w:rFonts w:hint="eastAsia"/>
                <w:color w:val="auto"/>
                <w:lang w:val="en-US" w:eastAsia="zh-CN"/>
              </w:rPr>
              <w:t>9</w:t>
            </w:r>
          </w:p>
        </w:tc>
      </w:tr>
      <w:tr w14:paraId="552A4F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99" w:type="pct"/>
            <w:tcBorders>
              <w:tl2br w:val="nil"/>
              <w:tr2bl w:val="nil"/>
            </w:tcBorders>
            <w:noWrap/>
            <w:vAlign w:val="bottom"/>
          </w:tcPr>
          <w:p w14:paraId="1A1B4379">
            <w:pPr>
              <w:pStyle w:val="34"/>
              <w:tabs>
                <w:tab w:val="left" w:pos="1389"/>
              </w:tabs>
              <w:bidi w:val="0"/>
              <w:rPr>
                <w:rFonts w:hint="eastAsia" w:eastAsia="宋体"/>
                <w:color w:val="auto"/>
                <w:lang w:val="en-US" w:eastAsia="zh-CN"/>
              </w:rPr>
            </w:pPr>
            <w:r>
              <w:rPr>
                <w:rFonts w:hint="eastAsia"/>
                <w:color w:val="auto"/>
                <w:lang w:val="en-US" w:eastAsia="zh-CN"/>
              </w:rPr>
              <w:t>鸟类</w:t>
            </w:r>
          </w:p>
        </w:tc>
        <w:tc>
          <w:tcPr>
            <w:tcW w:w="999" w:type="pct"/>
            <w:tcBorders>
              <w:tl2br w:val="nil"/>
              <w:tr2bl w:val="nil"/>
            </w:tcBorders>
            <w:noWrap/>
            <w:vAlign w:val="bottom"/>
          </w:tcPr>
          <w:p w14:paraId="1227A345">
            <w:pPr>
              <w:pStyle w:val="34"/>
              <w:tabs>
                <w:tab w:val="left" w:pos="1389"/>
              </w:tabs>
              <w:bidi w:val="0"/>
              <w:rPr>
                <w:rFonts w:hint="default" w:eastAsia="宋体"/>
                <w:color w:val="auto"/>
                <w:lang w:val="en-US" w:eastAsia="zh-CN"/>
              </w:rPr>
            </w:pPr>
            <w:r>
              <w:rPr>
                <w:rFonts w:hint="eastAsia" w:cs="Times New Roman"/>
                <w:color w:val="auto"/>
                <w:lang w:val="en-US" w:eastAsia="zh-CN"/>
              </w:rPr>
              <w:t>10</w:t>
            </w:r>
          </w:p>
        </w:tc>
        <w:tc>
          <w:tcPr>
            <w:tcW w:w="1788" w:type="dxa"/>
            <w:tcBorders>
              <w:tl2br w:val="nil"/>
              <w:tr2bl w:val="nil"/>
            </w:tcBorders>
            <w:noWrap/>
            <w:vAlign w:val="bottom"/>
          </w:tcPr>
          <w:p w14:paraId="5AD37092">
            <w:pPr>
              <w:pStyle w:val="34"/>
              <w:tabs>
                <w:tab w:val="left" w:pos="1389"/>
              </w:tabs>
              <w:bidi w:val="0"/>
              <w:ind w:right="38" w:rightChars="16"/>
              <w:rPr>
                <w:rFonts w:hint="default" w:eastAsia="宋体"/>
                <w:color w:val="auto"/>
                <w:lang w:val="en-US" w:eastAsia="zh-CN"/>
              </w:rPr>
            </w:pPr>
            <w:r>
              <w:rPr>
                <w:rFonts w:hint="eastAsia" w:cs="Times New Roman"/>
                <w:color w:val="auto"/>
                <w:lang w:val="en-US" w:eastAsia="zh-CN"/>
              </w:rPr>
              <w:t>38</w:t>
            </w:r>
          </w:p>
        </w:tc>
        <w:tc>
          <w:tcPr>
            <w:tcW w:w="1791" w:type="dxa"/>
            <w:tcBorders>
              <w:tl2br w:val="nil"/>
              <w:tr2bl w:val="nil"/>
            </w:tcBorders>
            <w:noWrap/>
            <w:vAlign w:val="bottom"/>
          </w:tcPr>
          <w:p w14:paraId="2E073F7C">
            <w:pPr>
              <w:pStyle w:val="34"/>
              <w:tabs>
                <w:tab w:val="left" w:pos="1389"/>
              </w:tabs>
              <w:bidi w:val="0"/>
              <w:ind w:right="38" w:rightChars="16"/>
              <w:rPr>
                <w:rFonts w:hint="default" w:eastAsia="宋体"/>
                <w:color w:val="auto"/>
                <w:lang w:val="en-US" w:eastAsia="zh-CN"/>
              </w:rPr>
            </w:pPr>
            <w:r>
              <w:rPr>
                <w:rFonts w:hint="eastAsia" w:cs="Times New Roman"/>
                <w:color w:val="auto"/>
                <w:lang w:val="en-US" w:eastAsia="zh-CN"/>
              </w:rPr>
              <w:t>66</w:t>
            </w:r>
          </w:p>
        </w:tc>
        <w:tc>
          <w:tcPr>
            <w:tcW w:w="1000" w:type="pct"/>
            <w:tcBorders>
              <w:tl2br w:val="nil"/>
              <w:tr2bl w:val="nil"/>
            </w:tcBorders>
            <w:noWrap/>
            <w:vAlign w:val="bottom"/>
          </w:tcPr>
          <w:p w14:paraId="405B24D4">
            <w:pPr>
              <w:pStyle w:val="34"/>
              <w:tabs>
                <w:tab w:val="left" w:pos="1389"/>
              </w:tabs>
              <w:bidi w:val="0"/>
              <w:rPr>
                <w:rFonts w:hint="default" w:eastAsia="宋体"/>
                <w:color w:val="auto"/>
                <w:lang w:val="en-US" w:eastAsia="zh-CN"/>
              </w:rPr>
            </w:pPr>
            <w:r>
              <w:rPr>
                <w:rFonts w:hint="eastAsia" w:cs="Times New Roman"/>
                <w:color w:val="auto"/>
                <w:lang w:val="en-US" w:eastAsia="zh-CN"/>
              </w:rPr>
              <w:t>88</w:t>
            </w:r>
          </w:p>
        </w:tc>
      </w:tr>
      <w:tr w14:paraId="25200C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999" w:type="pct"/>
            <w:tcBorders>
              <w:tl2br w:val="nil"/>
              <w:tr2bl w:val="nil"/>
            </w:tcBorders>
            <w:noWrap/>
            <w:vAlign w:val="bottom"/>
          </w:tcPr>
          <w:p w14:paraId="173D89C6">
            <w:pPr>
              <w:pStyle w:val="34"/>
              <w:tabs>
                <w:tab w:val="left" w:pos="1389"/>
              </w:tabs>
              <w:bidi w:val="0"/>
              <w:rPr>
                <w:color w:val="auto"/>
              </w:rPr>
            </w:pPr>
            <w:r>
              <w:rPr>
                <w:color w:val="auto"/>
              </w:rPr>
              <w:t>合计</w:t>
            </w:r>
          </w:p>
        </w:tc>
        <w:tc>
          <w:tcPr>
            <w:tcW w:w="1788" w:type="dxa"/>
            <w:tcBorders>
              <w:tl2br w:val="nil"/>
              <w:tr2bl w:val="nil"/>
            </w:tcBorders>
            <w:noWrap/>
            <w:vAlign w:val="bottom"/>
          </w:tcPr>
          <w:p w14:paraId="721CE37E">
            <w:pPr>
              <w:keepNext w:val="0"/>
              <w:keepLines w:val="0"/>
              <w:widowControl/>
              <w:suppressLineNumbers w:val="0"/>
              <w:jc w:val="center"/>
              <w:textAlignment w:val="bottom"/>
              <w:rPr>
                <w:rFonts w:hint="default"/>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17</w:t>
            </w:r>
          </w:p>
        </w:tc>
        <w:tc>
          <w:tcPr>
            <w:tcW w:w="1788" w:type="dxa"/>
            <w:tcBorders>
              <w:tl2br w:val="nil"/>
              <w:tr2bl w:val="nil"/>
            </w:tcBorders>
            <w:noWrap/>
            <w:vAlign w:val="bottom"/>
          </w:tcPr>
          <w:p w14:paraId="67EF47D0">
            <w:pPr>
              <w:keepNext w:val="0"/>
              <w:keepLines w:val="0"/>
              <w:widowControl/>
              <w:suppressLineNumbers w:val="0"/>
              <w:jc w:val="center"/>
              <w:textAlignment w:val="bottom"/>
              <w:rPr>
                <w:rFonts w:hint="default"/>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51</w:t>
            </w:r>
          </w:p>
        </w:tc>
        <w:tc>
          <w:tcPr>
            <w:tcW w:w="1792" w:type="dxa"/>
            <w:tcBorders>
              <w:tl2br w:val="nil"/>
              <w:tr2bl w:val="nil"/>
            </w:tcBorders>
            <w:noWrap/>
            <w:vAlign w:val="bottom"/>
          </w:tcPr>
          <w:p w14:paraId="7DA5D0A1">
            <w:pPr>
              <w:keepNext w:val="0"/>
              <w:keepLines w:val="0"/>
              <w:widowControl/>
              <w:suppressLineNumbers w:val="0"/>
              <w:jc w:val="center"/>
              <w:textAlignment w:val="bottom"/>
              <w:rPr>
                <w:rFonts w:hint="default"/>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84</w:t>
            </w:r>
          </w:p>
        </w:tc>
        <w:tc>
          <w:tcPr>
            <w:tcW w:w="1792" w:type="dxa"/>
            <w:tcBorders>
              <w:tl2br w:val="nil"/>
              <w:tr2bl w:val="nil"/>
            </w:tcBorders>
            <w:noWrap/>
            <w:vAlign w:val="bottom"/>
          </w:tcPr>
          <w:p w14:paraId="758623B6">
            <w:pPr>
              <w:keepNext w:val="0"/>
              <w:keepLines w:val="0"/>
              <w:widowControl/>
              <w:suppressLineNumbers w:val="0"/>
              <w:jc w:val="center"/>
              <w:textAlignment w:val="bottom"/>
              <w:rPr>
                <w:rFonts w:hint="default"/>
                <w:color w:val="auto"/>
                <w:lang w:val="en-US" w:eastAsia="zh-CN"/>
              </w:rPr>
            </w:pPr>
            <w:r>
              <w:rPr>
                <w:rFonts w:hint="default" w:ascii="Times New Roman" w:hAnsi="Times New Roman" w:eastAsia="宋体" w:cs="Times New Roman"/>
                <w:i w:val="0"/>
                <w:iCs w:val="0"/>
                <w:color w:val="auto"/>
                <w:kern w:val="0"/>
                <w:sz w:val="21"/>
                <w:szCs w:val="21"/>
                <w:u w:val="none"/>
                <w:lang w:val="en-US" w:eastAsia="zh-CN" w:bidi="ar"/>
              </w:rPr>
              <w:t>106</w:t>
            </w:r>
          </w:p>
        </w:tc>
      </w:tr>
    </w:tbl>
    <w:p w14:paraId="4B12C323">
      <w:pPr>
        <w:pStyle w:val="4"/>
        <w:bidi w:val="0"/>
        <w:rPr>
          <w:rFonts w:hint="eastAsia"/>
          <w:color w:val="auto"/>
          <w:lang w:val="en-US" w:eastAsia="zh-CN"/>
        </w:rPr>
      </w:pPr>
      <w:r>
        <w:rPr>
          <w:rFonts w:hint="eastAsia"/>
          <w:color w:val="auto"/>
          <w:lang w:val="en-US" w:eastAsia="zh-CN"/>
        </w:rPr>
        <w:t>2.3.4两栖类</w:t>
      </w:r>
    </w:p>
    <w:p w14:paraId="65288177">
      <w:pPr>
        <w:pStyle w:val="41"/>
        <w:bidi w:val="0"/>
        <w:rPr>
          <w:rFonts w:hint="default" w:eastAsia="宋体"/>
          <w:color w:val="auto"/>
          <w:lang w:val="en-US" w:eastAsia="zh-CN"/>
        </w:rPr>
      </w:pPr>
      <w:r>
        <w:rPr>
          <w:rFonts w:hint="eastAsia"/>
          <w:color w:val="auto"/>
          <w:lang w:val="en-US" w:eastAsia="zh-CN"/>
        </w:rPr>
        <w:t>项目风机区海拔整体位于2000m以上，且周边水系不发达，两栖动物分布很少。</w:t>
      </w:r>
    </w:p>
    <w:p w14:paraId="277E4745">
      <w:pPr>
        <w:pStyle w:val="41"/>
        <w:bidi w:val="0"/>
        <w:rPr>
          <w:color w:val="auto"/>
        </w:rPr>
      </w:pPr>
      <w:r>
        <w:rPr>
          <w:color w:val="auto"/>
        </w:rPr>
        <w:t>（1）种类及数量</w:t>
      </w:r>
    </w:p>
    <w:p w14:paraId="7B3A810B">
      <w:pPr>
        <w:pStyle w:val="41"/>
        <w:bidi w:val="0"/>
        <w:rPr>
          <w:color w:val="auto"/>
        </w:rPr>
      </w:pPr>
      <w:r>
        <w:rPr>
          <w:rFonts w:hint="eastAsia"/>
          <w:color w:val="auto"/>
        </w:rPr>
        <w:t>参照</w:t>
      </w:r>
      <w:r>
        <w:rPr>
          <w:rFonts w:hint="eastAsia"/>
          <w:color w:val="auto"/>
          <w:lang w:eastAsia="zh-CN"/>
        </w:rPr>
        <w:t>《</w:t>
      </w:r>
      <w:r>
        <w:rPr>
          <w:rFonts w:hint="eastAsia"/>
          <w:color w:val="auto"/>
        </w:rPr>
        <w:t>“中国两栖类”信息系统</w:t>
      </w:r>
      <w:r>
        <w:rPr>
          <w:rFonts w:hint="eastAsia"/>
          <w:color w:val="auto"/>
          <w:lang w:eastAsia="zh-CN"/>
        </w:rPr>
        <w:t>》</w:t>
      </w:r>
      <w:r>
        <w:rPr>
          <w:rFonts w:hint="eastAsia"/>
          <w:color w:val="auto"/>
        </w:rPr>
        <w:t>（2021年）进行编目，调查区内共记录两栖动物1目</w:t>
      </w:r>
      <w:r>
        <w:rPr>
          <w:rFonts w:hint="eastAsia"/>
          <w:color w:val="auto"/>
          <w:lang w:val="en-US" w:eastAsia="zh-CN"/>
        </w:rPr>
        <w:t>3</w:t>
      </w:r>
      <w:r>
        <w:rPr>
          <w:rFonts w:hint="eastAsia"/>
          <w:color w:val="auto"/>
        </w:rPr>
        <w:t>科</w:t>
      </w:r>
      <w:r>
        <w:rPr>
          <w:rFonts w:hint="eastAsia"/>
          <w:color w:val="auto"/>
          <w:lang w:val="en-US" w:eastAsia="zh-CN"/>
        </w:rPr>
        <w:t>4</w:t>
      </w:r>
      <w:r>
        <w:rPr>
          <w:rFonts w:hint="eastAsia"/>
          <w:color w:val="auto"/>
        </w:rPr>
        <w:t>属</w:t>
      </w:r>
      <w:r>
        <w:rPr>
          <w:rFonts w:hint="eastAsia"/>
          <w:color w:val="auto"/>
          <w:lang w:val="en-US" w:eastAsia="zh-CN"/>
        </w:rPr>
        <w:t>4</w:t>
      </w:r>
      <w:r>
        <w:rPr>
          <w:rFonts w:hint="eastAsia"/>
          <w:color w:val="auto"/>
        </w:rPr>
        <w:t>种。</w:t>
      </w:r>
    </w:p>
    <w:p w14:paraId="6A948CA3">
      <w:pPr>
        <w:pStyle w:val="41"/>
        <w:bidi w:val="0"/>
        <w:rPr>
          <w:rFonts w:hint="eastAsia"/>
          <w:color w:val="auto"/>
        </w:rPr>
      </w:pPr>
      <w:r>
        <w:rPr>
          <w:rFonts w:hint="eastAsia"/>
          <w:color w:val="auto"/>
        </w:rPr>
        <w:t>其中，蛙科Ranidae记录</w:t>
      </w:r>
      <w:r>
        <w:rPr>
          <w:rFonts w:hint="eastAsia"/>
          <w:color w:val="auto"/>
          <w:lang w:val="en-US" w:eastAsia="zh-CN"/>
        </w:rPr>
        <w:t>2</w:t>
      </w:r>
      <w:r>
        <w:rPr>
          <w:rFonts w:hint="eastAsia"/>
          <w:color w:val="auto"/>
        </w:rPr>
        <w:t>属</w:t>
      </w:r>
      <w:r>
        <w:rPr>
          <w:rFonts w:hint="eastAsia"/>
          <w:color w:val="auto"/>
          <w:lang w:val="en-US" w:eastAsia="zh-CN"/>
        </w:rPr>
        <w:t>2</w:t>
      </w:r>
      <w:r>
        <w:rPr>
          <w:rFonts w:hint="eastAsia"/>
          <w:color w:val="auto"/>
        </w:rPr>
        <w:t>种，占总种数的</w:t>
      </w:r>
      <w:r>
        <w:rPr>
          <w:rFonts w:hint="eastAsia"/>
          <w:color w:val="auto"/>
          <w:lang w:val="en-US" w:eastAsia="zh-CN"/>
        </w:rPr>
        <w:t>50.0</w:t>
      </w:r>
      <w:r>
        <w:rPr>
          <w:rFonts w:hint="eastAsia"/>
          <w:color w:val="auto"/>
        </w:rPr>
        <w:t>%；蟾蜍科Bufonidae记录</w:t>
      </w:r>
      <w:r>
        <w:rPr>
          <w:rFonts w:hint="eastAsia"/>
          <w:color w:val="auto"/>
          <w:lang w:val="en-US" w:eastAsia="zh-CN"/>
        </w:rPr>
        <w:t>1</w:t>
      </w:r>
      <w:r>
        <w:rPr>
          <w:rFonts w:hint="eastAsia"/>
          <w:color w:val="auto"/>
        </w:rPr>
        <w:t>属</w:t>
      </w:r>
      <w:r>
        <w:rPr>
          <w:rFonts w:hint="eastAsia"/>
          <w:color w:val="auto"/>
          <w:lang w:val="en-US" w:eastAsia="zh-CN"/>
        </w:rPr>
        <w:t>1</w:t>
      </w:r>
      <w:r>
        <w:rPr>
          <w:rFonts w:hint="eastAsia"/>
          <w:color w:val="auto"/>
        </w:rPr>
        <w:t>种，占总种数的25</w:t>
      </w:r>
      <w:r>
        <w:rPr>
          <w:rFonts w:hint="eastAsia"/>
          <w:color w:val="auto"/>
          <w:lang w:val="en-US" w:eastAsia="zh-CN"/>
        </w:rPr>
        <w:t>.0</w:t>
      </w:r>
      <w:r>
        <w:rPr>
          <w:rFonts w:hint="eastAsia"/>
          <w:color w:val="auto"/>
        </w:rPr>
        <w:t>%；雨蛙科Hylidae记录</w:t>
      </w:r>
      <w:r>
        <w:rPr>
          <w:rFonts w:hint="eastAsia"/>
          <w:color w:val="auto"/>
          <w:lang w:val="en-US" w:eastAsia="zh-CN"/>
        </w:rPr>
        <w:t>1</w:t>
      </w:r>
      <w:r>
        <w:rPr>
          <w:rFonts w:hint="eastAsia"/>
          <w:color w:val="auto"/>
        </w:rPr>
        <w:t>属</w:t>
      </w:r>
      <w:r>
        <w:rPr>
          <w:rFonts w:hint="eastAsia"/>
          <w:color w:val="auto"/>
          <w:lang w:val="en-US" w:eastAsia="zh-CN"/>
        </w:rPr>
        <w:t>1</w:t>
      </w:r>
      <w:r>
        <w:rPr>
          <w:rFonts w:hint="eastAsia"/>
          <w:color w:val="auto"/>
        </w:rPr>
        <w:t>种，各占总种数的</w:t>
      </w:r>
      <w:r>
        <w:rPr>
          <w:rFonts w:hint="eastAsia"/>
          <w:color w:val="auto"/>
          <w:lang w:val="en-US" w:eastAsia="zh-CN"/>
        </w:rPr>
        <w:t>25.0</w:t>
      </w:r>
      <w:r>
        <w:rPr>
          <w:rFonts w:hint="eastAsia"/>
          <w:color w:val="auto"/>
        </w:rPr>
        <w:t>%。</w:t>
      </w:r>
    </w:p>
    <w:p w14:paraId="13946ED7">
      <w:pPr>
        <w:pStyle w:val="42"/>
        <w:bidi w:val="0"/>
        <w:rPr>
          <w:rFonts w:hint="default" w:eastAsia="宋体"/>
          <w:color w:val="auto"/>
          <w:lang w:val="en-US" w:eastAsia="zh-CN"/>
        </w:rPr>
      </w:pPr>
      <w:r>
        <w:rPr>
          <w:rFonts w:hint="eastAsia"/>
          <w:color w:val="auto"/>
          <w:lang w:val="en-US" w:eastAsia="zh-CN"/>
        </w:rPr>
        <w:t>表2-11  调查区两栖动物组成表</w:t>
      </w:r>
    </w:p>
    <w:tbl>
      <w:tblPr>
        <w:tblStyle w:val="21"/>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879"/>
        <w:gridCol w:w="3370"/>
        <w:gridCol w:w="1320"/>
        <w:gridCol w:w="1170"/>
        <w:gridCol w:w="1207"/>
      </w:tblGrid>
      <w:tr w14:paraId="0288ED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79" w:type="dxa"/>
            <w:tcBorders>
              <w:tl2br w:val="nil"/>
              <w:tr2bl w:val="nil"/>
            </w:tcBorders>
          </w:tcPr>
          <w:p w14:paraId="6C5CE6F6">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目</w:t>
            </w:r>
          </w:p>
        </w:tc>
        <w:tc>
          <w:tcPr>
            <w:tcW w:w="3370" w:type="dxa"/>
            <w:tcBorders>
              <w:tl2br w:val="nil"/>
              <w:tr2bl w:val="nil"/>
            </w:tcBorders>
          </w:tcPr>
          <w:p w14:paraId="3A32B803">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科</w:t>
            </w:r>
          </w:p>
        </w:tc>
        <w:tc>
          <w:tcPr>
            <w:tcW w:w="1320" w:type="dxa"/>
            <w:tcBorders>
              <w:tl2br w:val="nil"/>
              <w:tr2bl w:val="nil"/>
            </w:tcBorders>
          </w:tcPr>
          <w:p w14:paraId="30066F93">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属</w:t>
            </w:r>
          </w:p>
        </w:tc>
        <w:tc>
          <w:tcPr>
            <w:tcW w:w="1170" w:type="dxa"/>
            <w:tcBorders>
              <w:tl2br w:val="nil"/>
              <w:tr2bl w:val="nil"/>
            </w:tcBorders>
          </w:tcPr>
          <w:p w14:paraId="1020E985">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种</w:t>
            </w:r>
          </w:p>
        </w:tc>
        <w:tc>
          <w:tcPr>
            <w:tcW w:w="1207" w:type="dxa"/>
            <w:tcBorders>
              <w:tl2br w:val="nil"/>
              <w:tr2bl w:val="nil"/>
            </w:tcBorders>
          </w:tcPr>
          <w:p w14:paraId="7CB5D4AC">
            <w:pPr>
              <w:pStyle w:val="34"/>
              <w:tabs>
                <w:tab w:val="left" w:pos="1389"/>
              </w:tabs>
              <w:bidi w:val="0"/>
              <w:rPr>
                <w:rFonts w:hint="default" w:eastAsia="宋体"/>
                <w:color w:val="auto"/>
                <w:vertAlign w:val="baseline"/>
                <w:lang w:val="en-US" w:eastAsia="zh-CN"/>
              </w:rPr>
            </w:pPr>
            <w:r>
              <w:rPr>
                <w:rFonts w:hint="eastAsia"/>
                <w:color w:val="auto"/>
                <w:vertAlign w:val="baseline"/>
                <w:lang w:val="en-US" w:eastAsia="zh-CN"/>
              </w:rPr>
              <w:t>种比例%</w:t>
            </w:r>
          </w:p>
        </w:tc>
      </w:tr>
      <w:tr w14:paraId="7B9524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79" w:type="dxa"/>
            <w:vMerge w:val="restart"/>
            <w:tcBorders>
              <w:tl2br w:val="nil"/>
              <w:tr2bl w:val="nil"/>
            </w:tcBorders>
            <w:vAlign w:val="center"/>
          </w:tcPr>
          <w:p w14:paraId="652BF93A">
            <w:pPr>
              <w:keepNext w:val="0"/>
              <w:keepLines w:val="0"/>
              <w:widowControl/>
              <w:suppressLineNumbers w:val="0"/>
              <w:jc w:val="left"/>
              <w:rPr>
                <w:rFonts w:hint="eastAsia"/>
                <w:color w:val="auto"/>
                <w:vertAlign w:val="baseline"/>
                <w:lang w:val="en-US" w:eastAsia="zh-CN"/>
              </w:rPr>
            </w:pPr>
            <w:r>
              <w:rPr>
                <w:rFonts w:hint="eastAsia" w:ascii="宋体" w:hAnsi="宋体" w:eastAsia="宋体" w:cs="宋体"/>
                <w:color w:val="auto"/>
                <w:kern w:val="0"/>
                <w:sz w:val="20"/>
                <w:szCs w:val="20"/>
                <w:lang w:val="en-US" w:eastAsia="zh-CN" w:bidi="ar"/>
              </w:rPr>
              <w:t>无尾目</w:t>
            </w:r>
            <w:r>
              <w:rPr>
                <w:rFonts w:hint="default" w:ascii="Times New Roman" w:hAnsi="Times New Roman" w:eastAsia="宋体" w:cs="Times New Roman"/>
                <w:color w:val="auto"/>
                <w:kern w:val="0"/>
                <w:sz w:val="20"/>
                <w:szCs w:val="20"/>
                <w:lang w:val="en-US" w:eastAsia="zh-CN" w:bidi="ar"/>
              </w:rPr>
              <w:t>Anura</w:t>
            </w:r>
          </w:p>
        </w:tc>
        <w:tc>
          <w:tcPr>
            <w:tcW w:w="3370" w:type="dxa"/>
            <w:tcBorders>
              <w:tl2br w:val="nil"/>
              <w:tr2bl w:val="nil"/>
            </w:tcBorders>
          </w:tcPr>
          <w:p w14:paraId="4ECCE11E">
            <w:pPr>
              <w:keepNext w:val="0"/>
              <w:keepLines w:val="0"/>
              <w:widowControl/>
              <w:suppressLineNumbers w:val="0"/>
              <w:jc w:val="left"/>
              <w:rPr>
                <w:rFonts w:hint="default"/>
                <w:color w:val="auto"/>
                <w:vertAlign w:val="baseline"/>
                <w:lang w:val="en-US" w:eastAsia="zh-CN"/>
              </w:rPr>
            </w:pPr>
            <w:r>
              <w:rPr>
                <w:rFonts w:hint="eastAsia" w:ascii="宋体" w:hAnsi="宋体" w:eastAsia="宋体" w:cs="宋体"/>
                <w:color w:val="auto"/>
                <w:kern w:val="0"/>
                <w:sz w:val="20"/>
                <w:szCs w:val="20"/>
                <w:lang w:val="en-US" w:eastAsia="zh-CN" w:bidi="ar"/>
              </w:rPr>
              <w:t>蛙科</w:t>
            </w:r>
            <w:r>
              <w:rPr>
                <w:rFonts w:hint="default" w:ascii="Times New Roman" w:hAnsi="Times New Roman" w:eastAsia="宋体" w:cs="Times New Roman"/>
                <w:color w:val="auto"/>
                <w:kern w:val="0"/>
                <w:sz w:val="20"/>
                <w:szCs w:val="20"/>
                <w:lang w:val="en-US" w:eastAsia="zh-CN" w:bidi="ar"/>
              </w:rPr>
              <w:t>Ranidae</w:t>
            </w:r>
          </w:p>
        </w:tc>
        <w:tc>
          <w:tcPr>
            <w:tcW w:w="1320" w:type="dxa"/>
            <w:tcBorders>
              <w:tl2br w:val="nil"/>
              <w:tr2bl w:val="nil"/>
            </w:tcBorders>
          </w:tcPr>
          <w:p w14:paraId="25935A27">
            <w:pPr>
              <w:pStyle w:val="34"/>
              <w:tabs>
                <w:tab w:val="left" w:pos="1389"/>
              </w:tabs>
              <w:bidi w:val="0"/>
              <w:rPr>
                <w:rFonts w:hint="default"/>
                <w:color w:val="auto"/>
                <w:vertAlign w:val="baseline"/>
                <w:lang w:val="en-US" w:eastAsia="zh-CN"/>
              </w:rPr>
            </w:pPr>
            <w:r>
              <w:rPr>
                <w:rFonts w:hint="eastAsia"/>
                <w:color w:val="auto"/>
                <w:vertAlign w:val="baseline"/>
                <w:lang w:val="en-US" w:eastAsia="zh-CN"/>
              </w:rPr>
              <w:t>2</w:t>
            </w:r>
          </w:p>
        </w:tc>
        <w:tc>
          <w:tcPr>
            <w:tcW w:w="1170" w:type="dxa"/>
            <w:tcBorders>
              <w:tl2br w:val="nil"/>
              <w:tr2bl w:val="nil"/>
            </w:tcBorders>
            <w:vAlign w:val="top"/>
          </w:tcPr>
          <w:p w14:paraId="5334DDE0">
            <w:pPr>
              <w:pStyle w:val="34"/>
              <w:tabs>
                <w:tab w:val="left" w:pos="1389"/>
              </w:tabs>
              <w:bidi w:val="0"/>
              <w:ind w:right="38" w:rightChars="16"/>
              <w:rPr>
                <w:rFonts w:hint="eastAsia"/>
                <w:color w:val="auto"/>
                <w:vertAlign w:val="baseline"/>
                <w:lang w:val="en-US" w:eastAsia="zh-CN"/>
              </w:rPr>
            </w:pPr>
            <w:r>
              <w:rPr>
                <w:rFonts w:hint="eastAsia"/>
                <w:color w:val="auto"/>
                <w:vertAlign w:val="baseline"/>
                <w:lang w:val="en-US" w:eastAsia="zh-CN"/>
              </w:rPr>
              <w:t>2</w:t>
            </w:r>
          </w:p>
        </w:tc>
        <w:tc>
          <w:tcPr>
            <w:tcW w:w="1207" w:type="dxa"/>
            <w:tcBorders>
              <w:tl2br w:val="nil"/>
              <w:tr2bl w:val="nil"/>
            </w:tcBorders>
          </w:tcPr>
          <w:p w14:paraId="6824256D">
            <w:pPr>
              <w:pStyle w:val="34"/>
              <w:tabs>
                <w:tab w:val="left" w:pos="1389"/>
              </w:tabs>
              <w:bidi w:val="0"/>
              <w:rPr>
                <w:rFonts w:hint="default"/>
                <w:color w:val="auto"/>
                <w:vertAlign w:val="baseline"/>
                <w:lang w:val="en-US" w:eastAsia="zh-CN"/>
              </w:rPr>
            </w:pPr>
            <w:r>
              <w:rPr>
                <w:rFonts w:hint="eastAsia"/>
                <w:color w:val="auto"/>
                <w:vertAlign w:val="baseline"/>
                <w:lang w:val="en-US" w:eastAsia="zh-CN"/>
              </w:rPr>
              <w:t>50.00</w:t>
            </w:r>
          </w:p>
        </w:tc>
      </w:tr>
      <w:tr w14:paraId="04579D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79" w:type="dxa"/>
            <w:vMerge w:val="continue"/>
            <w:tcBorders>
              <w:tl2br w:val="nil"/>
              <w:tr2bl w:val="nil"/>
            </w:tcBorders>
          </w:tcPr>
          <w:p w14:paraId="58177D53">
            <w:pPr>
              <w:pStyle w:val="34"/>
              <w:tabs>
                <w:tab w:val="left" w:pos="1389"/>
              </w:tabs>
              <w:bidi w:val="0"/>
              <w:rPr>
                <w:rFonts w:hint="eastAsia"/>
                <w:color w:val="auto"/>
                <w:vertAlign w:val="baseline"/>
                <w:lang w:val="en-US" w:eastAsia="zh-CN"/>
              </w:rPr>
            </w:pPr>
          </w:p>
        </w:tc>
        <w:tc>
          <w:tcPr>
            <w:tcW w:w="3370" w:type="dxa"/>
            <w:tcBorders>
              <w:tl2br w:val="nil"/>
              <w:tr2bl w:val="nil"/>
            </w:tcBorders>
          </w:tcPr>
          <w:p w14:paraId="07304580">
            <w:pPr>
              <w:keepNext w:val="0"/>
              <w:keepLines w:val="0"/>
              <w:widowControl/>
              <w:suppressLineNumbers w:val="0"/>
              <w:jc w:val="left"/>
              <w:rPr>
                <w:rFonts w:hint="eastAsia"/>
                <w:color w:val="auto"/>
                <w:vertAlign w:val="baseline"/>
                <w:lang w:val="en-US" w:eastAsia="zh-CN"/>
              </w:rPr>
            </w:pPr>
            <w:r>
              <w:rPr>
                <w:rFonts w:hint="eastAsia" w:ascii="宋体" w:hAnsi="宋体" w:eastAsia="宋体" w:cs="宋体"/>
                <w:color w:val="auto"/>
                <w:kern w:val="0"/>
                <w:sz w:val="20"/>
                <w:szCs w:val="20"/>
                <w:lang w:val="en-US" w:eastAsia="zh-CN" w:bidi="ar"/>
              </w:rPr>
              <w:t>蟾蜍科</w:t>
            </w:r>
            <w:r>
              <w:rPr>
                <w:rFonts w:hint="default" w:ascii="Times New Roman" w:hAnsi="Times New Roman" w:eastAsia="宋体" w:cs="Times New Roman"/>
                <w:color w:val="auto"/>
                <w:kern w:val="0"/>
                <w:sz w:val="20"/>
                <w:szCs w:val="20"/>
                <w:lang w:val="en-US" w:eastAsia="zh-CN" w:bidi="ar"/>
              </w:rPr>
              <w:t>Bufonidae</w:t>
            </w:r>
          </w:p>
        </w:tc>
        <w:tc>
          <w:tcPr>
            <w:tcW w:w="1320" w:type="dxa"/>
            <w:tcBorders>
              <w:tl2br w:val="nil"/>
              <w:tr2bl w:val="nil"/>
            </w:tcBorders>
          </w:tcPr>
          <w:p w14:paraId="314C9B09">
            <w:pPr>
              <w:pStyle w:val="34"/>
              <w:tabs>
                <w:tab w:val="left" w:pos="1389"/>
              </w:tabs>
              <w:bidi w:val="0"/>
              <w:rPr>
                <w:rFonts w:hint="default"/>
                <w:color w:val="auto"/>
                <w:vertAlign w:val="baseline"/>
                <w:lang w:val="en-US" w:eastAsia="zh-CN"/>
              </w:rPr>
            </w:pPr>
            <w:r>
              <w:rPr>
                <w:rFonts w:hint="eastAsia"/>
                <w:color w:val="auto"/>
                <w:vertAlign w:val="baseline"/>
                <w:lang w:val="en-US" w:eastAsia="zh-CN"/>
              </w:rPr>
              <w:t>1</w:t>
            </w:r>
          </w:p>
        </w:tc>
        <w:tc>
          <w:tcPr>
            <w:tcW w:w="1170" w:type="dxa"/>
            <w:tcBorders>
              <w:tl2br w:val="nil"/>
              <w:tr2bl w:val="nil"/>
            </w:tcBorders>
            <w:vAlign w:val="top"/>
          </w:tcPr>
          <w:p w14:paraId="4B208126">
            <w:pPr>
              <w:pStyle w:val="34"/>
              <w:tabs>
                <w:tab w:val="left" w:pos="1389"/>
              </w:tabs>
              <w:bidi w:val="0"/>
              <w:ind w:right="38" w:rightChars="16"/>
              <w:rPr>
                <w:rFonts w:hint="eastAsia"/>
                <w:color w:val="auto"/>
                <w:vertAlign w:val="baseline"/>
                <w:lang w:val="en-US" w:eastAsia="zh-CN"/>
              </w:rPr>
            </w:pPr>
            <w:r>
              <w:rPr>
                <w:rFonts w:hint="eastAsia"/>
                <w:color w:val="auto"/>
                <w:vertAlign w:val="baseline"/>
                <w:lang w:val="en-US" w:eastAsia="zh-CN"/>
              </w:rPr>
              <w:t>1</w:t>
            </w:r>
          </w:p>
        </w:tc>
        <w:tc>
          <w:tcPr>
            <w:tcW w:w="1207" w:type="dxa"/>
            <w:tcBorders>
              <w:tl2br w:val="nil"/>
              <w:tr2bl w:val="nil"/>
            </w:tcBorders>
          </w:tcPr>
          <w:p w14:paraId="69A25068">
            <w:pPr>
              <w:pStyle w:val="34"/>
              <w:tabs>
                <w:tab w:val="left" w:pos="1389"/>
              </w:tabs>
              <w:bidi w:val="0"/>
              <w:rPr>
                <w:rFonts w:hint="default"/>
                <w:color w:val="auto"/>
                <w:vertAlign w:val="baseline"/>
                <w:lang w:val="en-US" w:eastAsia="zh-CN"/>
              </w:rPr>
            </w:pPr>
            <w:r>
              <w:rPr>
                <w:rFonts w:hint="eastAsia"/>
                <w:color w:val="auto"/>
                <w:vertAlign w:val="baseline"/>
                <w:lang w:val="en-US" w:eastAsia="zh-CN"/>
              </w:rPr>
              <w:t>25.00</w:t>
            </w:r>
          </w:p>
        </w:tc>
      </w:tr>
      <w:tr w14:paraId="4C639D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79" w:type="dxa"/>
            <w:vMerge w:val="continue"/>
            <w:tcBorders>
              <w:tl2br w:val="nil"/>
              <w:tr2bl w:val="nil"/>
            </w:tcBorders>
          </w:tcPr>
          <w:p w14:paraId="4C072137">
            <w:pPr>
              <w:pStyle w:val="34"/>
              <w:tabs>
                <w:tab w:val="left" w:pos="1389"/>
              </w:tabs>
              <w:bidi w:val="0"/>
              <w:rPr>
                <w:rFonts w:hint="eastAsia"/>
                <w:color w:val="auto"/>
                <w:vertAlign w:val="baseline"/>
                <w:lang w:val="en-US" w:eastAsia="zh-CN"/>
              </w:rPr>
            </w:pPr>
          </w:p>
        </w:tc>
        <w:tc>
          <w:tcPr>
            <w:tcW w:w="3370" w:type="dxa"/>
            <w:tcBorders>
              <w:tl2br w:val="nil"/>
              <w:tr2bl w:val="nil"/>
            </w:tcBorders>
          </w:tcPr>
          <w:p w14:paraId="7FFA3CCF">
            <w:pPr>
              <w:keepNext w:val="0"/>
              <w:keepLines w:val="0"/>
              <w:widowControl/>
              <w:suppressLineNumbers w:val="0"/>
              <w:jc w:val="left"/>
              <w:rPr>
                <w:rFonts w:hint="default"/>
                <w:color w:val="auto"/>
                <w:vertAlign w:val="baseline"/>
                <w:lang w:val="en-US" w:eastAsia="zh-CN"/>
              </w:rPr>
            </w:pPr>
            <w:r>
              <w:rPr>
                <w:rFonts w:hint="eastAsia"/>
                <w:color w:val="auto"/>
              </w:rPr>
              <w:t>雨蛙科Hylidae</w:t>
            </w:r>
          </w:p>
        </w:tc>
        <w:tc>
          <w:tcPr>
            <w:tcW w:w="1320" w:type="dxa"/>
            <w:tcBorders>
              <w:tl2br w:val="nil"/>
              <w:tr2bl w:val="nil"/>
            </w:tcBorders>
          </w:tcPr>
          <w:p w14:paraId="11994EA7">
            <w:pPr>
              <w:pStyle w:val="34"/>
              <w:tabs>
                <w:tab w:val="left" w:pos="1389"/>
              </w:tabs>
              <w:bidi w:val="0"/>
              <w:rPr>
                <w:rFonts w:hint="default"/>
                <w:color w:val="auto"/>
                <w:vertAlign w:val="baseline"/>
                <w:lang w:val="en-US" w:eastAsia="zh-CN"/>
              </w:rPr>
            </w:pPr>
            <w:r>
              <w:rPr>
                <w:rFonts w:hint="eastAsia"/>
                <w:color w:val="auto"/>
                <w:vertAlign w:val="baseline"/>
                <w:lang w:val="en-US" w:eastAsia="zh-CN"/>
              </w:rPr>
              <w:t>1</w:t>
            </w:r>
          </w:p>
        </w:tc>
        <w:tc>
          <w:tcPr>
            <w:tcW w:w="1170" w:type="dxa"/>
            <w:tcBorders>
              <w:tl2br w:val="nil"/>
              <w:tr2bl w:val="nil"/>
            </w:tcBorders>
            <w:vAlign w:val="top"/>
          </w:tcPr>
          <w:p w14:paraId="529680DF">
            <w:pPr>
              <w:pStyle w:val="34"/>
              <w:tabs>
                <w:tab w:val="left" w:pos="1389"/>
              </w:tabs>
              <w:bidi w:val="0"/>
              <w:ind w:right="38" w:rightChars="16"/>
              <w:rPr>
                <w:rFonts w:hint="eastAsia"/>
                <w:color w:val="auto"/>
                <w:vertAlign w:val="baseline"/>
                <w:lang w:val="en-US" w:eastAsia="zh-CN"/>
              </w:rPr>
            </w:pPr>
            <w:r>
              <w:rPr>
                <w:rFonts w:hint="eastAsia"/>
                <w:color w:val="auto"/>
                <w:vertAlign w:val="baseline"/>
                <w:lang w:val="en-US" w:eastAsia="zh-CN"/>
              </w:rPr>
              <w:t>1</w:t>
            </w:r>
          </w:p>
        </w:tc>
        <w:tc>
          <w:tcPr>
            <w:tcW w:w="1207" w:type="dxa"/>
            <w:tcBorders>
              <w:tl2br w:val="nil"/>
              <w:tr2bl w:val="nil"/>
            </w:tcBorders>
          </w:tcPr>
          <w:p w14:paraId="12D3A00B">
            <w:pPr>
              <w:pStyle w:val="34"/>
              <w:tabs>
                <w:tab w:val="left" w:pos="1389"/>
              </w:tabs>
              <w:bidi w:val="0"/>
              <w:rPr>
                <w:rFonts w:hint="default"/>
                <w:color w:val="auto"/>
                <w:vertAlign w:val="baseline"/>
                <w:lang w:val="en-US" w:eastAsia="zh-CN"/>
              </w:rPr>
            </w:pPr>
            <w:r>
              <w:rPr>
                <w:rFonts w:hint="eastAsia"/>
                <w:color w:val="auto"/>
                <w:vertAlign w:val="baseline"/>
                <w:lang w:val="en-US" w:eastAsia="zh-CN"/>
              </w:rPr>
              <w:t>25.00</w:t>
            </w:r>
          </w:p>
        </w:tc>
      </w:tr>
      <w:tr w14:paraId="1BA5BC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879" w:type="dxa"/>
            <w:tcBorders>
              <w:tl2br w:val="nil"/>
              <w:tr2bl w:val="nil"/>
            </w:tcBorders>
          </w:tcPr>
          <w:p w14:paraId="00778F7B">
            <w:pPr>
              <w:pStyle w:val="34"/>
              <w:tabs>
                <w:tab w:val="left" w:pos="1389"/>
              </w:tabs>
              <w:bidi w:val="0"/>
              <w:rPr>
                <w:rFonts w:hint="default"/>
                <w:color w:val="auto"/>
                <w:vertAlign w:val="baseline"/>
                <w:lang w:val="en-US" w:eastAsia="zh-CN"/>
              </w:rPr>
            </w:pPr>
            <w:r>
              <w:rPr>
                <w:rFonts w:hint="eastAsia"/>
                <w:color w:val="auto"/>
                <w:vertAlign w:val="baseline"/>
                <w:lang w:val="en-US" w:eastAsia="zh-CN"/>
              </w:rPr>
              <w:t>合计</w:t>
            </w:r>
          </w:p>
        </w:tc>
        <w:tc>
          <w:tcPr>
            <w:tcW w:w="3370" w:type="dxa"/>
            <w:tcBorders>
              <w:tl2br w:val="nil"/>
              <w:tr2bl w:val="nil"/>
            </w:tcBorders>
          </w:tcPr>
          <w:p w14:paraId="3607F57A">
            <w:pPr>
              <w:pStyle w:val="34"/>
              <w:tabs>
                <w:tab w:val="left" w:pos="1389"/>
              </w:tabs>
              <w:bidi w:val="0"/>
              <w:rPr>
                <w:rFonts w:hint="default"/>
                <w:color w:val="auto"/>
                <w:vertAlign w:val="baseline"/>
                <w:lang w:val="en-US" w:eastAsia="zh-CN"/>
              </w:rPr>
            </w:pPr>
            <w:r>
              <w:rPr>
                <w:rFonts w:hint="eastAsia"/>
                <w:color w:val="auto"/>
                <w:vertAlign w:val="baseline"/>
                <w:lang w:val="en-US" w:eastAsia="zh-CN"/>
              </w:rPr>
              <w:t>3</w:t>
            </w:r>
          </w:p>
        </w:tc>
        <w:tc>
          <w:tcPr>
            <w:tcW w:w="1320" w:type="dxa"/>
            <w:tcBorders>
              <w:tl2br w:val="nil"/>
              <w:tr2bl w:val="nil"/>
            </w:tcBorders>
          </w:tcPr>
          <w:p w14:paraId="4B5E1842">
            <w:pPr>
              <w:pStyle w:val="34"/>
              <w:tabs>
                <w:tab w:val="left" w:pos="1389"/>
              </w:tabs>
              <w:bidi w:val="0"/>
              <w:rPr>
                <w:rFonts w:hint="eastAsia"/>
                <w:color w:val="auto"/>
                <w:vertAlign w:val="baseline"/>
                <w:lang w:val="en-US" w:eastAsia="zh-CN"/>
              </w:rPr>
            </w:pPr>
            <w:r>
              <w:rPr>
                <w:rFonts w:hint="eastAsia"/>
                <w:color w:val="auto"/>
                <w:vertAlign w:val="baseline"/>
                <w:lang w:val="en-US" w:eastAsia="zh-CN"/>
              </w:rPr>
              <w:t>4</w:t>
            </w:r>
          </w:p>
        </w:tc>
        <w:tc>
          <w:tcPr>
            <w:tcW w:w="1170" w:type="dxa"/>
            <w:tcBorders>
              <w:tl2br w:val="nil"/>
              <w:tr2bl w:val="nil"/>
            </w:tcBorders>
          </w:tcPr>
          <w:p w14:paraId="1924E8DC">
            <w:pPr>
              <w:pStyle w:val="34"/>
              <w:tabs>
                <w:tab w:val="left" w:pos="1389"/>
              </w:tabs>
              <w:bidi w:val="0"/>
              <w:rPr>
                <w:rFonts w:hint="eastAsia"/>
                <w:color w:val="auto"/>
                <w:vertAlign w:val="baseline"/>
                <w:lang w:val="en-US" w:eastAsia="zh-CN"/>
              </w:rPr>
            </w:pPr>
            <w:r>
              <w:rPr>
                <w:rFonts w:hint="eastAsia"/>
                <w:color w:val="auto"/>
                <w:vertAlign w:val="baseline"/>
                <w:lang w:val="en-US" w:eastAsia="zh-CN"/>
              </w:rPr>
              <w:t>4</w:t>
            </w:r>
          </w:p>
        </w:tc>
        <w:tc>
          <w:tcPr>
            <w:tcW w:w="1207" w:type="dxa"/>
            <w:tcBorders>
              <w:tl2br w:val="nil"/>
              <w:tr2bl w:val="nil"/>
            </w:tcBorders>
          </w:tcPr>
          <w:p w14:paraId="36351EC9">
            <w:pPr>
              <w:pStyle w:val="34"/>
              <w:tabs>
                <w:tab w:val="left" w:pos="1389"/>
              </w:tabs>
              <w:bidi w:val="0"/>
              <w:rPr>
                <w:rFonts w:hint="default"/>
                <w:color w:val="auto"/>
                <w:vertAlign w:val="baseline"/>
                <w:lang w:val="en-US" w:eastAsia="zh-CN"/>
              </w:rPr>
            </w:pPr>
            <w:r>
              <w:rPr>
                <w:rFonts w:hint="eastAsia"/>
                <w:color w:val="auto"/>
                <w:vertAlign w:val="baseline"/>
                <w:lang w:val="en-US" w:eastAsia="zh-CN"/>
              </w:rPr>
              <w:t>100.00</w:t>
            </w:r>
          </w:p>
        </w:tc>
      </w:tr>
    </w:tbl>
    <w:p w14:paraId="6C64730B">
      <w:pPr>
        <w:pStyle w:val="34"/>
        <w:tabs>
          <w:tab w:val="left" w:pos="1389"/>
        </w:tabs>
        <w:bidi w:val="0"/>
        <w:rPr>
          <w:rFonts w:hint="eastAsia"/>
          <w:color w:val="auto"/>
        </w:rPr>
      </w:pPr>
    </w:p>
    <w:p w14:paraId="0957152A">
      <w:pPr>
        <w:pStyle w:val="41"/>
        <w:bidi w:val="0"/>
        <w:rPr>
          <w:color w:val="auto"/>
        </w:rPr>
      </w:pPr>
      <w:r>
        <w:rPr>
          <w:color w:val="auto"/>
        </w:rPr>
        <w:t>（2）区系特征</w:t>
      </w:r>
    </w:p>
    <w:p w14:paraId="7E481F1C">
      <w:pPr>
        <w:pStyle w:val="41"/>
        <w:bidi w:val="0"/>
        <w:rPr>
          <w:color w:val="auto"/>
        </w:rPr>
      </w:pPr>
      <w:r>
        <w:rPr>
          <w:rFonts w:hint="eastAsia"/>
          <w:color w:val="auto"/>
        </w:rPr>
        <w:t>从区系组成来看，在调查区记录的</w:t>
      </w:r>
      <w:r>
        <w:rPr>
          <w:rFonts w:hint="eastAsia"/>
          <w:color w:val="auto"/>
          <w:lang w:val="en-US" w:eastAsia="zh-CN"/>
        </w:rPr>
        <w:t>4</w:t>
      </w:r>
      <w:r>
        <w:rPr>
          <w:rFonts w:hint="eastAsia"/>
          <w:color w:val="auto"/>
        </w:rPr>
        <w:t>种两栖动物中，均为东洋界两栖类，在东洋界两栖类</w:t>
      </w:r>
      <w:r>
        <w:rPr>
          <w:rFonts w:hint="eastAsia"/>
          <w:color w:val="auto"/>
          <w:lang w:eastAsia="zh-CN"/>
        </w:rPr>
        <w:t>中</w:t>
      </w:r>
      <w:r>
        <w:rPr>
          <w:rFonts w:hint="eastAsia"/>
          <w:color w:val="auto"/>
        </w:rPr>
        <w:t>，西南区分布有</w:t>
      </w:r>
      <w:r>
        <w:rPr>
          <w:rFonts w:hint="eastAsia"/>
          <w:color w:val="auto"/>
          <w:lang w:val="en-US" w:eastAsia="zh-CN"/>
        </w:rPr>
        <w:t>4</w:t>
      </w:r>
      <w:r>
        <w:rPr>
          <w:rFonts w:hint="eastAsia"/>
          <w:color w:val="auto"/>
        </w:rPr>
        <w:t>种。</w:t>
      </w:r>
    </w:p>
    <w:p w14:paraId="579D0B82">
      <w:pPr>
        <w:pStyle w:val="41"/>
        <w:bidi w:val="0"/>
        <w:rPr>
          <w:color w:val="auto"/>
        </w:rPr>
      </w:pPr>
      <w:r>
        <w:rPr>
          <w:color w:val="auto"/>
        </w:rPr>
        <w:t>（3）珍稀保护物种与特有种</w:t>
      </w:r>
    </w:p>
    <w:p w14:paraId="3A3D2263">
      <w:pPr>
        <w:pStyle w:val="41"/>
        <w:bidi w:val="0"/>
        <w:rPr>
          <w:color w:val="auto"/>
        </w:rPr>
      </w:pPr>
      <w:r>
        <w:rPr>
          <w:color w:val="auto"/>
        </w:rPr>
        <w:fldChar w:fldCharType="begin"/>
      </w:r>
      <w:r>
        <w:rPr>
          <w:color w:val="auto"/>
        </w:rPr>
        <w:instrText xml:space="preserve"> = 1 \* GB3 </w:instrText>
      </w:r>
      <w:r>
        <w:rPr>
          <w:color w:val="auto"/>
        </w:rPr>
        <w:fldChar w:fldCharType="separate"/>
      </w:r>
      <w:r>
        <w:rPr>
          <w:color w:val="auto"/>
        </w:rPr>
        <w:t>①</w:t>
      </w:r>
      <w:r>
        <w:rPr>
          <w:color w:val="auto"/>
        </w:rPr>
        <w:fldChar w:fldCharType="end"/>
      </w:r>
      <w:r>
        <w:rPr>
          <w:color w:val="auto"/>
        </w:rPr>
        <w:t>国家级保护物种</w:t>
      </w:r>
    </w:p>
    <w:p w14:paraId="3136C550">
      <w:pPr>
        <w:pStyle w:val="41"/>
        <w:bidi w:val="0"/>
        <w:rPr>
          <w:color w:val="auto"/>
        </w:rPr>
      </w:pPr>
      <w:r>
        <w:rPr>
          <w:color w:val="auto"/>
        </w:rPr>
        <w:t>对照查阅国家林业和草原局农业农村部2021年2月公布的《国家重点保护野生动物名录》（2021年第3号），评价区没有记录到国家级保护两栖动物。</w:t>
      </w:r>
    </w:p>
    <w:p w14:paraId="25BDCD1C">
      <w:pPr>
        <w:pStyle w:val="41"/>
        <w:bidi w:val="0"/>
        <w:rPr>
          <w:color w:val="auto"/>
        </w:rPr>
      </w:pPr>
      <w:r>
        <w:rPr>
          <w:color w:val="auto"/>
        </w:rPr>
        <w:fldChar w:fldCharType="begin"/>
      </w:r>
      <w:r>
        <w:rPr>
          <w:color w:val="auto"/>
        </w:rPr>
        <w:instrText xml:space="preserve"> = 2 \* GB3 </w:instrText>
      </w:r>
      <w:r>
        <w:rPr>
          <w:color w:val="auto"/>
        </w:rPr>
        <w:fldChar w:fldCharType="separate"/>
      </w:r>
      <w:r>
        <w:rPr>
          <w:color w:val="auto"/>
        </w:rPr>
        <w:t>②</w:t>
      </w:r>
      <w:r>
        <w:rPr>
          <w:color w:val="auto"/>
        </w:rPr>
        <w:fldChar w:fldCharType="end"/>
      </w:r>
      <w:r>
        <w:rPr>
          <w:color w:val="auto"/>
        </w:rPr>
        <w:t>省级保护物种</w:t>
      </w:r>
    </w:p>
    <w:p w14:paraId="0684B083">
      <w:pPr>
        <w:pStyle w:val="41"/>
        <w:bidi w:val="0"/>
        <w:rPr>
          <w:color w:val="auto"/>
        </w:rPr>
      </w:pPr>
      <w:r>
        <w:rPr>
          <w:color w:val="auto"/>
        </w:rPr>
        <w:t>评价区没有记录到云南省省级保护两栖动物。</w:t>
      </w:r>
    </w:p>
    <w:p w14:paraId="6AC86D71">
      <w:pPr>
        <w:pStyle w:val="41"/>
        <w:bidi w:val="0"/>
        <w:rPr>
          <w:color w:val="auto"/>
        </w:rPr>
      </w:pPr>
      <w:r>
        <w:rPr>
          <w:color w:val="auto"/>
        </w:rPr>
        <w:fldChar w:fldCharType="begin"/>
      </w:r>
      <w:r>
        <w:rPr>
          <w:color w:val="auto"/>
        </w:rPr>
        <w:instrText xml:space="preserve"> = 3 \* GB3 </w:instrText>
      </w:r>
      <w:r>
        <w:rPr>
          <w:color w:val="auto"/>
        </w:rPr>
        <w:fldChar w:fldCharType="separate"/>
      </w:r>
      <w:r>
        <w:rPr>
          <w:color w:val="auto"/>
        </w:rPr>
        <w:t>③</w:t>
      </w:r>
      <w:r>
        <w:rPr>
          <w:color w:val="auto"/>
        </w:rPr>
        <w:fldChar w:fldCharType="end"/>
      </w:r>
      <w:r>
        <w:rPr>
          <w:color w:val="auto"/>
        </w:rPr>
        <w:t>CITES保护物种</w:t>
      </w:r>
    </w:p>
    <w:p w14:paraId="594AF454">
      <w:pPr>
        <w:pStyle w:val="41"/>
        <w:bidi w:val="0"/>
        <w:rPr>
          <w:color w:val="auto"/>
        </w:rPr>
      </w:pPr>
      <w:r>
        <w:rPr>
          <w:color w:val="auto"/>
        </w:rPr>
        <w:t>评价区内没有记录到CITES附录Ⅰ、附录Ⅱ所列物种。</w:t>
      </w:r>
    </w:p>
    <w:p w14:paraId="5F8AF709">
      <w:pPr>
        <w:pStyle w:val="41"/>
        <w:bidi w:val="0"/>
        <w:rPr>
          <w:color w:val="auto"/>
        </w:rPr>
      </w:pPr>
      <w:r>
        <w:rPr>
          <w:color w:val="auto"/>
        </w:rPr>
        <w:fldChar w:fldCharType="begin"/>
      </w:r>
      <w:r>
        <w:rPr>
          <w:color w:val="auto"/>
        </w:rPr>
        <w:instrText xml:space="preserve"> = 4 \* GB3 </w:instrText>
      </w:r>
      <w:r>
        <w:rPr>
          <w:color w:val="auto"/>
        </w:rPr>
        <w:fldChar w:fldCharType="separate"/>
      </w:r>
      <w:r>
        <w:rPr>
          <w:color w:val="auto"/>
        </w:rPr>
        <w:t>④</w:t>
      </w:r>
      <w:r>
        <w:rPr>
          <w:color w:val="auto"/>
        </w:rPr>
        <w:fldChar w:fldCharType="end"/>
      </w:r>
      <w:r>
        <w:rPr>
          <w:color w:val="auto"/>
        </w:rPr>
        <w:t>特有物种</w:t>
      </w:r>
    </w:p>
    <w:p w14:paraId="45F89B33">
      <w:pPr>
        <w:pStyle w:val="41"/>
        <w:bidi w:val="0"/>
        <w:rPr>
          <w:color w:val="auto"/>
        </w:rPr>
      </w:pPr>
      <w:r>
        <w:rPr>
          <w:color w:val="auto"/>
        </w:rPr>
        <w:t>评价区内记录到中国特有物种有华西蟾蜍、滇蛙</w:t>
      </w:r>
      <w:r>
        <w:rPr>
          <w:rFonts w:hint="eastAsia"/>
          <w:color w:val="auto"/>
          <w:lang w:val="en-US" w:eastAsia="zh-CN"/>
        </w:rPr>
        <w:t>2</w:t>
      </w:r>
      <w:r>
        <w:rPr>
          <w:color w:val="auto"/>
        </w:rPr>
        <w:t>种。</w:t>
      </w:r>
    </w:p>
    <w:p w14:paraId="486AFF05">
      <w:pPr>
        <w:pStyle w:val="41"/>
        <w:bidi w:val="0"/>
        <w:rPr>
          <w:color w:val="auto"/>
          <w:highlight w:val="none"/>
        </w:rPr>
      </w:pPr>
      <w:r>
        <w:rPr>
          <w:color w:val="auto"/>
          <w:highlight w:val="none"/>
        </w:rPr>
        <w:t>●华西蟾蜍Bufoandrewsi</w:t>
      </w:r>
    </w:p>
    <w:p w14:paraId="267FE39E">
      <w:pPr>
        <w:pStyle w:val="41"/>
        <w:bidi w:val="0"/>
        <w:rPr>
          <w:color w:val="auto"/>
        </w:rPr>
      </w:pPr>
      <w:r>
        <w:rPr>
          <w:color w:val="auto"/>
        </w:rPr>
        <w:t>华西蟾蜍常栖息在田边、草丛中或石下。在评价区分布广泛，属常见种。</w:t>
      </w:r>
    </w:p>
    <w:p w14:paraId="582CA21A">
      <w:pPr>
        <w:pStyle w:val="41"/>
        <w:bidi w:val="0"/>
        <w:rPr>
          <w:color w:val="auto"/>
        </w:rPr>
      </w:pPr>
      <w:r>
        <w:rPr>
          <w:color w:val="auto"/>
        </w:rPr>
        <w:t>●滇蛙Ranapleuraden</w:t>
      </w:r>
    </w:p>
    <w:p w14:paraId="24327303">
      <w:pPr>
        <w:pStyle w:val="41"/>
        <w:bidi w:val="0"/>
        <w:rPr>
          <w:color w:val="auto"/>
        </w:rPr>
      </w:pPr>
      <w:r>
        <w:rPr>
          <w:color w:val="auto"/>
        </w:rPr>
        <w:t>滇蛙主要栖息在稻田或池塘中。在评价区分布广泛，属常见种。</w:t>
      </w:r>
    </w:p>
    <w:p w14:paraId="5453A797">
      <w:pPr>
        <w:pStyle w:val="4"/>
        <w:bidi w:val="0"/>
        <w:rPr>
          <w:rFonts w:hint="eastAsia"/>
          <w:color w:val="auto"/>
          <w:lang w:val="en-US" w:eastAsia="zh-CN"/>
        </w:rPr>
      </w:pPr>
      <w:r>
        <w:rPr>
          <w:rFonts w:hint="eastAsia"/>
          <w:color w:val="auto"/>
          <w:lang w:val="en-US" w:eastAsia="zh-CN"/>
        </w:rPr>
        <w:t>2.3.5爬行类</w:t>
      </w:r>
    </w:p>
    <w:p w14:paraId="45CEC415">
      <w:pPr>
        <w:pStyle w:val="41"/>
        <w:bidi w:val="0"/>
        <w:rPr>
          <w:color w:val="auto"/>
        </w:rPr>
      </w:pPr>
      <w:r>
        <w:rPr>
          <w:color w:val="auto"/>
        </w:rPr>
        <w:t>（1）种类及数量</w:t>
      </w:r>
    </w:p>
    <w:p w14:paraId="0BBCE254">
      <w:pPr>
        <w:pStyle w:val="41"/>
        <w:bidi w:val="0"/>
        <w:rPr>
          <w:rFonts w:hint="eastAsia"/>
          <w:color w:val="auto"/>
        </w:rPr>
      </w:pPr>
      <w:r>
        <w:rPr>
          <w:rFonts w:hint="eastAsia"/>
          <w:color w:val="auto"/>
        </w:rPr>
        <w:t>依据</w:t>
      </w:r>
      <w:r>
        <w:rPr>
          <w:rFonts w:hint="eastAsia"/>
          <w:color w:val="auto"/>
          <w:lang w:eastAsia="zh-CN"/>
        </w:rPr>
        <w:t>《</w:t>
      </w:r>
      <w:r>
        <w:rPr>
          <w:rFonts w:hint="eastAsia"/>
          <w:color w:val="auto"/>
        </w:rPr>
        <w:t>中国两栖</w:t>
      </w:r>
      <w:r>
        <w:rPr>
          <w:rFonts w:hint="eastAsia"/>
          <w:color w:val="auto"/>
          <w:lang w:val="en-US" w:eastAsia="zh-CN"/>
        </w:rPr>
        <w:t>动物</w:t>
      </w:r>
      <w:r>
        <w:rPr>
          <w:rFonts w:hint="eastAsia"/>
          <w:color w:val="auto"/>
        </w:rPr>
        <w:t>、爬行动物更新名录</w:t>
      </w:r>
      <w:r>
        <w:rPr>
          <w:rFonts w:hint="eastAsia"/>
          <w:color w:val="auto"/>
          <w:lang w:eastAsia="zh-CN"/>
        </w:rPr>
        <w:t>》</w:t>
      </w:r>
      <w:r>
        <w:rPr>
          <w:rFonts w:hint="eastAsia"/>
          <w:color w:val="auto"/>
        </w:rPr>
        <w:t>（王剀等，2020）进行编目，在调查区内共记录爬行动物</w:t>
      </w:r>
      <w:r>
        <w:rPr>
          <w:rFonts w:hint="eastAsia"/>
          <w:color w:val="auto"/>
          <w:lang w:val="en-US" w:eastAsia="zh-CN"/>
        </w:rPr>
        <w:t>2</w:t>
      </w:r>
      <w:r>
        <w:rPr>
          <w:rFonts w:hint="eastAsia"/>
          <w:color w:val="auto"/>
        </w:rPr>
        <w:t>目</w:t>
      </w:r>
      <w:r>
        <w:rPr>
          <w:rFonts w:hint="eastAsia"/>
          <w:color w:val="auto"/>
          <w:lang w:val="en-US" w:eastAsia="zh-CN"/>
        </w:rPr>
        <w:t>4</w:t>
      </w:r>
      <w:r>
        <w:rPr>
          <w:rFonts w:hint="eastAsia"/>
          <w:color w:val="auto"/>
        </w:rPr>
        <w:t>科</w:t>
      </w:r>
      <w:r>
        <w:rPr>
          <w:rFonts w:hint="eastAsia"/>
          <w:color w:val="auto"/>
          <w:lang w:val="en-US" w:eastAsia="zh-CN"/>
        </w:rPr>
        <w:t>5</w:t>
      </w:r>
      <w:r>
        <w:rPr>
          <w:rFonts w:hint="eastAsia"/>
          <w:color w:val="auto"/>
        </w:rPr>
        <w:t>属</w:t>
      </w:r>
      <w:r>
        <w:rPr>
          <w:rFonts w:hint="eastAsia"/>
          <w:color w:val="auto"/>
          <w:lang w:val="en-US" w:eastAsia="zh-CN"/>
        </w:rPr>
        <w:t>5</w:t>
      </w:r>
      <w:r>
        <w:rPr>
          <w:rFonts w:hint="eastAsia"/>
          <w:color w:val="auto"/>
        </w:rPr>
        <w:t>种，均为有鳞目Squamata物种。</w:t>
      </w:r>
    </w:p>
    <w:p w14:paraId="68FA4468">
      <w:pPr>
        <w:pStyle w:val="41"/>
        <w:bidi w:val="0"/>
        <w:rPr>
          <w:rFonts w:hint="eastAsia"/>
          <w:color w:val="auto"/>
        </w:rPr>
      </w:pPr>
      <w:r>
        <w:rPr>
          <w:rFonts w:hint="eastAsia"/>
          <w:color w:val="auto"/>
        </w:rPr>
        <w:t>其中，蜥蜴亚目Lacertilia记录</w:t>
      </w:r>
      <w:r>
        <w:rPr>
          <w:rFonts w:hint="eastAsia"/>
          <w:color w:val="auto"/>
          <w:lang w:val="en-US" w:eastAsia="zh-CN"/>
        </w:rPr>
        <w:t>2</w:t>
      </w:r>
      <w:r>
        <w:rPr>
          <w:rFonts w:hint="eastAsia"/>
          <w:color w:val="auto"/>
        </w:rPr>
        <w:t>科</w:t>
      </w:r>
      <w:r>
        <w:rPr>
          <w:rFonts w:hint="eastAsia"/>
          <w:color w:val="auto"/>
          <w:lang w:val="en-US" w:eastAsia="zh-CN"/>
        </w:rPr>
        <w:t>2</w:t>
      </w:r>
      <w:r>
        <w:rPr>
          <w:rFonts w:hint="eastAsia"/>
          <w:color w:val="auto"/>
        </w:rPr>
        <w:t>属</w:t>
      </w:r>
      <w:r>
        <w:rPr>
          <w:rFonts w:hint="eastAsia"/>
          <w:color w:val="auto"/>
          <w:lang w:val="en-US" w:eastAsia="zh-CN"/>
        </w:rPr>
        <w:t>2</w:t>
      </w:r>
      <w:r>
        <w:rPr>
          <w:rFonts w:hint="eastAsia"/>
          <w:color w:val="auto"/>
        </w:rPr>
        <w:t>种，占总种数的</w:t>
      </w:r>
      <w:r>
        <w:rPr>
          <w:rFonts w:hint="eastAsia"/>
          <w:color w:val="auto"/>
          <w:lang w:val="en-US" w:eastAsia="zh-CN"/>
        </w:rPr>
        <w:t>40</w:t>
      </w:r>
      <w:r>
        <w:rPr>
          <w:rFonts w:hint="eastAsia"/>
          <w:color w:val="auto"/>
        </w:rPr>
        <w:t>.00%。蛇亚目Serpentes记录</w:t>
      </w:r>
      <w:r>
        <w:rPr>
          <w:rFonts w:hint="eastAsia"/>
          <w:color w:val="auto"/>
          <w:lang w:val="en-US" w:eastAsia="zh-CN"/>
        </w:rPr>
        <w:t>2</w:t>
      </w:r>
      <w:r>
        <w:rPr>
          <w:rFonts w:hint="eastAsia"/>
          <w:color w:val="auto"/>
        </w:rPr>
        <w:t>科</w:t>
      </w:r>
      <w:r>
        <w:rPr>
          <w:rFonts w:hint="eastAsia"/>
          <w:color w:val="auto"/>
          <w:lang w:val="en-US" w:eastAsia="zh-CN"/>
        </w:rPr>
        <w:t>3</w:t>
      </w:r>
      <w:r>
        <w:rPr>
          <w:rFonts w:hint="eastAsia"/>
          <w:color w:val="auto"/>
        </w:rPr>
        <w:t>属</w:t>
      </w:r>
      <w:r>
        <w:rPr>
          <w:rFonts w:hint="eastAsia"/>
          <w:color w:val="auto"/>
          <w:lang w:val="en-US" w:eastAsia="zh-CN"/>
        </w:rPr>
        <w:t>3</w:t>
      </w:r>
      <w:r>
        <w:rPr>
          <w:rFonts w:hint="eastAsia"/>
          <w:color w:val="auto"/>
        </w:rPr>
        <w:t>种，占总种数的</w:t>
      </w:r>
      <w:r>
        <w:rPr>
          <w:rFonts w:hint="eastAsia"/>
          <w:color w:val="auto"/>
          <w:lang w:val="en-US" w:eastAsia="zh-CN"/>
        </w:rPr>
        <w:t>60.0</w:t>
      </w:r>
      <w:r>
        <w:rPr>
          <w:rFonts w:hint="eastAsia"/>
          <w:color w:val="auto"/>
        </w:rPr>
        <w:t>%。</w:t>
      </w:r>
    </w:p>
    <w:p w14:paraId="77D46986">
      <w:pPr>
        <w:pStyle w:val="41"/>
        <w:bidi w:val="0"/>
        <w:rPr>
          <w:rFonts w:hint="eastAsia"/>
          <w:color w:val="auto"/>
        </w:rPr>
      </w:pPr>
      <w:r>
        <w:rPr>
          <w:rFonts w:hint="eastAsia"/>
          <w:color w:val="auto"/>
        </w:rPr>
        <w:t>在科级水平上，游蛇科Colubridae记录</w:t>
      </w:r>
      <w:r>
        <w:rPr>
          <w:rFonts w:hint="eastAsia"/>
          <w:color w:val="auto"/>
          <w:lang w:val="en-US" w:eastAsia="zh-CN"/>
        </w:rPr>
        <w:t>2</w:t>
      </w:r>
      <w:r>
        <w:rPr>
          <w:rFonts w:hint="eastAsia"/>
          <w:color w:val="auto"/>
        </w:rPr>
        <w:t>属</w:t>
      </w:r>
      <w:r>
        <w:rPr>
          <w:rFonts w:hint="eastAsia"/>
          <w:color w:val="auto"/>
          <w:lang w:val="en-US" w:eastAsia="zh-CN"/>
        </w:rPr>
        <w:t>2</w:t>
      </w:r>
      <w:r>
        <w:rPr>
          <w:rFonts w:hint="eastAsia"/>
          <w:color w:val="auto"/>
        </w:rPr>
        <w:t>种；蝰科Viperidae记录</w:t>
      </w:r>
      <w:r>
        <w:rPr>
          <w:rFonts w:hint="eastAsia"/>
          <w:color w:val="auto"/>
          <w:lang w:val="en-US" w:eastAsia="zh-CN"/>
        </w:rPr>
        <w:t>1</w:t>
      </w:r>
      <w:r>
        <w:rPr>
          <w:rFonts w:hint="eastAsia"/>
          <w:color w:val="auto"/>
        </w:rPr>
        <w:t>属</w:t>
      </w:r>
      <w:r>
        <w:rPr>
          <w:rFonts w:hint="eastAsia"/>
          <w:color w:val="auto"/>
          <w:lang w:val="en-US" w:eastAsia="zh-CN"/>
        </w:rPr>
        <w:t>1</w:t>
      </w:r>
      <w:r>
        <w:rPr>
          <w:rFonts w:hint="eastAsia"/>
          <w:color w:val="auto"/>
        </w:rPr>
        <w:t>种；石龙子科Scincidae均记录</w:t>
      </w:r>
      <w:r>
        <w:rPr>
          <w:rFonts w:hint="eastAsia"/>
          <w:color w:val="auto"/>
          <w:lang w:val="en-US" w:eastAsia="zh-CN"/>
        </w:rPr>
        <w:t>1</w:t>
      </w:r>
      <w:r>
        <w:rPr>
          <w:rFonts w:hint="eastAsia"/>
          <w:color w:val="auto"/>
        </w:rPr>
        <w:t>属</w:t>
      </w:r>
      <w:r>
        <w:rPr>
          <w:rFonts w:hint="eastAsia"/>
          <w:color w:val="auto"/>
          <w:lang w:val="en-US" w:eastAsia="zh-CN"/>
        </w:rPr>
        <w:t>1</w:t>
      </w:r>
      <w:r>
        <w:rPr>
          <w:rFonts w:hint="eastAsia"/>
          <w:color w:val="auto"/>
        </w:rPr>
        <w:t>种；壁虎科Gekkonidae</w:t>
      </w:r>
      <w:r>
        <w:rPr>
          <w:rFonts w:hint="eastAsia"/>
          <w:color w:val="auto"/>
          <w:lang w:val="en-US" w:eastAsia="zh-CN"/>
        </w:rPr>
        <w:t>记录</w:t>
      </w:r>
      <w:r>
        <w:rPr>
          <w:rFonts w:hint="eastAsia"/>
          <w:color w:val="auto"/>
        </w:rPr>
        <w:t>1属1种。</w:t>
      </w:r>
    </w:p>
    <w:p w14:paraId="7D9C663D">
      <w:pPr>
        <w:pStyle w:val="41"/>
        <w:bidi w:val="0"/>
        <w:rPr>
          <w:color w:val="auto"/>
        </w:rPr>
      </w:pPr>
      <w:r>
        <w:rPr>
          <w:rFonts w:hint="eastAsia"/>
          <w:color w:val="auto"/>
        </w:rPr>
        <w:t>调查区爬行动物名录见附录脊椎动物名录。</w:t>
      </w:r>
    </w:p>
    <w:p w14:paraId="714112D1">
      <w:pPr>
        <w:pStyle w:val="41"/>
        <w:bidi w:val="0"/>
        <w:rPr>
          <w:color w:val="auto"/>
        </w:rPr>
      </w:pPr>
      <w:r>
        <w:rPr>
          <w:color w:val="auto"/>
        </w:rPr>
        <w:t>（2）区系特征</w:t>
      </w:r>
    </w:p>
    <w:p w14:paraId="3D9EFF05">
      <w:pPr>
        <w:pStyle w:val="41"/>
        <w:bidi w:val="0"/>
        <w:rPr>
          <w:color w:val="auto"/>
        </w:rPr>
      </w:pPr>
      <w:r>
        <w:rPr>
          <w:rFonts w:hint="eastAsia"/>
          <w:color w:val="auto"/>
        </w:rPr>
        <w:t>从区系组成来看，调查区记录的</w:t>
      </w:r>
      <w:r>
        <w:rPr>
          <w:rFonts w:hint="eastAsia"/>
          <w:color w:val="auto"/>
          <w:lang w:val="en-US" w:eastAsia="zh-CN"/>
        </w:rPr>
        <w:t>5</w:t>
      </w:r>
      <w:r>
        <w:rPr>
          <w:rFonts w:hint="eastAsia"/>
          <w:color w:val="auto"/>
        </w:rPr>
        <w:t>种爬行动物均为东洋界爬行动物，未记录到古北界爬行动物。其中，东洋界</w:t>
      </w:r>
      <w:r>
        <w:rPr>
          <w:rFonts w:hint="eastAsia"/>
          <w:color w:val="auto"/>
          <w:lang w:val="en-US" w:eastAsia="zh-CN"/>
        </w:rPr>
        <w:t>西南区</w:t>
      </w:r>
      <w:r>
        <w:rPr>
          <w:rFonts w:hint="eastAsia"/>
          <w:color w:val="auto"/>
        </w:rPr>
        <w:t>记录</w:t>
      </w:r>
      <w:r>
        <w:rPr>
          <w:rFonts w:hint="eastAsia"/>
          <w:color w:val="auto"/>
          <w:lang w:val="en-US" w:eastAsia="zh-CN"/>
        </w:rPr>
        <w:t>2</w:t>
      </w:r>
      <w:r>
        <w:rPr>
          <w:rFonts w:hint="eastAsia"/>
          <w:color w:val="auto"/>
        </w:rPr>
        <w:t>种，占东洋界爬行动物的</w:t>
      </w:r>
      <w:r>
        <w:rPr>
          <w:rFonts w:hint="eastAsia"/>
          <w:color w:val="auto"/>
          <w:lang w:val="en-US" w:eastAsia="zh-CN"/>
        </w:rPr>
        <w:t>40</w:t>
      </w:r>
      <w:r>
        <w:rPr>
          <w:rFonts w:hint="eastAsia"/>
          <w:color w:val="auto"/>
        </w:rPr>
        <w:t>%；东洋界华中</w:t>
      </w:r>
      <w:r>
        <w:rPr>
          <w:rFonts w:hint="eastAsia"/>
          <w:color w:val="auto"/>
          <w:lang w:eastAsia="zh-CN"/>
        </w:rPr>
        <w:t>－</w:t>
      </w:r>
      <w:r>
        <w:rPr>
          <w:rFonts w:hint="eastAsia"/>
          <w:color w:val="auto"/>
        </w:rPr>
        <w:t>华南区物种</w:t>
      </w:r>
      <w:r>
        <w:rPr>
          <w:rFonts w:hint="eastAsia"/>
          <w:color w:val="auto"/>
          <w:lang w:val="en-US" w:eastAsia="zh-CN"/>
        </w:rPr>
        <w:t>3</w:t>
      </w:r>
      <w:r>
        <w:rPr>
          <w:rFonts w:hint="eastAsia"/>
          <w:color w:val="auto"/>
        </w:rPr>
        <w:t>种。</w:t>
      </w:r>
    </w:p>
    <w:p w14:paraId="76ECFB3E">
      <w:pPr>
        <w:pStyle w:val="41"/>
        <w:bidi w:val="0"/>
        <w:rPr>
          <w:color w:val="auto"/>
        </w:rPr>
      </w:pPr>
      <w:r>
        <w:rPr>
          <w:color w:val="auto"/>
        </w:rPr>
        <w:t>（3）珍稀保护物种与特有种</w:t>
      </w:r>
    </w:p>
    <w:p w14:paraId="4A3704A6">
      <w:pPr>
        <w:pStyle w:val="41"/>
        <w:bidi w:val="0"/>
        <w:rPr>
          <w:color w:val="auto"/>
        </w:rPr>
      </w:pPr>
      <w:r>
        <w:rPr>
          <w:color w:val="auto"/>
        </w:rPr>
        <w:fldChar w:fldCharType="begin"/>
      </w:r>
      <w:r>
        <w:rPr>
          <w:color w:val="auto"/>
        </w:rPr>
        <w:instrText xml:space="preserve"> = 1 \* GB3 </w:instrText>
      </w:r>
      <w:r>
        <w:rPr>
          <w:color w:val="auto"/>
        </w:rPr>
        <w:fldChar w:fldCharType="separate"/>
      </w:r>
      <w:r>
        <w:rPr>
          <w:color w:val="auto"/>
        </w:rPr>
        <w:t>①</w:t>
      </w:r>
      <w:r>
        <w:rPr>
          <w:color w:val="auto"/>
        </w:rPr>
        <w:fldChar w:fldCharType="end"/>
      </w:r>
      <w:r>
        <w:rPr>
          <w:color w:val="auto"/>
        </w:rPr>
        <w:t>国家级保护物种</w:t>
      </w:r>
    </w:p>
    <w:p w14:paraId="10727B92">
      <w:pPr>
        <w:pStyle w:val="41"/>
        <w:bidi w:val="0"/>
        <w:rPr>
          <w:color w:val="auto"/>
        </w:rPr>
      </w:pPr>
      <w:r>
        <w:rPr>
          <w:color w:val="auto"/>
        </w:rPr>
        <w:t>对照查阅国家林业和草原局农业农村部2021年2月公布的《国家重点保护野生动物名录》（2021年第3号），评价区内没有记录到国家保护爬行动物。</w:t>
      </w:r>
    </w:p>
    <w:p w14:paraId="3E2F6673">
      <w:pPr>
        <w:pStyle w:val="41"/>
        <w:bidi w:val="0"/>
        <w:rPr>
          <w:color w:val="auto"/>
        </w:rPr>
      </w:pPr>
      <w:r>
        <w:rPr>
          <w:color w:val="auto"/>
        </w:rPr>
        <w:fldChar w:fldCharType="begin"/>
      </w:r>
      <w:r>
        <w:rPr>
          <w:color w:val="auto"/>
        </w:rPr>
        <w:instrText xml:space="preserve"> = 2 \* GB3 </w:instrText>
      </w:r>
      <w:r>
        <w:rPr>
          <w:color w:val="auto"/>
        </w:rPr>
        <w:fldChar w:fldCharType="separate"/>
      </w:r>
      <w:r>
        <w:rPr>
          <w:color w:val="auto"/>
        </w:rPr>
        <w:t>②</w:t>
      </w:r>
      <w:r>
        <w:rPr>
          <w:color w:val="auto"/>
        </w:rPr>
        <w:fldChar w:fldCharType="end"/>
      </w:r>
      <w:r>
        <w:rPr>
          <w:color w:val="auto"/>
        </w:rPr>
        <w:t>省级保护物种</w:t>
      </w:r>
    </w:p>
    <w:p w14:paraId="4337A7CD">
      <w:pPr>
        <w:pStyle w:val="41"/>
        <w:bidi w:val="0"/>
        <w:rPr>
          <w:color w:val="auto"/>
        </w:rPr>
      </w:pPr>
      <w:r>
        <w:rPr>
          <w:color w:val="auto"/>
        </w:rPr>
        <w:t>评价区内没有记录到云南省重点保护爬行动物。</w:t>
      </w:r>
    </w:p>
    <w:p w14:paraId="6894BB38">
      <w:pPr>
        <w:pStyle w:val="41"/>
        <w:bidi w:val="0"/>
        <w:rPr>
          <w:color w:val="auto"/>
        </w:rPr>
      </w:pPr>
      <w:r>
        <w:rPr>
          <w:color w:val="auto"/>
        </w:rPr>
        <w:fldChar w:fldCharType="begin"/>
      </w:r>
      <w:r>
        <w:rPr>
          <w:color w:val="auto"/>
        </w:rPr>
        <w:instrText xml:space="preserve"> = 3 \* GB3 </w:instrText>
      </w:r>
      <w:r>
        <w:rPr>
          <w:color w:val="auto"/>
        </w:rPr>
        <w:fldChar w:fldCharType="separate"/>
      </w:r>
      <w:r>
        <w:rPr>
          <w:color w:val="auto"/>
        </w:rPr>
        <w:t>③</w:t>
      </w:r>
      <w:r>
        <w:rPr>
          <w:color w:val="auto"/>
        </w:rPr>
        <w:fldChar w:fldCharType="end"/>
      </w:r>
      <w:r>
        <w:rPr>
          <w:rFonts w:hint="eastAsia"/>
          <w:color w:val="auto"/>
        </w:rPr>
        <w:t>《中国脊椎动物红色名录》</w:t>
      </w:r>
      <w:r>
        <w:rPr>
          <w:color w:val="auto"/>
        </w:rPr>
        <w:t>保护物种</w:t>
      </w:r>
    </w:p>
    <w:p w14:paraId="7A49B5D8">
      <w:pPr>
        <w:pStyle w:val="41"/>
        <w:bidi w:val="0"/>
        <w:rPr>
          <w:rFonts w:hint="eastAsia" w:eastAsia="宋体"/>
          <w:color w:val="auto"/>
          <w:lang w:eastAsia="zh-CN"/>
        </w:rPr>
      </w:pPr>
      <w:r>
        <w:rPr>
          <w:color w:val="auto"/>
        </w:rPr>
        <w:t>评价区内</w:t>
      </w:r>
      <w:r>
        <w:rPr>
          <w:rFonts w:hint="eastAsia"/>
          <w:color w:val="auto"/>
        </w:rPr>
        <w:t>记录到《中国脊椎动物红色名录》受胁物种</w:t>
      </w:r>
      <w:r>
        <w:rPr>
          <w:rFonts w:hint="eastAsia"/>
          <w:color w:val="auto"/>
          <w:lang w:val="en-US" w:eastAsia="zh-CN"/>
        </w:rPr>
        <w:t>1</w:t>
      </w:r>
      <w:r>
        <w:rPr>
          <w:rFonts w:hint="eastAsia"/>
          <w:color w:val="auto"/>
        </w:rPr>
        <w:t>种，王锦蛇</w:t>
      </w:r>
      <w:r>
        <w:rPr>
          <w:rFonts w:hint="eastAsia"/>
          <w:i/>
          <w:iCs/>
          <w:color w:val="auto"/>
        </w:rPr>
        <w:t>Elaphecarinata</w:t>
      </w:r>
      <w:r>
        <w:rPr>
          <w:rFonts w:hint="eastAsia"/>
          <w:color w:val="auto"/>
          <w:lang w:eastAsia="zh-CN"/>
        </w:rPr>
        <w:t>，</w:t>
      </w:r>
      <w:r>
        <w:rPr>
          <w:rFonts w:hint="eastAsia"/>
          <w:color w:val="auto"/>
        </w:rPr>
        <w:t>等级</w:t>
      </w:r>
      <w:r>
        <w:rPr>
          <w:rFonts w:hint="eastAsia"/>
          <w:color w:val="auto"/>
          <w:lang w:val="en-US" w:eastAsia="zh-CN"/>
        </w:rPr>
        <w:t>为</w:t>
      </w:r>
      <w:r>
        <w:rPr>
          <w:rFonts w:hint="eastAsia"/>
          <w:color w:val="auto"/>
        </w:rPr>
        <w:t>濒危</w:t>
      </w:r>
      <w:r>
        <w:rPr>
          <w:rFonts w:hint="eastAsia"/>
          <w:color w:val="auto"/>
          <w:lang w:eastAsia="zh-CN"/>
        </w:rPr>
        <w:t>。</w:t>
      </w:r>
    </w:p>
    <w:p w14:paraId="22B3BF03">
      <w:pPr>
        <w:pStyle w:val="41"/>
        <w:bidi w:val="0"/>
        <w:rPr>
          <w:color w:val="auto"/>
        </w:rPr>
      </w:pPr>
      <w:r>
        <w:rPr>
          <w:color w:val="auto"/>
        </w:rPr>
        <w:fldChar w:fldCharType="begin"/>
      </w:r>
      <w:r>
        <w:rPr>
          <w:color w:val="auto"/>
        </w:rPr>
        <w:instrText xml:space="preserve"> = 4 \* GB3 </w:instrText>
      </w:r>
      <w:r>
        <w:rPr>
          <w:color w:val="auto"/>
        </w:rPr>
        <w:fldChar w:fldCharType="separate"/>
      </w:r>
      <w:r>
        <w:rPr>
          <w:color w:val="auto"/>
        </w:rPr>
        <w:t>④</w:t>
      </w:r>
      <w:r>
        <w:rPr>
          <w:color w:val="auto"/>
        </w:rPr>
        <w:fldChar w:fldCharType="end"/>
      </w:r>
      <w:r>
        <w:rPr>
          <w:color w:val="auto"/>
        </w:rPr>
        <w:t>特有物种</w:t>
      </w:r>
    </w:p>
    <w:p w14:paraId="1165C303">
      <w:pPr>
        <w:pStyle w:val="41"/>
        <w:bidi w:val="0"/>
        <w:rPr>
          <w:color w:val="auto"/>
        </w:rPr>
      </w:pPr>
      <w:r>
        <w:rPr>
          <w:color w:val="auto"/>
        </w:rPr>
        <w:t>评价区内未记录到特有物种。</w:t>
      </w:r>
    </w:p>
    <w:p w14:paraId="6FAB69E3">
      <w:pPr>
        <w:pStyle w:val="4"/>
        <w:bidi w:val="0"/>
        <w:rPr>
          <w:rFonts w:hint="eastAsia"/>
          <w:color w:val="auto"/>
          <w:lang w:val="en-US" w:eastAsia="zh-CN"/>
        </w:rPr>
      </w:pPr>
      <w:r>
        <w:rPr>
          <w:rFonts w:hint="eastAsia"/>
          <w:color w:val="auto"/>
          <w:lang w:val="en-US" w:eastAsia="zh-CN"/>
        </w:rPr>
        <w:t>2.3.6哺乳动物</w:t>
      </w:r>
    </w:p>
    <w:p w14:paraId="69BA608F">
      <w:pPr>
        <w:pStyle w:val="41"/>
        <w:bidi w:val="0"/>
        <w:rPr>
          <w:rFonts w:hint="eastAsia"/>
          <w:color w:val="auto"/>
          <w:lang w:val="en-US" w:eastAsia="zh-CN"/>
        </w:rPr>
      </w:pPr>
      <w:r>
        <w:rPr>
          <w:rFonts w:hint="eastAsia"/>
          <w:color w:val="auto"/>
          <w:lang w:val="en-US" w:eastAsia="zh-CN"/>
        </w:rPr>
        <w:t>参照《中国哺乳动物多样性（第2版）》（蒋志刚等，2017）进行编目，在调查区内共记录哺乳动物4目6科9属9种。</w:t>
      </w:r>
    </w:p>
    <w:p w14:paraId="2A96BF2F">
      <w:pPr>
        <w:pStyle w:val="41"/>
        <w:bidi w:val="0"/>
        <w:rPr>
          <w:color w:val="auto"/>
        </w:rPr>
      </w:pPr>
      <w:r>
        <w:rPr>
          <w:color w:val="auto"/>
        </w:rPr>
        <w:t>（1）种类及数量</w:t>
      </w:r>
    </w:p>
    <w:p w14:paraId="28E4F979">
      <w:pPr>
        <w:pStyle w:val="41"/>
        <w:bidi w:val="0"/>
        <w:rPr>
          <w:color w:val="auto"/>
        </w:rPr>
      </w:pPr>
      <w:r>
        <w:rPr>
          <w:rFonts w:hint="eastAsia"/>
          <w:color w:val="auto"/>
        </w:rPr>
        <w:t>在目水平上，啮齿目Chiroptera记录</w:t>
      </w:r>
      <w:r>
        <w:rPr>
          <w:rFonts w:hint="eastAsia"/>
          <w:color w:val="auto"/>
          <w:lang w:val="en-US" w:eastAsia="zh-CN"/>
        </w:rPr>
        <w:t>2</w:t>
      </w:r>
      <w:r>
        <w:rPr>
          <w:rFonts w:hint="eastAsia"/>
          <w:color w:val="auto"/>
        </w:rPr>
        <w:t>科</w:t>
      </w:r>
      <w:r>
        <w:rPr>
          <w:rFonts w:hint="eastAsia"/>
          <w:color w:val="auto"/>
          <w:lang w:val="en-US" w:eastAsia="zh-CN"/>
        </w:rPr>
        <w:t>7</w:t>
      </w:r>
      <w:r>
        <w:rPr>
          <w:rFonts w:hint="eastAsia"/>
          <w:color w:val="auto"/>
        </w:rPr>
        <w:t>属</w:t>
      </w:r>
      <w:r>
        <w:rPr>
          <w:rFonts w:hint="eastAsia"/>
          <w:color w:val="auto"/>
          <w:lang w:val="en-US" w:eastAsia="zh-CN"/>
        </w:rPr>
        <w:t>9</w:t>
      </w:r>
      <w:r>
        <w:rPr>
          <w:rFonts w:hint="eastAsia"/>
          <w:color w:val="auto"/>
        </w:rPr>
        <w:t>种，占调查区哺乳动物总科、总属和总种数的</w:t>
      </w:r>
      <w:r>
        <w:rPr>
          <w:rFonts w:hint="eastAsia"/>
          <w:color w:val="auto"/>
          <w:lang w:val="en-US" w:eastAsia="zh-CN"/>
        </w:rPr>
        <w:t>20</w:t>
      </w:r>
      <w:r>
        <w:rPr>
          <w:rFonts w:hint="eastAsia"/>
          <w:color w:val="auto"/>
        </w:rPr>
        <w:t>%、</w:t>
      </w:r>
      <w:r>
        <w:rPr>
          <w:rFonts w:hint="eastAsia"/>
          <w:color w:val="auto"/>
          <w:lang w:val="en-US" w:eastAsia="zh-CN"/>
        </w:rPr>
        <w:t>53.85</w:t>
      </w:r>
      <w:r>
        <w:rPr>
          <w:rFonts w:hint="eastAsia"/>
          <w:color w:val="auto"/>
        </w:rPr>
        <w:t>%和</w:t>
      </w:r>
      <w:r>
        <w:rPr>
          <w:rFonts w:hint="eastAsia"/>
          <w:color w:val="auto"/>
          <w:lang w:val="en-US" w:eastAsia="zh-CN"/>
        </w:rPr>
        <w:t>60</w:t>
      </w:r>
      <w:r>
        <w:rPr>
          <w:rFonts w:hint="eastAsia"/>
          <w:color w:val="auto"/>
        </w:rPr>
        <w:t>%；翼手目Chiroptera次之，为</w:t>
      </w:r>
      <w:r>
        <w:rPr>
          <w:rFonts w:hint="eastAsia"/>
          <w:color w:val="auto"/>
          <w:lang w:val="en-US" w:eastAsia="zh-CN"/>
        </w:rPr>
        <w:t>3</w:t>
      </w:r>
      <w:r>
        <w:rPr>
          <w:rFonts w:hint="eastAsia"/>
          <w:color w:val="auto"/>
        </w:rPr>
        <w:t>科</w:t>
      </w:r>
      <w:r>
        <w:rPr>
          <w:rFonts w:hint="eastAsia"/>
          <w:color w:val="auto"/>
          <w:lang w:val="en-US" w:eastAsia="zh-CN"/>
        </w:rPr>
        <w:t>3</w:t>
      </w:r>
      <w:r>
        <w:rPr>
          <w:rFonts w:hint="eastAsia"/>
          <w:color w:val="auto"/>
        </w:rPr>
        <w:t>属3种，占调查区哺乳动物总科、总属和总种数的</w:t>
      </w:r>
      <w:r>
        <w:rPr>
          <w:rFonts w:hint="eastAsia"/>
          <w:color w:val="auto"/>
          <w:lang w:val="en-US" w:eastAsia="zh-CN"/>
        </w:rPr>
        <w:t>37.5</w:t>
      </w:r>
      <w:r>
        <w:rPr>
          <w:rFonts w:hint="eastAsia"/>
          <w:color w:val="auto"/>
        </w:rPr>
        <w:t>%、</w:t>
      </w:r>
      <w:r>
        <w:rPr>
          <w:rFonts w:hint="eastAsia"/>
          <w:color w:val="auto"/>
          <w:lang w:val="en-US" w:eastAsia="zh-CN"/>
        </w:rPr>
        <w:t>23.08</w:t>
      </w:r>
      <w:r>
        <w:rPr>
          <w:rFonts w:hint="eastAsia"/>
          <w:color w:val="auto"/>
        </w:rPr>
        <w:t>%和20%；食肉目Carnivora记录2科2属2种，占调查区哺乳动物总科、总属和总种数的20%、16.67%和13.33%；兔形目Lagomorpha记录1科1属1种，占调查区哺乳动物总科、总属和总种数的10%、8.33%和6.67%。</w:t>
      </w:r>
    </w:p>
    <w:p w14:paraId="0E06B3A0">
      <w:pPr>
        <w:pStyle w:val="42"/>
        <w:bidi w:val="0"/>
        <w:rPr>
          <w:rFonts w:hint="eastAsia"/>
          <w:color w:val="auto"/>
        </w:rPr>
      </w:pPr>
      <w:r>
        <w:rPr>
          <w:rFonts w:hint="eastAsia"/>
          <w:color w:val="auto"/>
        </w:rPr>
        <w:t>表</w:t>
      </w:r>
      <w:r>
        <w:rPr>
          <w:rFonts w:hint="eastAsia"/>
          <w:color w:val="auto"/>
          <w:lang w:val="en-US" w:eastAsia="zh-CN"/>
        </w:rPr>
        <w:t xml:space="preserve">2-12  </w:t>
      </w:r>
      <w:r>
        <w:rPr>
          <w:rFonts w:hint="eastAsia"/>
          <w:color w:val="auto"/>
        </w:rPr>
        <w:t>调查区哺乳动物组成表</w:t>
      </w:r>
    </w:p>
    <w:tbl>
      <w:tblPr>
        <w:tblStyle w:val="21"/>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84"/>
        <w:gridCol w:w="1185"/>
        <w:gridCol w:w="2880"/>
        <w:gridCol w:w="1320"/>
        <w:gridCol w:w="1170"/>
        <w:gridCol w:w="1207"/>
      </w:tblGrid>
      <w:tr w14:paraId="1CAA12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9" w:type="dxa"/>
            <w:gridSpan w:val="2"/>
            <w:tcBorders>
              <w:tl2br w:val="nil"/>
              <w:tr2bl w:val="nil"/>
            </w:tcBorders>
          </w:tcPr>
          <w:p w14:paraId="261A3582">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目</w:t>
            </w:r>
          </w:p>
        </w:tc>
        <w:tc>
          <w:tcPr>
            <w:tcW w:w="2880" w:type="dxa"/>
            <w:tcBorders>
              <w:tl2br w:val="nil"/>
              <w:tr2bl w:val="nil"/>
            </w:tcBorders>
          </w:tcPr>
          <w:p w14:paraId="63D2BBFD">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科</w:t>
            </w:r>
          </w:p>
        </w:tc>
        <w:tc>
          <w:tcPr>
            <w:tcW w:w="1320" w:type="dxa"/>
            <w:tcBorders>
              <w:tl2br w:val="nil"/>
              <w:tr2bl w:val="nil"/>
            </w:tcBorders>
          </w:tcPr>
          <w:p w14:paraId="56F801E9">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属</w:t>
            </w:r>
          </w:p>
        </w:tc>
        <w:tc>
          <w:tcPr>
            <w:tcW w:w="1170" w:type="dxa"/>
            <w:tcBorders>
              <w:tl2br w:val="nil"/>
              <w:tr2bl w:val="nil"/>
            </w:tcBorders>
          </w:tcPr>
          <w:p w14:paraId="628E747B">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种</w:t>
            </w:r>
          </w:p>
        </w:tc>
        <w:tc>
          <w:tcPr>
            <w:tcW w:w="1207" w:type="dxa"/>
            <w:tcBorders>
              <w:tl2br w:val="nil"/>
              <w:tr2bl w:val="nil"/>
            </w:tcBorders>
          </w:tcPr>
          <w:p w14:paraId="0F4D19FB">
            <w:pPr>
              <w:pStyle w:val="34"/>
              <w:tabs>
                <w:tab w:val="left" w:pos="1389"/>
              </w:tabs>
              <w:bidi w:val="0"/>
              <w:rPr>
                <w:rFonts w:hint="default" w:eastAsia="宋体"/>
                <w:color w:val="auto"/>
                <w:vertAlign w:val="baseline"/>
                <w:lang w:val="en-US" w:eastAsia="zh-CN"/>
              </w:rPr>
            </w:pPr>
            <w:r>
              <w:rPr>
                <w:rFonts w:hint="eastAsia"/>
                <w:color w:val="auto"/>
                <w:vertAlign w:val="baseline"/>
                <w:lang w:val="en-US" w:eastAsia="zh-CN"/>
              </w:rPr>
              <w:t>种比例%</w:t>
            </w:r>
          </w:p>
        </w:tc>
      </w:tr>
      <w:tr w14:paraId="50BCF52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9" w:type="dxa"/>
            <w:gridSpan w:val="2"/>
            <w:tcBorders>
              <w:tl2br w:val="nil"/>
              <w:tr2bl w:val="nil"/>
            </w:tcBorders>
          </w:tcPr>
          <w:p w14:paraId="6B42011B">
            <w:pPr>
              <w:keepNext w:val="0"/>
              <w:keepLines w:val="0"/>
              <w:widowControl/>
              <w:suppressLineNumbers w:val="0"/>
              <w:jc w:val="left"/>
              <w:rPr>
                <w:rFonts w:hint="eastAsia"/>
                <w:color w:val="auto"/>
                <w:vertAlign w:val="baseline"/>
              </w:rPr>
            </w:pPr>
            <w:r>
              <w:rPr>
                <w:rFonts w:hint="eastAsia" w:ascii="宋体" w:hAnsi="宋体" w:eastAsia="宋体" w:cs="宋体"/>
                <w:color w:val="auto"/>
                <w:kern w:val="0"/>
                <w:sz w:val="20"/>
                <w:szCs w:val="20"/>
                <w:lang w:val="en-US" w:eastAsia="zh-CN" w:bidi="ar"/>
              </w:rPr>
              <w:t>翼手目</w:t>
            </w:r>
            <w:r>
              <w:rPr>
                <w:rFonts w:hint="default" w:ascii="Times New Roman" w:hAnsi="Times New Roman" w:eastAsia="宋体" w:cs="Times New Roman"/>
                <w:color w:val="auto"/>
                <w:kern w:val="0"/>
                <w:sz w:val="20"/>
                <w:szCs w:val="20"/>
                <w:lang w:val="en-US" w:eastAsia="zh-CN" w:bidi="ar"/>
              </w:rPr>
              <w:t>Chiroptera</w:t>
            </w:r>
          </w:p>
        </w:tc>
        <w:tc>
          <w:tcPr>
            <w:tcW w:w="2880" w:type="dxa"/>
            <w:tcBorders>
              <w:tl2br w:val="nil"/>
              <w:tr2bl w:val="nil"/>
            </w:tcBorders>
          </w:tcPr>
          <w:p w14:paraId="4B8D21C8">
            <w:pPr>
              <w:keepNext w:val="0"/>
              <w:keepLines w:val="0"/>
              <w:widowControl/>
              <w:suppressLineNumbers w:val="0"/>
              <w:jc w:val="left"/>
              <w:rPr>
                <w:rFonts w:hint="eastAsia"/>
                <w:color w:val="auto"/>
                <w:vertAlign w:val="baseline"/>
              </w:rPr>
            </w:pPr>
            <w:r>
              <w:rPr>
                <w:rFonts w:hint="eastAsia" w:ascii="宋体" w:hAnsi="宋体" w:eastAsia="宋体" w:cs="宋体"/>
                <w:color w:val="auto"/>
                <w:kern w:val="0"/>
                <w:sz w:val="20"/>
                <w:szCs w:val="20"/>
                <w:lang w:val="en-US" w:eastAsia="zh-CN" w:bidi="ar"/>
              </w:rPr>
              <w:t>菊头蝠科</w:t>
            </w:r>
            <w:r>
              <w:rPr>
                <w:rFonts w:hint="default" w:ascii="Times New Roman" w:hAnsi="Times New Roman" w:eastAsia="宋体" w:cs="Times New Roman"/>
                <w:color w:val="auto"/>
                <w:kern w:val="0"/>
                <w:sz w:val="20"/>
                <w:szCs w:val="20"/>
                <w:lang w:val="en-US" w:eastAsia="zh-CN" w:bidi="ar"/>
              </w:rPr>
              <w:t>Rhinolophidae</w:t>
            </w:r>
          </w:p>
        </w:tc>
        <w:tc>
          <w:tcPr>
            <w:tcW w:w="1320" w:type="dxa"/>
            <w:tcBorders>
              <w:tl2br w:val="nil"/>
              <w:tr2bl w:val="nil"/>
            </w:tcBorders>
          </w:tcPr>
          <w:p w14:paraId="1B6C5664">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1</w:t>
            </w:r>
          </w:p>
        </w:tc>
        <w:tc>
          <w:tcPr>
            <w:tcW w:w="1170" w:type="dxa"/>
            <w:tcBorders>
              <w:tl2br w:val="nil"/>
              <w:tr2bl w:val="nil"/>
            </w:tcBorders>
          </w:tcPr>
          <w:p w14:paraId="40B5EFFD">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1</w:t>
            </w:r>
          </w:p>
        </w:tc>
        <w:tc>
          <w:tcPr>
            <w:tcW w:w="1207" w:type="dxa"/>
            <w:tcBorders>
              <w:tl2br w:val="nil"/>
              <w:tr2bl w:val="nil"/>
            </w:tcBorders>
            <w:vAlign w:val="center"/>
          </w:tcPr>
          <w:p w14:paraId="6CDF27BA">
            <w:pPr>
              <w:pStyle w:val="34"/>
              <w:tabs>
                <w:tab w:val="left" w:pos="1389"/>
              </w:tabs>
              <w:bidi w:val="0"/>
              <w:rPr>
                <w:rFonts w:hint="default"/>
                <w:color w:val="auto"/>
                <w:lang w:val="en-US" w:eastAsia="zh-CN"/>
              </w:rPr>
            </w:pPr>
            <w:r>
              <w:rPr>
                <w:rFonts w:hint="eastAsia"/>
                <w:color w:val="auto"/>
                <w:lang w:val="en-US" w:eastAsia="zh-CN"/>
              </w:rPr>
              <w:t>11.1%</w:t>
            </w:r>
          </w:p>
        </w:tc>
      </w:tr>
      <w:tr w14:paraId="1744CAB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9" w:type="dxa"/>
            <w:gridSpan w:val="2"/>
            <w:vMerge w:val="restart"/>
            <w:tcBorders>
              <w:tl2br w:val="nil"/>
              <w:tr2bl w:val="nil"/>
            </w:tcBorders>
          </w:tcPr>
          <w:p w14:paraId="33EB871E">
            <w:pPr>
              <w:keepNext w:val="0"/>
              <w:keepLines w:val="0"/>
              <w:widowControl/>
              <w:suppressLineNumbers w:val="0"/>
              <w:jc w:val="left"/>
              <w:rPr>
                <w:rFonts w:hint="eastAsia"/>
                <w:color w:val="auto"/>
                <w:vertAlign w:val="baseline"/>
              </w:rPr>
            </w:pPr>
            <w:r>
              <w:rPr>
                <w:rFonts w:hint="eastAsia" w:ascii="宋体" w:hAnsi="宋体" w:eastAsia="宋体" w:cs="宋体"/>
                <w:color w:val="auto"/>
                <w:kern w:val="0"/>
                <w:sz w:val="20"/>
                <w:szCs w:val="20"/>
                <w:lang w:val="en-US" w:eastAsia="zh-CN" w:bidi="ar"/>
              </w:rPr>
              <w:t>食肉目</w:t>
            </w:r>
            <w:r>
              <w:rPr>
                <w:rFonts w:hint="default" w:ascii="Times New Roman" w:hAnsi="Times New Roman" w:eastAsia="宋体" w:cs="Times New Roman"/>
                <w:color w:val="auto"/>
                <w:kern w:val="0"/>
                <w:sz w:val="20"/>
                <w:szCs w:val="20"/>
                <w:lang w:val="en-US" w:eastAsia="zh-CN" w:bidi="ar"/>
              </w:rPr>
              <w:t>Carnivora</w:t>
            </w:r>
          </w:p>
        </w:tc>
        <w:tc>
          <w:tcPr>
            <w:tcW w:w="2880" w:type="dxa"/>
            <w:tcBorders>
              <w:tl2br w:val="nil"/>
              <w:tr2bl w:val="nil"/>
            </w:tcBorders>
          </w:tcPr>
          <w:p w14:paraId="5E13136F">
            <w:pPr>
              <w:keepNext w:val="0"/>
              <w:keepLines w:val="0"/>
              <w:widowControl/>
              <w:suppressLineNumbers w:val="0"/>
              <w:jc w:val="left"/>
              <w:rPr>
                <w:rFonts w:hint="eastAsia"/>
                <w:color w:val="auto"/>
                <w:vertAlign w:val="baseline"/>
              </w:rPr>
            </w:pPr>
            <w:r>
              <w:rPr>
                <w:rFonts w:hint="eastAsia" w:ascii="宋体" w:hAnsi="宋体" w:eastAsia="宋体" w:cs="宋体"/>
                <w:color w:val="auto"/>
                <w:kern w:val="0"/>
                <w:sz w:val="20"/>
                <w:szCs w:val="20"/>
                <w:lang w:val="en-US" w:eastAsia="zh-CN" w:bidi="ar"/>
              </w:rPr>
              <w:t>鼬科</w:t>
            </w:r>
            <w:r>
              <w:rPr>
                <w:rFonts w:hint="default" w:ascii="Times New Roman" w:hAnsi="Times New Roman" w:eastAsia="宋体" w:cs="Times New Roman"/>
                <w:color w:val="auto"/>
                <w:kern w:val="0"/>
                <w:sz w:val="20"/>
                <w:szCs w:val="20"/>
                <w:lang w:val="en-US" w:eastAsia="zh-CN" w:bidi="ar"/>
              </w:rPr>
              <w:t>Mustelidae</w:t>
            </w:r>
          </w:p>
        </w:tc>
        <w:tc>
          <w:tcPr>
            <w:tcW w:w="1320" w:type="dxa"/>
            <w:tcBorders>
              <w:tl2br w:val="nil"/>
              <w:tr2bl w:val="nil"/>
            </w:tcBorders>
          </w:tcPr>
          <w:p w14:paraId="630687FD">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1</w:t>
            </w:r>
          </w:p>
        </w:tc>
        <w:tc>
          <w:tcPr>
            <w:tcW w:w="1170" w:type="dxa"/>
            <w:tcBorders>
              <w:tl2br w:val="nil"/>
              <w:tr2bl w:val="nil"/>
            </w:tcBorders>
          </w:tcPr>
          <w:p w14:paraId="0E2DEAAA">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1</w:t>
            </w:r>
          </w:p>
        </w:tc>
        <w:tc>
          <w:tcPr>
            <w:tcW w:w="1207" w:type="dxa"/>
            <w:tcBorders>
              <w:tl2br w:val="nil"/>
              <w:tr2bl w:val="nil"/>
            </w:tcBorders>
            <w:vAlign w:val="center"/>
          </w:tcPr>
          <w:p w14:paraId="2E06F725">
            <w:pPr>
              <w:pStyle w:val="34"/>
              <w:tabs>
                <w:tab w:val="left" w:pos="1389"/>
              </w:tabs>
              <w:bidi w:val="0"/>
              <w:rPr>
                <w:rFonts w:hint="eastAsia"/>
                <w:color w:val="auto"/>
              </w:rPr>
            </w:pPr>
            <w:r>
              <w:rPr>
                <w:rFonts w:hint="eastAsia"/>
                <w:color w:val="auto"/>
                <w:lang w:val="en-US" w:eastAsia="zh-CN"/>
              </w:rPr>
              <w:t>11.1%</w:t>
            </w:r>
          </w:p>
        </w:tc>
      </w:tr>
      <w:tr w14:paraId="2443EE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9" w:type="dxa"/>
            <w:gridSpan w:val="2"/>
            <w:vMerge w:val="continue"/>
            <w:tcBorders>
              <w:tl2br w:val="nil"/>
              <w:tr2bl w:val="nil"/>
            </w:tcBorders>
          </w:tcPr>
          <w:p w14:paraId="2359DFBE">
            <w:pPr>
              <w:pStyle w:val="34"/>
              <w:tabs>
                <w:tab w:val="left" w:pos="1389"/>
              </w:tabs>
              <w:bidi w:val="0"/>
              <w:rPr>
                <w:rFonts w:hint="eastAsia"/>
                <w:color w:val="auto"/>
                <w:vertAlign w:val="baseline"/>
              </w:rPr>
            </w:pPr>
          </w:p>
        </w:tc>
        <w:tc>
          <w:tcPr>
            <w:tcW w:w="2880" w:type="dxa"/>
            <w:tcBorders>
              <w:tl2br w:val="nil"/>
              <w:tr2bl w:val="nil"/>
            </w:tcBorders>
          </w:tcPr>
          <w:p w14:paraId="2C54225C">
            <w:pPr>
              <w:keepNext w:val="0"/>
              <w:keepLines w:val="0"/>
              <w:widowControl/>
              <w:suppressLineNumbers w:val="0"/>
              <w:jc w:val="left"/>
              <w:rPr>
                <w:rFonts w:hint="eastAsia"/>
                <w:color w:val="auto"/>
                <w:vertAlign w:val="baseline"/>
              </w:rPr>
            </w:pPr>
            <w:r>
              <w:rPr>
                <w:rFonts w:hint="eastAsia" w:ascii="宋体" w:hAnsi="宋体" w:eastAsia="宋体" w:cs="宋体"/>
                <w:color w:val="auto"/>
                <w:kern w:val="0"/>
                <w:sz w:val="20"/>
                <w:szCs w:val="20"/>
                <w:lang w:val="en-US" w:eastAsia="zh-CN" w:bidi="ar"/>
              </w:rPr>
              <w:t>猫科</w:t>
            </w:r>
            <w:r>
              <w:rPr>
                <w:rFonts w:hint="default" w:ascii="Times New Roman" w:hAnsi="Times New Roman" w:eastAsia="宋体" w:cs="Times New Roman"/>
                <w:color w:val="auto"/>
                <w:kern w:val="0"/>
                <w:sz w:val="20"/>
                <w:szCs w:val="20"/>
                <w:lang w:val="en-US" w:eastAsia="zh-CN" w:bidi="ar"/>
              </w:rPr>
              <w:t>Felidae</w:t>
            </w:r>
          </w:p>
        </w:tc>
        <w:tc>
          <w:tcPr>
            <w:tcW w:w="1320" w:type="dxa"/>
            <w:tcBorders>
              <w:tl2br w:val="nil"/>
              <w:tr2bl w:val="nil"/>
            </w:tcBorders>
          </w:tcPr>
          <w:p w14:paraId="6EFA02C7">
            <w:pPr>
              <w:pStyle w:val="34"/>
              <w:tabs>
                <w:tab w:val="left" w:pos="1389"/>
              </w:tabs>
              <w:bidi w:val="0"/>
              <w:rPr>
                <w:rFonts w:hint="default" w:eastAsia="宋体"/>
                <w:color w:val="auto"/>
                <w:vertAlign w:val="baseline"/>
                <w:lang w:val="en-US" w:eastAsia="zh-CN"/>
              </w:rPr>
            </w:pPr>
            <w:r>
              <w:rPr>
                <w:rFonts w:hint="eastAsia"/>
                <w:color w:val="auto"/>
                <w:vertAlign w:val="baseline"/>
                <w:lang w:val="en-US" w:eastAsia="zh-CN"/>
              </w:rPr>
              <w:t>1</w:t>
            </w:r>
          </w:p>
        </w:tc>
        <w:tc>
          <w:tcPr>
            <w:tcW w:w="1170" w:type="dxa"/>
            <w:tcBorders>
              <w:tl2br w:val="nil"/>
              <w:tr2bl w:val="nil"/>
            </w:tcBorders>
          </w:tcPr>
          <w:p w14:paraId="32890AA8">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1</w:t>
            </w:r>
          </w:p>
        </w:tc>
        <w:tc>
          <w:tcPr>
            <w:tcW w:w="1207" w:type="dxa"/>
            <w:tcBorders>
              <w:tl2br w:val="nil"/>
              <w:tr2bl w:val="nil"/>
            </w:tcBorders>
            <w:vAlign w:val="center"/>
          </w:tcPr>
          <w:p w14:paraId="57EB2087">
            <w:pPr>
              <w:pStyle w:val="34"/>
              <w:tabs>
                <w:tab w:val="left" w:pos="1389"/>
              </w:tabs>
              <w:bidi w:val="0"/>
              <w:rPr>
                <w:rFonts w:hint="eastAsia"/>
                <w:color w:val="auto"/>
              </w:rPr>
            </w:pPr>
            <w:r>
              <w:rPr>
                <w:rFonts w:hint="eastAsia"/>
                <w:color w:val="auto"/>
                <w:lang w:val="en-US" w:eastAsia="zh-CN"/>
              </w:rPr>
              <w:t>11.1%</w:t>
            </w:r>
          </w:p>
        </w:tc>
      </w:tr>
      <w:tr w14:paraId="7842D3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9" w:type="dxa"/>
            <w:gridSpan w:val="2"/>
            <w:tcBorders>
              <w:tl2br w:val="nil"/>
              <w:tr2bl w:val="nil"/>
            </w:tcBorders>
          </w:tcPr>
          <w:p w14:paraId="67731D7E">
            <w:pPr>
              <w:keepNext w:val="0"/>
              <w:keepLines w:val="0"/>
              <w:widowControl/>
              <w:suppressLineNumbers w:val="0"/>
              <w:jc w:val="left"/>
              <w:rPr>
                <w:rFonts w:hint="eastAsia"/>
                <w:color w:val="auto"/>
                <w:vertAlign w:val="baseline"/>
              </w:rPr>
            </w:pPr>
            <w:r>
              <w:rPr>
                <w:rFonts w:hint="eastAsia" w:ascii="宋体" w:hAnsi="宋体" w:eastAsia="宋体" w:cs="宋体"/>
                <w:color w:val="auto"/>
                <w:kern w:val="0"/>
                <w:sz w:val="20"/>
                <w:szCs w:val="20"/>
                <w:lang w:val="en-US" w:eastAsia="zh-CN" w:bidi="ar"/>
              </w:rPr>
              <w:t>兔形目</w:t>
            </w:r>
            <w:r>
              <w:rPr>
                <w:rFonts w:hint="default" w:ascii="Times New Roman" w:hAnsi="Times New Roman" w:eastAsia="宋体" w:cs="Times New Roman"/>
                <w:color w:val="auto"/>
                <w:kern w:val="0"/>
                <w:sz w:val="20"/>
                <w:szCs w:val="20"/>
                <w:lang w:val="en-US" w:eastAsia="zh-CN" w:bidi="ar"/>
              </w:rPr>
              <w:t>Lagomorpha</w:t>
            </w:r>
          </w:p>
        </w:tc>
        <w:tc>
          <w:tcPr>
            <w:tcW w:w="2880" w:type="dxa"/>
            <w:tcBorders>
              <w:tl2br w:val="nil"/>
              <w:tr2bl w:val="nil"/>
            </w:tcBorders>
          </w:tcPr>
          <w:p w14:paraId="3DF059AF">
            <w:pPr>
              <w:keepNext w:val="0"/>
              <w:keepLines w:val="0"/>
              <w:widowControl/>
              <w:suppressLineNumbers w:val="0"/>
              <w:jc w:val="left"/>
              <w:rPr>
                <w:rFonts w:hint="eastAsia"/>
                <w:color w:val="auto"/>
                <w:vertAlign w:val="baseline"/>
              </w:rPr>
            </w:pPr>
            <w:r>
              <w:rPr>
                <w:rFonts w:hint="eastAsia" w:ascii="宋体" w:hAnsi="宋体" w:eastAsia="宋体" w:cs="宋体"/>
                <w:color w:val="auto"/>
                <w:kern w:val="0"/>
                <w:sz w:val="20"/>
                <w:szCs w:val="20"/>
                <w:lang w:val="en-US" w:eastAsia="zh-CN" w:bidi="ar"/>
              </w:rPr>
              <w:t>兔科</w:t>
            </w:r>
            <w:r>
              <w:rPr>
                <w:rFonts w:hint="default" w:ascii="Times New Roman" w:hAnsi="Times New Roman" w:eastAsia="宋体" w:cs="Times New Roman"/>
                <w:color w:val="auto"/>
                <w:kern w:val="0"/>
                <w:sz w:val="20"/>
                <w:szCs w:val="20"/>
                <w:lang w:val="en-US" w:eastAsia="zh-CN" w:bidi="ar"/>
              </w:rPr>
              <w:t>Leporidae</w:t>
            </w:r>
          </w:p>
        </w:tc>
        <w:tc>
          <w:tcPr>
            <w:tcW w:w="1320" w:type="dxa"/>
            <w:tcBorders>
              <w:tl2br w:val="nil"/>
              <w:tr2bl w:val="nil"/>
            </w:tcBorders>
          </w:tcPr>
          <w:p w14:paraId="510933B7">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1</w:t>
            </w:r>
          </w:p>
        </w:tc>
        <w:tc>
          <w:tcPr>
            <w:tcW w:w="1170" w:type="dxa"/>
            <w:tcBorders>
              <w:tl2br w:val="nil"/>
              <w:tr2bl w:val="nil"/>
            </w:tcBorders>
          </w:tcPr>
          <w:p w14:paraId="169D8278">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1</w:t>
            </w:r>
          </w:p>
        </w:tc>
        <w:tc>
          <w:tcPr>
            <w:tcW w:w="1207" w:type="dxa"/>
            <w:tcBorders>
              <w:tl2br w:val="nil"/>
              <w:tr2bl w:val="nil"/>
            </w:tcBorders>
            <w:vAlign w:val="center"/>
          </w:tcPr>
          <w:p w14:paraId="2019315C">
            <w:pPr>
              <w:pStyle w:val="34"/>
              <w:tabs>
                <w:tab w:val="left" w:pos="1389"/>
              </w:tabs>
              <w:bidi w:val="0"/>
              <w:rPr>
                <w:rFonts w:hint="eastAsia"/>
                <w:color w:val="auto"/>
              </w:rPr>
            </w:pPr>
            <w:r>
              <w:rPr>
                <w:rFonts w:hint="eastAsia"/>
                <w:color w:val="auto"/>
                <w:lang w:val="en-US" w:eastAsia="zh-CN"/>
              </w:rPr>
              <w:t>11.1%</w:t>
            </w:r>
          </w:p>
        </w:tc>
      </w:tr>
      <w:tr w14:paraId="4ED497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9" w:type="dxa"/>
            <w:gridSpan w:val="2"/>
            <w:vMerge w:val="restart"/>
            <w:tcBorders>
              <w:tl2br w:val="nil"/>
              <w:tr2bl w:val="nil"/>
            </w:tcBorders>
          </w:tcPr>
          <w:p w14:paraId="0A5A43A2">
            <w:pPr>
              <w:keepNext w:val="0"/>
              <w:keepLines w:val="0"/>
              <w:widowControl/>
              <w:suppressLineNumbers w:val="0"/>
              <w:jc w:val="left"/>
              <w:rPr>
                <w:rFonts w:hint="eastAsia"/>
                <w:color w:val="auto"/>
                <w:vertAlign w:val="baseline"/>
              </w:rPr>
            </w:pPr>
            <w:r>
              <w:rPr>
                <w:rFonts w:hint="eastAsia" w:ascii="宋体" w:hAnsi="宋体" w:eastAsia="宋体" w:cs="宋体"/>
                <w:color w:val="auto"/>
                <w:kern w:val="0"/>
                <w:sz w:val="20"/>
                <w:szCs w:val="20"/>
                <w:lang w:val="en-US" w:eastAsia="zh-CN" w:bidi="ar"/>
              </w:rPr>
              <w:t>啮齿目</w:t>
            </w:r>
            <w:r>
              <w:rPr>
                <w:rFonts w:hint="default" w:ascii="Times New Roman" w:hAnsi="Times New Roman" w:eastAsia="宋体" w:cs="Times New Roman"/>
                <w:color w:val="auto"/>
                <w:kern w:val="0"/>
                <w:sz w:val="20"/>
                <w:szCs w:val="20"/>
                <w:lang w:val="en-US" w:eastAsia="zh-CN" w:bidi="ar"/>
              </w:rPr>
              <w:t>Rodentia</w:t>
            </w:r>
          </w:p>
        </w:tc>
        <w:tc>
          <w:tcPr>
            <w:tcW w:w="2880" w:type="dxa"/>
            <w:tcBorders>
              <w:tl2br w:val="nil"/>
              <w:tr2bl w:val="nil"/>
            </w:tcBorders>
          </w:tcPr>
          <w:p w14:paraId="6585B800">
            <w:pPr>
              <w:keepNext w:val="0"/>
              <w:keepLines w:val="0"/>
              <w:widowControl/>
              <w:suppressLineNumbers w:val="0"/>
              <w:jc w:val="left"/>
              <w:rPr>
                <w:rFonts w:hint="eastAsia"/>
                <w:color w:val="auto"/>
                <w:vertAlign w:val="baseline"/>
              </w:rPr>
            </w:pPr>
            <w:r>
              <w:rPr>
                <w:rFonts w:hint="eastAsia" w:ascii="宋体" w:hAnsi="宋体" w:eastAsia="宋体" w:cs="宋体"/>
                <w:color w:val="auto"/>
                <w:kern w:val="0"/>
                <w:sz w:val="20"/>
                <w:szCs w:val="20"/>
                <w:lang w:val="en-US" w:eastAsia="zh-CN" w:bidi="ar"/>
              </w:rPr>
              <w:t>松鼠科</w:t>
            </w:r>
            <w:r>
              <w:rPr>
                <w:rFonts w:hint="default" w:ascii="Times New Roman" w:hAnsi="Times New Roman" w:eastAsia="宋体" w:cs="Times New Roman"/>
                <w:color w:val="auto"/>
                <w:kern w:val="0"/>
                <w:sz w:val="20"/>
                <w:szCs w:val="20"/>
                <w:lang w:val="en-US" w:eastAsia="zh-CN" w:bidi="ar"/>
              </w:rPr>
              <w:t>Sciuridae</w:t>
            </w:r>
          </w:p>
        </w:tc>
        <w:tc>
          <w:tcPr>
            <w:tcW w:w="1320" w:type="dxa"/>
            <w:tcBorders>
              <w:tl2br w:val="nil"/>
              <w:tr2bl w:val="nil"/>
            </w:tcBorders>
          </w:tcPr>
          <w:p w14:paraId="19742106">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2</w:t>
            </w:r>
          </w:p>
        </w:tc>
        <w:tc>
          <w:tcPr>
            <w:tcW w:w="1170" w:type="dxa"/>
            <w:tcBorders>
              <w:tl2br w:val="nil"/>
              <w:tr2bl w:val="nil"/>
            </w:tcBorders>
          </w:tcPr>
          <w:p w14:paraId="6CFC53B2">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2</w:t>
            </w:r>
          </w:p>
        </w:tc>
        <w:tc>
          <w:tcPr>
            <w:tcW w:w="1207" w:type="dxa"/>
            <w:tcBorders>
              <w:tl2br w:val="nil"/>
              <w:tr2bl w:val="nil"/>
            </w:tcBorders>
            <w:vAlign w:val="center"/>
          </w:tcPr>
          <w:p w14:paraId="4A2DC19F">
            <w:pPr>
              <w:pStyle w:val="34"/>
              <w:tabs>
                <w:tab w:val="left" w:pos="1389"/>
              </w:tabs>
              <w:bidi w:val="0"/>
              <w:rPr>
                <w:rFonts w:hint="default"/>
                <w:color w:val="auto"/>
                <w:lang w:val="en-US" w:eastAsia="zh-CN"/>
              </w:rPr>
            </w:pPr>
            <w:r>
              <w:rPr>
                <w:rFonts w:hint="eastAsia"/>
                <w:color w:val="auto"/>
                <w:lang w:val="en-US" w:eastAsia="zh-CN"/>
              </w:rPr>
              <w:t>22.2%</w:t>
            </w:r>
          </w:p>
        </w:tc>
      </w:tr>
      <w:tr w14:paraId="3F01B8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9" w:type="dxa"/>
            <w:gridSpan w:val="2"/>
            <w:vMerge w:val="continue"/>
            <w:tcBorders>
              <w:tl2br w:val="nil"/>
              <w:tr2bl w:val="nil"/>
            </w:tcBorders>
          </w:tcPr>
          <w:p w14:paraId="255C9E6A">
            <w:pPr>
              <w:pStyle w:val="34"/>
              <w:tabs>
                <w:tab w:val="left" w:pos="1389"/>
              </w:tabs>
              <w:bidi w:val="0"/>
              <w:rPr>
                <w:rFonts w:hint="eastAsia"/>
                <w:color w:val="auto"/>
                <w:vertAlign w:val="baseline"/>
              </w:rPr>
            </w:pPr>
          </w:p>
        </w:tc>
        <w:tc>
          <w:tcPr>
            <w:tcW w:w="2880" w:type="dxa"/>
            <w:tcBorders>
              <w:tl2br w:val="nil"/>
              <w:tr2bl w:val="nil"/>
            </w:tcBorders>
          </w:tcPr>
          <w:p w14:paraId="659DF55E">
            <w:pPr>
              <w:keepNext w:val="0"/>
              <w:keepLines w:val="0"/>
              <w:widowControl/>
              <w:suppressLineNumbers w:val="0"/>
              <w:jc w:val="left"/>
              <w:rPr>
                <w:rFonts w:hint="eastAsia"/>
                <w:color w:val="auto"/>
                <w:vertAlign w:val="baseline"/>
              </w:rPr>
            </w:pPr>
            <w:r>
              <w:rPr>
                <w:rFonts w:hint="eastAsia" w:ascii="宋体" w:hAnsi="宋体" w:eastAsia="宋体" w:cs="宋体"/>
                <w:color w:val="auto"/>
                <w:kern w:val="0"/>
                <w:sz w:val="20"/>
                <w:szCs w:val="20"/>
                <w:lang w:val="en-US" w:eastAsia="zh-CN" w:bidi="ar"/>
              </w:rPr>
              <w:t>鼠科</w:t>
            </w:r>
            <w:r>
              <w:rPr>
                <w:rFonts w:hint="default" w:ascii="Times New Roman" w:hAnsi="Times New Roman" w:eastAsia="宋体" w:cs="Times New Roman"/>
                <w:color w:val="auto"/>
                <w:kern w:val="0"/>
                <w:sz w:val="20"/>
                <w:szCs w:val="20"/>
                <w:lang w:val="en-US" w:eastAsia="zh-CN" w:bidi="ar"/>
              </w:rPr>
              <w:t>Cricetidae</w:t>
            </w:r>
          </w:p>
        </w:tc>
        <w:tc>
          <w:tcPr>
            <w:tcW w:w="1320" w:type="dxa"/>
            <w:tcBorders>
              <w:tl2br w:val="nil"/>
              <w:tr2bl w:val="nil"/>
            </w:tcBorders>
          </w:tcPr>
          <w:p w14:paraId="420DBADF">
            <w:pPr>
              <w:pStyle w:val="34"/>
              <w:tabs>
                <w:tab w:val="left" w:pos="1389"/>
              </w:tabs>
              <w:bidi w:val="0"/>
              <w:rPr>
                <w:rFonts w:hint="default" w:eastAsia="宋体"/>
                <w:color w:val="auto"/>
                <w:vertAlign w:val="baseline"/>
                <w:lang w:val="en-US" w:eastAsia="zh-CN"/>
              </w:rPr>
            </w:pPr>
            <w:r>
              <w:rPr>
                <w:rFonts w:hint="eastAsia"/>
                <w:color w:val="auto"/>
                <w:vertAlign w:val="baseline"/>
                <w:lang w:val="en-US" w:eastAsia="zh-CN"/>
              </w:rPr>
              <w:t>3</w:t>
            </w:r>
          </w:p>
        </w:tc>
        <w:tc>
          <w:tcPr>
            <w:tcW w:w="1170" w:type="dxa"/>
            <w:tcBorders>
              <w:tl2br w:val="nil"/>
              <w:tr2bl w:val="nil"/>
            </w:tcBorders>
          </w:tcPr>
          <w:p w14:paraId="1086DD1E">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3</w:t>
            </w:r>
          </w:p>
        </w:tc>
        <w:tc>
          <w:tcPr>
            <w:tcW w:w="1207" w:type="dxa"/>
            <w:tcBorders>
              <w:tl2br w:val="nil"/>
              <w:tr2bl w:val="nil"/>
            </w:tcBorders>
            <w:vAlign w:val="center"/>
          </w:tcPr>
          <w:p w14:paraId="4A411E65">
            <w:pPr>
              <w:pStyle w:val="34"/>
              <w:tabs>
                <w:tab w:val="left" w:pos="1389"/>
              </w:tabs>
              <w:bidi w:val="0"/>
              <w:rPr>
                <w:rFonts w:hint="default" w:eastAsia="宋体"/>
                <w:color w:val="auto"/>
                <w:lang w:val="en-US" w:eastAsia="zh-CN"/>
              </w:rPr>
            </w:pPr>
            <w:r>
              <w:rPr>
                <w:rFonts w:hint="eastAsia"/>
                <w:color w:val="auto"/>
                <w:lang w:val="en-US" w:eastAsia="zh-CN"/>
              </w:rPr>
              <w:t>33.4%</w:t>
            </w:r>
          </w:p>
        </w:tc>
      </w:tr>
      <w:tr w14:paraId="2498D2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184" w:type="dxa"/>
            <w:tcBorders>
              <w:tl2br w:val="nil"/>
              <w:tr2bl w:val="nil"/>
            </w:tcBorders>
          </w:tcPr>
          <w:p w14:paraId="66091929">
            <w:pPr>
              <w:pStyle w:val="34"/>
              <w:tabs>
                <w:tab w:val="left" w:pos="1389"/>
              </w:tabs>
              <w:bidi w:val="0"/>
              <w:rPr>
                <w:rFonts w:hint="eastAsia" w:eastAsia="宋体"/>
                <w:color w:val="auto"/>
                <w:vertAlign w:val="baseline"/>
                <w:lang w:val="en-US" w:eastAsia="zh-CN"/>
              </w:rPr>
            </w:pPr>
            <w:r>
              <w:rPr>
                <w:rFonts w:hint="eastAsia"/>
                <w:color w:val="auto"/>
                <w:vertAlign w:val="baseline"/>
                <w:lang w:val="en-US" w:eastAsia="zh-CN"/>
              </w:rPr>
              <w:t>合计</w:t>
            </w:r>
          </w:p>
        </w:tc>
        <w:tc>
          <w:tcPr>
            <w:tcW w:w="1185" w:type="dxa"/>
            <w:tcBorders>
              <w:tl2br w:val="nil"/>
              <w:tr2bl w:val="nil"/>
            </w:tcBorders>
          </w:tcPr>
          <w:p w14:paraId="40168499">
            <w:pPr>
              <w:pStyle w:val="34"/>
              <w:tabs>
                <w:tab w:val="left" w:pos="1389"/>
              </w:tabs>
              <w:bidi w:val="0"/>
              <w:rPr>
                <w:rFonts w:hint="default"/>
                <w:color w:val="auto"/>
                <w:vertAlign w:val="baseline"/>
                <w:lang w:val="en-US" w:eastAsia="zh-CN"/>
              </w:rPr>
            </w:pPr>
            <w:r>
              <w:rPr>
                <w:rFonts w:hint="eastAsia"/>
                <w:color w:val="auto"/>
                <w:vertAlign w:val="baseline"/>
                <w:lang w:val="en-US" w:eastAsia="zh-CN"/>
              </w:rPr>
              <w:t>4</w:t>
            </w:r>
          </w:p>
        </w:tc>
        <w:tc>
          <w:tcPr>
            <w:tcW w:w="2880" w:type="dxa"/>
            <w:tcBorders>
              <w:tl2br w:val="nil"/>
              <w:tr2bl w:val="nil"/>
            </w:tcBorders>
          </w:tcPr>
          <w:p w14:paraId="7307FF00">
            <w:pPr>
              <w:pStyle w:val="34"/>
              <w:tabs>
                <w:tab w:val="left" w:pos="1389"/>
              </w:tabs>
              <w:bidi w:val="0"/>
              <w:rPr>
                <w:rFonts w:hint="default" w:eastAsia="宋体"/>
                <w:color w:val="auto"/>
                <w:vertAlign w:val="baseline"/>
                <w:lang w:val="en-US" w:eastAsia="zh-CN"/>
              </w:rPr>
            </w:pPr>
            <w:r>
              <w:rPr>
                <w:rFonts w:hint="eastAsia"/>
                <w:color w:val="auto"/>
                <w:vertAlign w:val="baseline"/>
                <w:lang w:val="en-US" w:eastAsia="zh-CN"/>
              </w:rPr>
              <w:t>6</w:t>
            </w:r>
          </w:p>
        </w:tc>
        <w:tc>
          <w:tcPr>
            <w:tcW w:w="1320" w:type="dxa"/>
            <w:tcBorders>
              <w:tl2br w:val="nil"/>
              <w:tr2bl w:val="nil"/>
            </w:tcBorders>
          </w:tcPr>
          <w:p w14:paraId="69F58FE9">
            <w:pPr>
              <w:pStyle w:val="34"/>
              <w:tabs>
                <w:tab w:val="left" w:pos="1389"/>
              </w:tabs>
              <w:bidi w:val="0"/>
              <w:rPr>
                <w:rFonts w:hint="default" w:eastAsia="宋体"/>
                <w:color w:val="auto"/>
                <w:vertAlign w:val="baseline"/>
                <w:lang w:val="en-US" w:eastAsia="zh-CN"/>
              </w:rPr>
            </w:pPr>
            <w:r>
              <w:rPr>
                <w:rFonts w:hint="eastAsia"/>
                <w:color w:val="auto"/>
                <w:vertAlign w:val="baseline"/>
                <w:lang w:val="en-US" w:eastAsia="zh-CN"/>
              </w:rPr>
              <w:t>9</w:t>
            </w:r>
          </w:p>
        </w:tc>
        <w:tc>
          <w:tcPr>
            <w:tcW w:w="1170" w:type="dxa"/>
            <w:tcBorders>
              <w:tl2br w:val="nil"/>
              <w:tr2bl w:val="nil"/>
            </w:tcBorders>
          </w:tcPr>
          <w:p w14:paraId="3EBA949F">
            <w:pPr>
              <w:pStyle w:val="34"/>
              <w:tabs>
                <w:tab w:val="left" w:pos="1389"/>
              </w:tabs>
              <w:bidi w:val="0"/>
              <w:rPr>
                <w:rFonts w:hint="default" w:eastAsia="宋体"/>
                <w:color w:val="auto"/>
                <w:vertAlign w:val="baseline"/>
                <w:lang w:val="en-US" w:eastAsia="zh-CN"/>
              </w:rPr>
            </w:pPr>
            <w:r>
              <w:rPr>
                <w:rFonts w:hint="eastAsia"/>
                <w:color w:val="auto"/>
                <w:vertAlign w:val="baseline"/>
                <w:lang w:val="en-US" w:eastAsia="zh-CN"/>
              </w:rPr>
              <w:t>9</w:t>
            </w:r>
          </w:p>
        </w:tc>
        <w:tc>
          <w:tcPr>
            <w:tcW w:w="1207" w:type="dxa"/>
            <w:tcBorders>
              <w:tl2br w:val="nil"/>
              <w:tr2bl w:val="nil"/>
            </w:tcBorders>
          </w:tcPr>
          <w:p w14:paraId="0672520E">
            <w:pPr>
              <w:pStyle w:val="34"/>
              <w:tabs>
                <w:tab w:val="left" w:pos="1389"/>
              </w:tabs>
              <w:bidi w:val="0"/>
              <w:rPr>
                <w:rFonts w:hint="default" w:eastAsia="宋体"/>
                <w:color w:val="auto"/>
                <w:vertAlign w:val="baseline"/>
                <w:lang w:val="en-US" w:eastAsia="zh-CN"/>
              </w:rPr>
            </w:pPr>
            <w:r>
              <w:rPr>
                <w:rFonts w:hint="eastAsia"/>
                <w:color w:val="auto"/>
                <w:vertAlign w:val="baseline"/>
                <w:lang w:val="en-US" w:eastAsia="zh-CN"/>
              </w:rPr>
              <w:t>100%</w:t>
            </w:r>
          </w:p>
        </w:tc>
      </w:tr>
    </w:tbl>
    <w:p w14:paraId="07B7870B">
      <w:pPr>
        <w:pStyle w:val="34"/>
        <w:tabs>
          <w:tab w:val="left" w:pos="1389"/>
        </w:tabs>
        <w:bidi w:val="0"/>
        <w:rPr>
          <w:rFonts w:hint="eastAsia"/>
          <w:color w:val="auto"/>
        </w:rPr>
      </w:pPr>
    </w:p>
    <w:p w14:paraId="6767CD36">
      <w:pPr>
        <w:pStyle w:val="41"/>
        <w:bidi w:val="0"/>
        <w:rPr>
          <w:color w:val="auto"/>
        </w:rPr>
      </w:pPr>
      <w:r>
        <w:rPr>
          <w:color w:val="auto"/>
        </w:rPr>
        <w:t>（2）区系特征</w:t>
      </w:r>
    </w:p>
    <w:p w14:paraId="276A6550">
      <w:pPr>
        <w:pStyle w:val="41"/>
        <w:bidi w:val="0"/>
        <w:rPr>
          <w:color w:val="auto"/>
        </w:rPr>
      </w:pPr>
      <w:r>
        <w:rPr>
          <w:rFonts w:hint="eastAsia"/>
          <w:color w:val="auto"/>
        </w:rPr>
        <w:t>在调查区记录的</w:t>
      </w:r>
      <w:r>
        <w:rPr>
          <w:rFonts w:hint="eastAsia"/>
          <w:color w:val="auto"/>
          <w:lang w:val="en-US" w:eastAsia="zh-CN"/>
        </w:rPr>
        <w:t>9</w:t>
      </w:r>
      <w:r>
        <w:rPr>
          <w:rFonts w:hint="eastAsia"/>
          <w:color w:val="auto"/>
        </w:rPr>
        <w:t>种哺乳动物中，从区系组成上看，东洋古北两</w:t>
      </w:r>
      <w:r>
        <w:rPr>
          <w:rFonts w:hint="eastAsia"/>
          <w:color w:val="auto"/>
          <w:lang w:eastAsia="zh-CN"/>
        </w:rPr>
        <w:t>界</w:t>
      </w:r>
      <w:r>
        <w:rPr>
          <w:rFonts w:hint="eastAsia"/>
          <w:color w:val="auto"/>
        </w:rPr>
        <w:t>广布种有</w:t>
      </w:r>
      <w:r>
        <w:rPr>
          <w:rFonts w:hint="eastAsia"/>
          <w:color w:val="auto"/>
          <w:lang w:val="en-US" w:eastAsia="zh-CN"/>
        </w:rPr>
        <w:t>4</w:t>
      </w:r>
      <w:r>
        <w:rPr>
          <w:rFonts w:hint="eastAsia"/>
          <w:color w:val="auto"/>
        </w:rPr>
        <w:t>种，占总种数的</w:t>
      </w:r>
      <w:r>
        <w:rPr>
          <w:rFonts w:hint="eastAsia"/>
          <w:color w:val="auto"/>
          <w:lang w:val="en-US" w:eastAsia="zh-CN"/>
        </w:rPr>
        <w:t>44.4</w:t>
      </w:r>
      <w:r>
        <w:rPr>
          <w:rFonts w:hint="eastAsia"/>
          <w:color w:val="auto"/>
        </w:rPr>
        <w:t>%；东洋界广布</w:t>
      </w:r>
      <w:r>
        <w:rPr>
          <w:rFonts w:hint="eastAsia"/>
          <w:color w:val="auto"/>
          <w:lang w:val="en-US" w:eastAsia="zh-CN"/>
        </w:rPr>
        <w:t>5</w:t>
      </w:r>
      <w:r>
        <w:rPr>
          <w:rFonts w:hint="eastAsia"/>
          <w:color w:val="auto"/>
        </w:rPr>
        <w:t>种，占</w:t>
      </w:r>
      <w:r>
        <w:rPr>
          <w:rFonts w:hint="eastAsia"/>
          <w:color w:val="auto"/>
          <w:lang w:val="en-US" w:eastAsia="zh-CN"/>
        </w:rPr>
        <w:t>55.6</w:t>
      </w:r>
      <w:r>
        <w:rPr>
          <w:rFonts w:hint="eastAsia"/>
          <w:color w:val="auto"/>
        </w:rPr>
        <w:t>%。</w:t>
      </w:r>
    </w:p>
    <w:p w14:paraId="7A97356C">
      <w:pPr>
        <w:pStyle w:val="41"/>
        <w:bidi w:val="0"/>
        <w:rPr>
          <w:color w:val="auto"/>
        </w:rPr>
      </w:pPr>
      <w:r>
        <w:rPr>
          <w:color w:val="auto"/>
        </w:rPr>
        <w:t>（3）珍稀保护物种与特有种</w:t>
      </w:r>
    </w:p>
    <w:p w14:paraId="2790F5A1">
      <w:pPr>
        <w:pStyle w:val="41"/>
        <w:bidi w:val="0"/>
        <w:rPr>
          <w:color w:val="auto"/>
        </w:rPr>
      </w:pPr>
      <w:r>
        <w:rPr>
          <w:color w:val="auto"/>
        </w:rPr>
        <w:fldChar w:fldCharType="begin"/>
      </w:r>
      <w:r>
        <w:rPr>
          <w:color w:val="auto"/>
        </w:rPr>
        <w:instrText xml:space="preserve"> = 1 \* GB3 </w:instrText>
      </w:r>
      <w:r>
        <w:rPr>
          <w:color w:val="auto"/>
        </w:rPr>
        <w:fldChar w:fldCharType="separate"/>
      </w:r>
      <w:r>
        <w:rPr>
          <w:color w:val="auto"/>
        </w:rPr>
        <w:t>①</w:t>
      </w:r>
      <w:r>
        <w:rPr>
          <w:color w:val="auto"/>
        </w:rPr>
        <w:fldChar w:fldCharType="end"/>
      </w:r>
      <w:r>
        <w:rPr>
          <w:color w:val="auto"/>
        </w:rPr>
        <w:t>国家级保护物种</w:t>
      </w:r>
    </w:p>
    <w:p w14:paraId="53D1F8E8">
      <w:pPr>
        <w:pStyle w:val="41"/>
        <w:bidi w:val="0"/>
        <w:rPr>
          <w:color w:val="auto"/>
        </w:rPr>
      </w:pPr>
      <w:r>
        <w:rPr>
          <w:rFonts w:hint="eastAsia"/>
          <w:color w:val="auto"/>
        </w:rPr>
        <w:t>根据《国家重点保护野生动物名录》（2021年）和《云南省省级重点保护野生动物名录》（1988年），</w:t>
      </w:r>
      <w:r>
        <w:rPr>
          <w:rFonts w:hint="eastAsia"/>
          <w:color w:val="auto"/>
          <w:lang w:val="en-US" w:eastAsia="zh-CN"/>
        </w:rPr>
        <w:t>通过走访调查，</w:t>
      </w:r>
      <w:r>
        <w:rPr>
          <w:rFonts w:hint="eastAsia"/>
          <w:color w:val="auto"/>
        </w:rPr>
        <w:t>调查区记录到国家二级保护动物1种，豹猫</w:t>
      </w:r>
      <w:r>
        <w:rPr>
          <w:rFonts w:hint="eastAsia"/>
          <w:i/>
          <w:iCs/>
          <w:color w:val="auto"/>
        </w:rPr>
        <w:t>Prionailurusbengalensis</w:t>
      </w:r>
      <w:r>
        <w:rPr>
          <w:rFonts w:hint="eastAsia"/>
          <w:color w:val="auto"/>
        </w:rPr>
        <w:t>。</w:t>
      </w:r>
    </w:p>
    <w:p w14:paraId="3BEF1ADB">
      <w:pPr>
        <w:pStyle w:val="41"/>
        <w:bidi w:val="0"/>
        <w:rPr>
          <w:color w:val="auto"/>
        </w:rPr>
      </w:pPr>
      <w:r>
        <w:rPr>
          <w:color w:val="auto"/>
        </w:rPr>
        <w:fldChar w:fldCharType="begin"/>
      </w:r>
      <w:r>
        <w:rPr>
          <w:color w:val="auto"/>
        </w:rPr>
        <w:instrText xml:space="preserve"> = 2 \* GB3 </w:instrText>
      </w:r>
      <w:r>
        <w:rPr>
          <w:color w:val="auto"/>
        </w:rPr>
        <w:fldChar w:fldCharType="separate"/>
      </w:r>
      <w:r>
        <w:rPr>
          <w:color w:val="auto"/>
        </w:rPr>
        <w:t>②</w:t>
      </w:r>
      <w:r>
        <w:rPr>
          <w:color w:val="auto"/>
        </w:rPr>
        <w:fldChar w:fldCharType="end"/>
      </w:r>
      <w:r>
        <w:rPr>
          <w:color w:val="auto"/>
        </w:rPr>
        <w:t>省级保护物种</w:t>
      </w:r>
    </w:p>
    <w:p w14:paraId="0706E250">
      <w:pPr>
        <w:pStyle w:val="41"/>
        <w:bidi w:val="0"/>
        <w:rPr>
          <w:color w:val="auto"/>
        </w:rPr>
      </w:pPr>
      <w:r>
        <w:rPr>
          <w:color w:val="auto"/>
        </w:rPr>
        <w:t>评价区内没有记录到云南省级重点保护动物。</w:t>
      </w:r>
    </w:p>
    <w:p w14:paraId="55ABA660">
      <w:pPr>
        <w:pStyle w:val="41"/>
        <w:bidi w:val="0"/>
        <w:rPr>
          <w:color w:val="auto"/>
        </w:rPr>
      </w:pPr>
      <w:r>
        <w:rPr>
          <w:color w:val="auto"/>
        </w:rPr>
        <w:fldChar w:fldCharType="begin"/>
      </w:r>
      <w:r>
        <w:rPr>
          <w:color w:val="auto"/>
        </w:rPr>
        <w:instrText xml:space="preserve"> = 3 \* GB3 </w:instrText>
      </w:r>
      <w:r>
        <w:rPr>
          <w:color w:val="auto"/>
        </w:rPr>
        <w:fldChar w:fldCharType="separate"/>
      </w:r>
      <w:r>
        <w:rPr>
          <w:color w:val="auto"/>
        </w:rPr>
        <w:t>③</w:t>
      </w:r>
      <w:r>
        <w:rPr>
          <w:color w:val="auto"/>
        </w:rPr>
        <w:fldChar w:fldCharType="end"/>
      </w:r>
      <w:r>
        <w:rPr>
          <w:rFonts w:hint="eastAsia"/>
          <w:color w:val="auto"/>
        </w:rPr>
        <w:t>《</w:t>
      </w:r>
      <w:r>
        <w:rPr>
          <w:rFonts w:hint="eastAsia"/>
          <w:color w:val="auto"/>
          <w:lang w:val="en-US" w:eastAsia="zh-CN"/>
        </w:rPr>
        <w:t>中国生物多样性红色名录</w:t>
      </w:r>
      <w:r>
        <w:rPr>
          <w:rFonts w:hint="eastAsia"/>
          <w:color w:val="auto"/>
        </w:rPr>
        <w:t>》</w:t>
      </w:r>
      <w:r>
        <w:rPr>
          <w:color w:val="auto"/>
        </w:rPr>
        <w:t>保护物种</w:t>
      </w:r>
    </w:p>
    <w:p w14:paraId="3CB8888B">
      <w:pPr>
        <w:pStyle w:val="41"/>
        <w:bidi w:val="0"/>
        <w:rPr>
          <w:color w:val="auto"/>
        </w:rPr>
      </w:pPr>
      <w:r>
        <w:rPr>
          <w:color w:val="auto"/>
        </w:rPr>
        <w:t>评价区内</w:t>
      </w:r>
      <w:r>
        <w:rPr>
          <w:rFonts w:hint="eastAsia"/>
          <w:color w:val="auto"/>
        </w:rPr>
        <w:t>记录到</w:t>
      </w:r>
      <w:r>
        <w:rPr>
          <w:rFonts w:hint="eastAsia"/>
          <w:color w:val="auto"/>
          <w:lang w:val="en-US" w:eastAsia="zh-CN"/>
        </w:rPr>
        <w:t>《中国生物多样性红色名录——脊椎动物卷2020》</w:t>
      </w:r>
      <w:r>
        <w:rPr>
          <w:rFonts w:hint="eastAsia"/>
          <w:color w:val="auto"/>
        </w:rPr>
        <w:t>受胁物种</w:t>
      </w:r>
      <w:r>
        <w:rPr>
          <w:rFonts w:hint="eastAsia"/>
          <w:color w:val="auto"/>
          <w:lang w:val="en-US" w:eastAsia="zh-CN"/>
        </w:rPr>
        <w:t>1</w:t>
      </w:r>
      <w:r>
        <w:rPr>
          <w:rFonts w:hint="eastAsia"/>
          <w:color w:val="auto"/>
        </w:rPr>
        <w:t>种，豹猫</w:t>
      </w:r>
      <w:r>
        <w:rPr>
          <w:rFonts w:hint="eastAsia"/>
          <w:i/>
          <w:iCs/>
          <w:color w:val="auto"/>
        </w:rPr>
        <w:t>Prionailurusbengalensis</w:t>
      </w:r>
      <w:r>
        <w:rPr>
          <w:rFonts w:hint="eastAsia"/>
          <w:color w:val="auto"/>
          <w:lang w:eastAsia="zh-CN"/>
        </w:rPr>
        <w:t>。</w:t>
      </w:r>
    </w:p>
    <w:p w14:paraId="02EB410E">
      <w:pPr>
        <w:pStyle w:val="41"/>
        <w:bidi w:val="0"/>
        <w:rPr>
          <w:color w:val="auto"/>
        </w:rPr>
      </w:pPr>
      <w:r>
        <w:rPr>
          <w:color w:val="auto"/>
        </w:rPr>
        <w:fldChar w:fldCharType="begin"/>
      </w:r>
      <w:r>
        <w:rPr>
          <w:color w:val="auto"/>
        </w:rPr>
        <w:instrText xml:space="preserve"> = 4 \* GB3 </w:instrText>
      </w:r>
      <w:r>
        <w:rPr>
          <w:color w:val="auto"/>
        </w:rPr>
        <w:fldChar w:fldCharType="separate"/>
      </w:r>
      <w:r>
        <w:rPr>
          <w:color w:val="auto"/>
        </w:rPr>
        <w:t>④</w:t>
      </w:r>
      <w:r>
        <w:rPr>
          <w:color w:val="auto"/>
        </w:rPr>
        <w:fldChar w:fldCharType="end"/>
      </w:r>
      <w:r>
        <w:rPr>
          <w:color w:val="auto"/>
        </w:rPr>
        <w:t>特有物种</w:t>
      </w:r>
    </w:p>
    <w:p w14:paraId="54D71D41">
      <w:pPr>
        <w:pStyle w:val="41"/>
        <w:bidi w:val="0"/>
        <w:rPr>
          <w:color w:val="auto"/>
        </w:rPr>
      </w:pPr>
      <w:r>
        <w:rPr>
          <w:color w:val="auto"/>
        </w:rPr>
        <w:t>记录到中国特有物种侧纹岩松鼠。</w:t>
      </w:r>
    </w:p>
    <w:p w14:paraId="60D1087B">
      <w:pPr>
        <w:pStyle w:val="41"/>
        <w:bidi w:val="0"/>
        <w:rPr>
          <w:color w:val="auto"/>
        </w:rPr>
      </w:pPr>
      <w:r>
        <w:rPr>
          <w:color w:val="auto"/>
        </w:rPr>
        <w:t>●侧纹岩松鼠Sciurotamiasforresti</w:t>
      </w:r>
    </w:p>
    <w:p w14:paraId="39F335AE">
      <w:pPr>
        <w:pStyle w:val="41"/>
        <w:bidi w:val="0"/>
        <w:rPr>
          <w:rFonts w:hint="eastAsia"/>
          <w:color w:val="auto"/>
          <w:lang w:val="en-US" w:eastAsia="zh-CN"/>
        </w:rPr>
      </w:pPr>
      <w:r>
        <w:rPr>
          <w:color w:val="auto"/>
        </w:rPr>
        <w:t>侧纹岩松鼠主要栖于山区树林、丘陵、岩石多的地方。白昼活动，营地栖生活，善于攀爬树木，行动敏捷，筑巢于岩缝中。以坚果及</w:t>
      </w:r>
      <w:r>
        <w:rPr>
          <w:rFonts w:hint="eastAsia"/>
          <w:color w:val="auto"/>
          <w:lang w:eastAsia="zh-CN"/>
        </w:rPr>
        <w:t>种子</w:t>
      </w:r>
      <w:r>
        <w:rPr>
          <w:color w:val="auto"/>
        </w:rPr>
        <w:t>为食。侧纹岩松鼠在评价区活动于云南松林、常绿阔叶林和石灰岩灌丛中，取食松子和其他坚果，数量较多，属常见种。</w:t>
      </w:r>
    </w:p>
    <w:p w14:paraId="1DEAE59D">
      <w:pPr>
        <w:pStyle w:val="4"/>
        <w:bidi w:val="0"/>
        <w:rPr>
          <w:rFonts w:hint="eastAsia"/>
          <w:color w:val="auto"/>
          <w:lang w:val="en-US" w:eastAsia="zh-CN"/>
        </w:rPr>
      </w:pPr>
      <w:r>
        <w:rPr>
          <w:rFonts w:hint="eastAsia"/>
          <w:color w:val="auto"/>
          <w:lang w:val="en-US" w:eastAsia="zh-CN"/>
        </w:rPr>
        <w:t>2.3.7鸟类</w:t>
      </w:r>
    </w:p>
    <w:p w14:paraId="6E12C0EF">
      <w:pPr>
        <w:pStyle w:val="41"/>
        <w:bidi w:val="0"/>
        <w:rPr>
          <w:color w:val="auto"/>
        </w:rPr>
      </w:pPr>
      <w:r>
        <w:rPr>
          <w:color w:val="auto"/>
        </w:rPr>
        <w:t>（1）鸟类组成</w:t>
      </w:r>
    </w:p>
    <w:p w14:paraId="260CFC9C">
      <w:pPr>
        <w:pStyle w:val="41"/>
        <w:bidi w:val="0"/>
        <w:rPr>
          <w:rFonts w:hint="eastAsia"/>
          <w:color w:val="auto"/>
        </w:rPr>
      </w:pPr>
      <w:r>
        <w:rPr>
          <w:rFonts w:hint="eastAsia" w:cs="Times New Roman"/>
          <w:color w:val="auto"/>
        </w:rPr>
        <w:t>依据调查结果，按照《中国鸟类分类与分布名录（第四版）》（郑光美等，2023）进行鸟类多样性编目。本次</w:t>
      </w:r>
      <w:r>
        <w:rPr>
          <w:rFonts w:cs="Times New Roman"/>
          <w:color w:val="auto"/>
        </w:rPr>
        <w:t>调查</w:t>
      </w:r>
      <w:r>
        <w:rPr>
          <w:rFonts w:hint="eastAsia" w:cs="Times New Roman"/>
          <w:color w:val="auto"/>
        </w:rPr>
        <w:t>记录加上文献记载和访问调查，项目评价区</w:t>
      </w:r>
      <w:r>
        <w:rPr>
          <w:rFonts w:cs="Times New Roman"/>
          <w:color w:val="auto"/>
        </w:rPr>
        <w:t>共</w:t>
      </w:r>
      <w:r>
        <w:rPr>
          <w:rFonts w:hint="eastAsia" w:cs="Times New Roman"/>
          <w:color w:val="auto"/>
        </w:rPr>
        <w:t>记录</w:t>
      </w:r>
      <w:r>
        <w:rPr>
          <w:rFonts w:cs="Times New Roman"/>
          <w:color w:val="auto"/>
        </w:rPr>
        <w:t>鸟类10目38科66属88种</w:t>
      </w:r>
      <w:r>
        <w:rPr>
          <w:rFonts w:hint="eastAsia" w:cs="Times New Roman"/>
          <w:color w:val="auto"/>
        </w:rPr>
        <w:t>。依据《国家重点保护野生动物名录》（2</w:t>
      </w:r>
      <w:r>
        <w:rPr>
          <w:rFonts w:cs="Times New Roman"/>
          <w:color w:val="auto"/>
        </w:rPr>
        <w:t>021</w:t>
      </w:r>
      <w:r>
        <w:rPr>
          <w:rFonts w:hint="eastAsia" w:cs="Times New Roman"/>
          <w:color w:val="auto"/>
        </w:rPr>
        <w:t>年</w:t>
      </w:r>
      <w:r>
        <w:rPr>
          <w:rFonts w:cs="Times New Roman"/>
          <w:color w:val="auto"/>
        </w:rPr>
        <w:t>2</w:t>
      </w:r>
      <w:r>
        <w:rPr>
          <w:rFonts w:hint="eastAsia" w:cs="Times New Roman"/>
          <w:color w:val="auto"/>
        </w:rPr>
        <w:t>月5日颁布）、《中国生物多样性红色名录—脊椎动物》（2</w:t>
      </w:r>
      <w:r>
        <w:rPr>
          <w:rFonts w:cs="Times New Roman"/>
          <w:color w:val="auto"/>
        </w:rPr>
        <w:t>020</w:t>
      </w:r>
      <w:r>
        <w:rPr>
          <w:rFonts w:hint="eastAsia" w:cs="Times New Roman"/>
          <w:color w:val="auto"/>
        </w:rPr>
        <w:t>）确定重点保护鸟类和受胁评级以及中国特有种。居留类型依据《云南鸟类志》（1</w:t>
      </w:r>
      <w:r>
        <w:rPr>
          <w:rFonts w:cs="Times New Roman"/>
          <w:color w:val="auto"/>
        </w:rPr>
        <w:t>995</w:t>
      </w:r>
      <w:r>
        <w:rPr>
          <w:rFonts w:hint="eastAsia" w:cs="Times New Roman"/>
          <w:color w:val="auto"/>
        </w:rPr>
        <w:t>，</w:t>
      </w:r>
      <w:r>
        <w:rPr>
          <w:rFonts w:cs="Times New Roman"/>
          <w:color w:val="auto"/>
        </w:rPr>
        <w:t>2004</w:t>
      </w:r>
      <w:r>
        <w:rPr>
          <w:rFonts w:hint="eastAsia" w:cs="Times New Roman"/>
          <w:color w:val="auto"/>
        </w:rPr>
        <w:t>）确定。调查区鸟类名录和相关信息见附表西则风电场二期项目评价区鸟类名录。</w:t>
      </w:r>
    </w:p>
    <w:p w14:paraId="5253D93A">
      <w:pPr>
        <w:pStyle w:val="41"/>
        <w:bidi w:val="0"/>
        <w:rPr>
          <w:rFonts w:hint="eastAsia" w:eastAsia="宋体"/>
          <w:color w:val="auto"/>
          <w:lang w:eastAsia="zh-CN"/>
        </w:rPr>
      </w:pPr>
      <w:r>
        <w:rPr>
          <w:rFonts w:hint="eastAsia" w:cs="Times New Roman"/>
          <w:color w:val="auto"/>
        </w:rPr>
        <w:t>项目调查区鸟类多样性</w:t>
      </w:r>
      <w:r>
        <w:rPr>
          <w:rFonts w:cs="Times New Roman"/>
          <w:color w:val="auto"/>
        </w:rPr>
        <w:t>在目</w:t>
      </w:r>
      <w:r>
        <w:rPr>
          <w:rFonts w:hint="eastAsia" w:cs="Times New Roman"/>
          <w:color w:val="auto"/>
        </w:rPr>
        <w:t>、科、属、种4个分类阶元</w:t>
      </w:r>
      <w:r>
        <w:rPr>
          <w:rFonts w:cs="Times New Roman"/>
          <w:color w:val="auto"/>
        </w:rPr>
        <w:t>，</w:t>
      </w:r>
      <w:r>
        <w:rPr>
          <w:rFonts w:hint="eastAsia" w:cs="Times New Roman"/>
          <w:color w:val="auto"/>
        </w:rPr>
        <w:t>其中</w:t>
      </w:r>
      <w:r>
        <w:rPr>
          <w:rFonts w:cs="Times New Roman"/>
          <w:color w:val="auto"/>
        </w:rPr>
        <w:t>雀形目</w:t>
      </w:r>
      <w:r>
        <w:rPr>
          <w:rFonts w:hint="eastAsia" w:cs="Times New Roman"/>
          <w:color w:val="auto"/>
        </w:rPr>
        <w:t>记录2</w:t>
      </w:r>
      <w:r>
        <w:rPr>
          <w:rFonts w:cs="Times New Roman"/>
          <w:color w:val="auto"/>
        </w:rPr>
        <w:t>9科</w:t>
      </w:r>
      <w:r>
        <w:rPr>
          <w:rFonts w:hint="eastAsia" w:cs="Times New Roman"/>
          <w:color w:val="auto"/>
        </w:rPr>
        <w:t>4</w:t>
      </w:r>
      <w:r>
        <w:rPr>
          <w:rFonts w:cs="Times New Roman"/>
          <w:color w:val="auto"/>
        </w:rPr>
        <w:t>9属69种，</w:t>
      </w:r>
      <w:r>
        <w:rPr>
          <w:rFonts w:hint="eastAsia" w:cs="Times New Roman"/>
          <w:color w:val="auto"/>
        </w:rPr>
        <w:t>种数</w:t>
      </w:r>
      <w:r>
        <w:rPr>
          <w:rFonts w:cs="Times New Roman"/>
          <w:color w:val="auto"/>
        </w:rPr>
        <w:t>占调查区鸟类总种数的78.41%</w:t>
      </w:r>
      <w:r>
        <w:rPr>
          <w:rFonts w:hint="eastAsia" w:cs="Times New Roman"/>
          <w:color w:val="auto"/>
        </w:rPr>
        <w:t>，</w:t>
      </w:r>
      <w:r>
        <w:rPr>
          <w:rFonts w:cs="Times New Roman"/>
          <w:color w:val="auto"/>
        </w:rPr>
        <w:t>具有明显的优势</w:t>
      </w:r>
      <w:r>
        <w:rPr>
          <w:rFonts w:hint="eastAsia" w:cs="Times New Roman"/>
          <w:color w:val="auto"/>
        </w:rPr>
        <w:t>。</w:t>
      </w:r>
      <w:r>
        <w:rPr>
          <w:rFonts w:cs="Times New Roman"/>
          <w:color w:val="auto"/>
        </w:rPr>
        <w:t>鸡形目</w:t>
      </w:r>
      <w:r>
        <w:rPr>
          <w:rFonts w:hint="eastAsia" w:cs="Times New Roman"/>
          <w:color w:val="auto"/>
        </w:rPr>
        <w:t>1科2属2种；</w:t>
      </w:r>
      <w:r>
        <w:rPr>
          <w:rFonts w:cs="Times New Roman"/>
          <w:color w:val="auto"/>
        </w:rPr>
        <w:t>鸽形目</w:t>
      </w:r>
      <w:r>
        <w:rPr>
          <w:rFonts w:hint="eastAsia" w:cs="Times New Roman"/>
          <w:color w:val="auto"/>
        </w:rPr>
        <w:t>1科1属</w:t>
      </w:r>
      <w:r>
        <w:rPr>
          <w:rFonts w:cs="Times New Roman"/>
          <w:color w:val="auto"/>
        </w:rPr>
        <w:t>1</w:t>
      </w:r>
      <w:r>
        <w:rPr>
          <w:rFonts w:hint="eastAsia" w:cs="Times New Roman"/>
          <w:color w:val="auto"/>
        </w:rPr>
        <w:t>种；</w:t>
      </w:r>
      <w:r>
        <w:rPr>
          <w:rFonts w:cs="Times New Roman"/>
          <w:color w:val="auto"/>
        </w:rPr>
        <w:t>夜鹰目</w:t>
      </w:r>
      <w:r>
        <w:rPr>
          <w:rFonts w:hint="eastAsia" w:cs="Times New Roman"/>
          <w:color w:val="auto"/>
        </w:rPr>
        <w:t>2科2属2种；</w:t>
      </w:r>
      <w:r>
        <w:rPr>
          <w:rFonts w:cs="Times New Roman"/>
          <w:color w:val="auto"/>
        </w:rPr>
        <w:t>鹃形目</w:t>
      </w:r>
      <w:r>
        <w:rPr>
          <w:rFonts w:hint="eastAsia" w:cs="Times New Roman"/>
          <w:color w:val="auto"/>
        </w:rPr>
        <w:t>记录1科3属</w:t>
      </w:r>
      <w:r>
        <w:rPr>
          <w:rFonts w:cs="Times New Roman"/>
          <w:color w:val="auto"/>
        </w:rPr>
        <w:t>4种</w:t>
      </w:r>
      <w:r>
        <w:rPr>
          <w:rFonts w:hint="eastAsia" w:cs="Times New Roman"/>
          <w:color w:val="auto"/>
        </w:rPr>
        <w:t>；</w:t>
      </w:r>
      <w:r>
        <w:rPr>
          <w:rFonts w:cs="Times New Roman"/>
          <w:color w:val="auto"/>
        </w:rPr>
        <w:t>鹰形目</w:t>
      </w:r>
      <w:r>
        <w:rPr>
          <w:rFonts w:hint="eastAsia" w:cs="Times New Roman"/>
          <w:color w:val="auto"/>
        </w:rPr>
        <w:t>记录1科</w:t>
      </w:r>
      <w:r>
        <w:rPr>
          <w:rFonts w:cs="Times New Roman"/>
          <w:color w:val="auto"/>
        </w:rPr>
        <w:t>3</w:t>
      </w:r>
      <w:r>
        <w:rPr>
          <w:rFonts w:hint="eastAsia" w:cs="Times New Roman"/>
          <w:color w:val="auto"/>
        </w:rPr>
        <w:t>属</w:t>
      </w:r>
      <w:r>
        <w:rPr>
          <w:rFonts w:cs="Times New Roman"/>
          <w:color w:val="auto"/>
        </w:rPr>
        <w:t>3</w:t>
      </w:r>
      <w:r>
        <w:rPr>
          <w:rFonts w:hint="eastAsia" w:cs="Times New Roman"/>
          <w:color w:val="auto"/>
        </w:rPr>
        <w:t>种；鸮</w:t>
      </w:r>
      <w:r>
        <w:rPr>
          <w:rFonts w:cs="Times New Roman"/>
          <w:color w:val="auto"/>
        </w:rPr>
        <w:t>形目</w:t>
      </w:r>
      <w:r>
        <w:rPr>
          <w:rFonts w:hint="eastAsia" w:cs="Times New Roman"/>
          <w:color w:val="auto"/>
        </w:rPr>
        <w:t>记录1科</w:t>
      </w:r>
      <w:r>
        <w:rPr>
          <w:rFonts w:cs="Times New Roman"/>
          <w:color w:val="auto"/>
        </w:rPr>
        <w:t>2</w:t>
      </w:r>
      <w:r>
        <w:rPr>
          <w:rFonts w:hint="eastAsia" w:cs="Times New Roman"/>
          <w:color w:val="auto"/>
        </w:rPr>
        <w:t>属</w:t>
      </w:r>
      <w:r>
        <w:rPr>
          <w:rFonts w:cs="Times New Roman"/>
          <w:color w:val="auto"/>
        </w:rPr>
        <w:t>2</w:t>
      </w:r>
      <w:r>
        <w:rPr>
          <w:rFonts w:hint="eastAsia" w:cs="Times New Roman"/>
          <w:color w:val="auto"/>
        </w:rPr>
        <w:t>种；</w:t>
      </w:r>
      <w:r>
        <w:rPr>
          <w:rFonts w:cs="Times New Roman"/>
          <w:color w:val="auto"/>
        </w:rPr>
        <w:t>犀鸟目</w:t>
      </w:r>
      <w:r>
        <w:rPr>
          <w:rFonts w:hint="eastAsia" w:cs="Times New Roman"/>
          <w:color w:val="auto"/>
        </w:rPr>
        <w:t>记录1科1属1种；</w:t>
      </w:r>
      <w:r>
        <w:rPr>
          <w:rFonts w:cs="Times New Roman"/>
          <w:color w:val="auto"/>
        </w:rPr>
        <w:t>啄木鸟目</w:t>
      </w:r>
      <w:r>
        <w:rPr>
          <w:rFonts w:hint="eastAsia" w:cs="Times New Roman"/>
          <w:color w:val="auto"/>
        </w:rPr>
        <w:t>记录1科</w:t>
      </w:r>
      <w:r>
        <w:rPr>
          <w:rFonts w:cs="Times New Roman"/>
          <w:color w:val="auto"/>
        </w:rPr>
        <w:t>2</w:t>
      </w:r>
      <w:r>
        <w:rPr>
          <w:rFonts w:hint="eastAsia" w:cs="Times New Roman"/>
          <w:color w:val="auto"/>
        </w:rPr>
        <w:t>属</w:t>
      </w:r>
      <w:r>
        <w:rPr>
          <w:rFonts w:cs="Times New Roman"/>
          <w:color w:val="auto"/>
        </w:rPr>
        <w:t>2</w:t>
      </w:r>
      <w:r>
        <w:rPr>
          <w:rFonts w:hint="eastAsia" w:cs="Times New Roman"/>
          <w:color w:val="auto"/>
        </w:rPr>
        <w:t>种；</w:t>
      </w:r>
      <w:r>
        <w:rPr>
          <w:rFonts w:cs="Times New Roman"/>
          <w:color w:val="auto"/>
        </w:rPr>
        <w:t>隼形目记录</w:t>
      </w:r>
      <w:r>
        <w:rPr>
          <w:rFonts w:hint="eastAsia" w:cs="Times New Roman"/>
          <w:color w:val="auto"/>
        </w:rPr>
        <w:t>1科1属</w:t>
      </w:r>
      <w:r>
        <w:rPr>
          <w:rFonts w:cs="Times New Roman"/>
          <w:color w:val="auto"/>
        </w:rPr>
        <w:t>2种</w:t>
      </w:r>
      <w:r>
        <w:rPr>
          <w:rFonts w:hint="eastAsia" w:cs="Times New Roman"/>
          <w:color w:val="auto"/>
        </w:rPr>
        <w:t>。调查区域鸟类各分类阶元数量和比例见</w:t>
      </w:r>
      <w:r>
        <w:rPr>
          <w:rFonts w:hint="eastAsia" w:cs="Times New Roman"/>
          <w:color w:val="auto"/>
          <w:lang w:val="en-US" w:eastAsia="zh-CN"/>
        </w:rPr>
        <w:t>下</w:t>
      </w:r>
      <w:r>
        <w:rPr>
          <w:rFonts w:hint="eastAsia" w:cs="Times New Roman"/>
          <w:color w:val="auto"/>
        </w:rPr>
        <w:t>表</w:t>
      </w:r>
      <w:r>
        <w:rPr>
          <w:rFonts w:hint="eastAsia" w:cs="Times New Roman"/>
          <w:color w:val="auto"/>
          <w:lang w:eastAsia="zh-CN"/>
        </w:rPr>
        <w:t>。</w:t>
      </w:r>
    </w:p>
    <w:p w14:paraId="3BFF3000">
      <w:pPr>
        <w:pStyle w:val="42"/>
        <w:bidi w:val="0"/>
        <w:rPr>
          <w:rFonts w:hint="eastAsia"/>
          <w:color w:val="auto"/>
        </w:rPr>
      </w:pPr>
      <w:r>
        <w:rPr>
          <w:color w:val="auto"/>
        </w:rPr>
        <w:t>表</w:t>
      </w:r>
      <w:r>
        <w:rPr>
          <w:rFonts w:hint="eastAsia"/>
          <w:color w:val="auto"/>
          <w:lang w:val="en-US" w:eastAsia="zh-CN"/>
        </w:rPr>
        <w:t xml:space="preserve">2-13  </w:t>
      </w:r>
      <w:r>
        <w:rPr>
          <w:rFonts w:hint="eastAsia"/>
          <w:color w:val="auto"/>
        </w:rPr>
        <w:t>调查区鸟类组成一览表</w:t>
      </w:r>
    </w:p>
    <w:tbl>
      <w:tblPr>
        <w:tblStyle w:val="20"/>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361"/>
        <w:gridCol w:w="2746"/>
        <w:gridCol w:w="763"/>
        <w:gridCol w:w="909"/>
        <w:gridCol w:w="1166"/>
      </w:tblGrid>
      <w:tr w14:paraId="7A8FAB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blHeader/>
        </w:trPr>
        <w:tc>
          <w:tcPr>
            <w:tcW w:w="1878" w:type="pct"/>
            <w:tcBorders>
              <w:top w:val="single" w:color="auto" w:sz="12" w:space="0"/>
              <w:bottom w:val="single" w:color="auto" w:sz="12" w:space="0"/>
            </w:tcBorders>
            <w:shd w:val="clear" w:color="auto" w:fill="auto"/>
            <w:vAlign w:val="center"/>
          </w:tcPr>
          <w:p w14:paraId="541BDAD1">
            <w:pPr>
              <w:ind w:firstLine="422"/>
              <w:jc w:val="center"/>
              <w:rPr>
                <w:rFonts w:cs="Times New Roman"/>
                <w:b/>
                <w:color w:val="auto"/>
                <w:sz w:val="21"/>
                <w:szCs w:val="21"/>
              </w:rPr>
            </w:pPr>
            <w:r>
              <w:rPr>
                <w:rFonts w:cs="Times New Roman"/>
                <w:b/>
                <w:color w:val="auto"/>
                <w:sz w:val="21"/>
                <w:szCs w:val="21"/>
              </w:rPr>
              <w:t>目</w:t>
            </w:r>
          </w:p>
        </w:tc>
        <w:tc>
          <w:tcPr>
            <w:tcW w:w="1535" w:type="pct"/>
            <w:tcBorders>
              <w:top w:val="single" w:color="auto" w:sz="12" w:space="0"/>
              <w:bottom w:val="single" w:color="auto" w:sz="12" w:space="0"/>
            </w:tcBorders>
            <w:shd w:val="clear" w:color="auto" w:fill="auto"/>
            <w:vAlign w:val="center"/>
          </w:tcPr>
          <w:p w14:paraId="259F5BF8">
            <w:pPr>
              <w:ind w:firstLine="422"/>
              <w:jc w:val="center"/>
              <w:rPr>
                <w:rFonts w:cs="Times New Roman"/>
                <w:b/>
                <w:color w:val="auto"/>
                <w:sz w:val="21"/>
                <w:szCs w:val="21"/>
              </w:rPr>
            </w:pPr>
            <w:r>
              <w:rPr>
                <w:rFonts w:cs="Times New Roman"/>
                <w:b/>
                <w:color w:val="auto"/>
                <w:sz w:val="21"/>
                <w:szCs w:val="21"/>
              </w:rPr>
              <w:t>科</w:t>
            </w:r>
          </w:p>
        </w:tc>
        <w:tc>
          <w:tcPr>
            <w:tcW w:w="427" w:type="pct"/>
            <w:tcBorders>
              <w:top w:val="single" w:color="auto" w:sz="12" w:space="0"/>
              <w:bottom w:val="single" w:color="auto" w:sz="12" w:space="0"/>
            </w:tcBorders>
          </w:tcPr>
          <w:p w14:paraId="56C909F0">
            <w:pPr>
              <w:ind w:firstLine="0" w:firstLineChars="0"/>
              <w:jc w:val="center"/>
              <w:rPr>
                <w:rFonts w:cs="Times New Roman"/>
                <w:b/>
                <w:color w:val="auto"/>
                <w:sz w:val="21"/>
                <w:szCs w:val="21"/>
              </w:rPr>
            </w:pPr>
            <w:r>
              <w:rPr>
                <w:rFonts w:cs="Times New Roman"/>
                <w:b/>
                <w:color w:val="auto"/>
                <w:sz w:val="21"/>
                <w:szCs w:val="21"/>
              </w:rPr>
              <w:t>属</w:t>
            </w:r>
          </w:p>
        </w:tc>
        <w:tc>
          <w:tcPr>
            <w:tcW w:w="508" w:type="pct"/>
            <w:tcBorders>
              <w:top w:val="single" w:color="auto" w:sz="12" w:space="0"/>
              <w:bottom w:val="single" w:color="auto" w:sz="12" w:space="0"/>
            </w:tcBorders>
            <w:vAlign w:val="center"/>
          </w:tcPr>
          <w:p w14:paraId="31D065C6">
            <w:pPr>
              <w:ind w:firstLine="0" w:firstLineChars="0"/>
              <w:jc w:val="center"/>
              <w:rPr>
                <w:rFonts w:cs="Times New Roman"/>
                <w:b/>
                <w:color w:val="auto"/>
                <w:sz w:val="21"/>
                <w:szCs w:val="21"/>
              </w:rPr>
            </w:pPr>
            <w:r>
              <w:rPr>
                <w:rFonts w:cs="Times New Roman"/>
                <w:b/>
                <w:color w:val="auto"/>
                <w:sz w:val="21"/>
                <w:szCs w:val="21"/>
              </w:rPr>
              <w:t>种</w:t>
            </w:r>
          </w:p>
        </w:tc>
        <w:tc>
          <w:tcPr>
            <w:tcW w:w="652" w:type="pct"/>
            <w:tcBorders>
              <w:top w:val="single" w:color="auto" w:sz="12" w:space="0"/>
              <w:bottom w:val="single" w:color="auto" w:sz="12" w:space="0"/>
            </w:tcBorders>
            <w:shd w:val="clear" w:color="auto" w:fill="auto"/>
            <w:vAlign w:val="center"/>
          </w:tcPr>
          <w:p w14:paraId="3DCEBC26">
            <w:pPr>
              <w:ind w:firstLine="0" w:firstLineChars="0"/>
              <w:jc w:val="center"/>
              <w:rPr>
                <w:rFonts w:cs="Times New Roman"/>
                <w:b/>
                <w:color w:val="auto"/>
                <w:sz w:val="21"/>
                <w:szCs w:val="21"/>
              </w:rPr>
            </w:pPr>
            <w:r>
              <w:rPr>
                <w:rFonts w:cs="Times New Roman"/>
                <w:b/>
                <w:color w:val="auto"/>
                <w:sz w:val="21"/>
                <w:szCs w:val="21"/>
              </w:rPr>
              <w:t>百分比</w:t>
            </w:r>
          </w:p>
        </w:tc>
      </w:tr>
      <w:tr w14:paraId="43DFE4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shd w:val="clear" w:color="auto" w:fill="auto"/>
            <w:vAlign w:val="center"/>
          </w:tcPr>
          <w:p w14:paraId="5DD965E9">
            <w:pPr>
              <w:ind w:firstLine="0" w:firstLineChars="0"/>
              <w:jc w:val="left"/>
              <w:rPr>
                <w:rFonts w:cs="Times New Roman"/>
                <w:color w:val="auto"/>
                <w:sz w:val="21"/>
                <w:szCs w:val="21"/>
              </w:rPr>
            </w:pPr>
            <w:r>
              <w:rPr>
                <w:rFonts w:cs="Times New Roman"/>
                <w:color w:val="auto"/>
                <w:kern w:val="0"/>
                <w:sz w:val="21"/>
                <w:szCs w:val="21"/>
              </w:rPr>
              <w:t>鸡形目GALLIFORMES</w:t>
            </w:r>
          </w:p>
        </w:tc>
        <w:tc>
          <w:tcPr>
            <w:tcW w:w="1535" w:type="pct"/>
            <w:shd w:val="clear" w:color="auto" w:fill="auto"/>
            <w:vAlign w:val="center"/>
          </w:tcPr>
          <w:p w14:paraId="4342F10A">
            <w:pPr>
              <w:ind w:firstLine="0" w:firstLineChars="0"/>
              <w:jc w:val="left"/>
              <w:rPr>
                <w:rFonts w:cs="Times New Roman"/>
                <w:color w:val="auto"/>
                <w:sz w:val="21"/>
                <w:szCs w:val="21"/>
              </w:rPr>
            </w:pPr>
            <w:r>
              <w:rPr>
                <w:rFonts w:cs="Times New Roman"/>
                <w:iCs/>
                <w:color w:val="auto"/>
                <w:sz w:val="21"/>
                <w:szCs w:val="21"/>
              </w:rPr>
              <w:t>雉科Pheasianidae</w:t>
            </w:r>
          </w:p>
        </w:tc>
        <w:tc>
          <w:tcPr>
            <w:tcW w:w="427" w:type="pct"/>
          </w:tcPr>
          <w:p w14:paraId="5C1F44BE">
            <w:pPr>
              <w:ind w:firstLine="0" w:firstLineChars="0"/>
              <w:jc w:val="center"/>
              <w:rPr>
                <w:rFonts w:cs="Times New Roman"/>
                <w:color w:val="auto"/>
                <w:spacing w:val="-6"/>
                <w:sz w:val="21"/>
                <w:szCs w:val="21"/>
              </w:rPr>
            </w:pPr>
            <w:r>
              <w:rPr>
                <w:rFonts w:cs="Times New Roman"/>
                <w:color w:val="auto"/>
                <w:spacing w:val="-6"/>
                <w:sz w:val="21"/>
                <w:szCs w:val="21"/>
              </w:rPr>
              <w:t>2</w:t>
            </w:r>
          </w:p>
        </w:tc>
        <w:tc>
          <w:tcPr>
            <w:tcW w:w="508" w:type="pct"/>
            <w:vAlign w:val="center"/>
          </w:tcPr>
          <w:p w14:paraId="3FFE3F20">
            <w:pPr>
              <w:ind w:firstLine="0" w:firstLineChars="0"/>
              <w:jc w:val="center"/>
              <w:rPr>
                <w:rFonts w:cs="Times New Roman"/>
                <w:color w:val="auto"/>
                <w:spacing w:val="-6"/>
                <w:sz w:val="21"/>
                <w:szCs w:val="21"/>
              </w:rPr>
            </w:pPr>
            <w:r>
              <w:rPr>
                <w:rFonts w:cs="Times New Roman"/>
                <w:color w:val="auto"/>
                <w:spacing w:val="-6"/>
                <w:sz w:val="21"/>
                <w:szCs w:val="21"/>
              </w:rPr>
              <w:t>2</w:t>
            </w:r>
          </w:p>
        </w:tc>
        <w:tc>
          <w:tcPr>
            <w:tcW w:w="652" w:type="pct"/>
            <w:shd w:val="clear" w:color="auto" w:fill="auto"/>
            <w:vAlign w:val="center"/>
          </w:tcPr>
          <w:p w14:paraId="2B98F4CE">
            <w:pPr>
              <w:ind w:firstLine="0" w:firstLineChars="0"/>
              <w:jc w:val="left"/>
              <w:rPr>
                <w:rFonts w:cs="Times New Roman"/>
                <w:color w:val="auto"/>
                <w:sz w:val="21"/>
                <w:szCs w:val="21"/>
              </w:rPr>
            </w:pPr>
            <w:r>
              <w:rPr>
                <w:rFonts w:hint="eastAsia" w:cs="Times New Roman"/>
                <w:color w:val="auto"/>
                <w:sz w:val="21"/>
                <w:szCs w:val="21"/>
              </w:rPr>
              <w:t>2.</w:t>
            </w:r>
            <w:r>
              <w:rPr>
                <w:rFonts w:cs="Times New Roman"/>
                <w:color w:val="auto"/>
                <w:sz w:val="21"/>
                <w:szCs w:val="21"/>
              </w:rPr>
              <w:t>27%</w:t>
            </w:r>
          </w:p>
        </w:tc>
      </w:tr>
      <w:tr w14:paraId="28D5E2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shd w:val="clear" w:color="auto" w:fill="auto"/>
            <w:vAlign w:val="center"/>
          </w:tcPr>
          <w:p w14:paraId="2C66DE7C">
            <w:pPr>
              <w:ind w:firstLine="0" w:firstLineChars="0"/>
              <w:rPr>
                <w:rFonts w:cs="Times New Roman"/>
                <w:color w:val="auto"/>
                <w:sz w:val="21"/>
                <w:szCs w:val="21"/>
              </w:rPr>
            </w:pPr>
            <w:r>
              <w:rPr>
                <w:rFonts w:cs="Times New Roman"/>
                <w:color w:val="auto"/>
                <w:kern w:val="0"/>
                <w:sz w:val="21"/>
                <w:szCs w:val="21"/>
              </w:rPr>
              <w:t>鸽形目COLUMBIFORMES</w:t>
            </w:r>
          </w:p>
        </w:tc>
        <w:tc>
          <w:tcPr>
            <w:tcW w:w="1535" w:type="pct"/>
            <w:shd w:val="clear" w:color="auto" w:fill="auto"/>
            <w:vAlign w:val="center"/>
          </w:tcPr>
          <w:p w14:paraId="1C2D9158">
            <w:pPr>
              <w:ind w:firstLine="0" w:firstLineChars="0"/>
              <w:rPr>
                <w:rFonts w:cs="Times New Roman"/>
                <w:color w:val="auto"/>
                <w:sz w:val="21"/>
                <w:szCs w:val="21"/>
              </w:rPr>
            </w:pPr>
            <w:r>
              <w:rPr>
                <w:rFonts w:cs="Times New Roman"/>
                <w:color w:val="auto"/>
                <w:kern w:val="0"/>
                <w:sz w:val="21"/>
                <w:szCs w:val="21"/>
              </w:rPr>
              <w:t>鸠鸽科Columbidae</w:t>
            </w:r>
          </w:p>
        </w:tc>
        <w:tc>
          <w:tcPr>
            <w:tcW w:w="427" w:type="pct"/>
          </w:tcPr>
          <w:p w14:paraId="16CB84E4">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205980C9">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652" w:type="pct"/>
            <w:shd w:val="clear" w:color="auto" w:fill="auto"/>
            <w:vAlign w:val="center"/>
          </w:tcPr>
          <w:p w14:paraId="4D5F19C8">
            <w:pPr>
              <w:ind w:firstLine="0" w:firstLineChars="0"/>
              <w:rPr>
                <w:rFonts w:hint="eastAsia" w:eastAsia="宋体" w:cs="Times New Roman"/>
                <w:color w:val="auto"/>
                <w:sz w:val="21"/>
                <w:szCs w:val="21"/>
                <w:lang w:eastAsia="zh-CN"/>
              </w:rPr>
            </w:pPr>
            <w:r>
              <w:rPr>
                <w:rFonts w:cs="Times New Roman"/>
                <w:color w:val="auto"/>
                <w:spacing w:val="-6"/>
                <w:sz w:val="21"/>
                <w:szCs w:val="21"/>
              </w:rPr>
              <w:t>1.14%</w:t>
            </w:r>
          </w:p>
        </w:tc>
      </w:tr>
      <w:tr w14:paraId="585E4C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restart"/>
            <w:shd w:val="clear" w:color="auto" w:fill="auto"/>
            <w:vAlign w:val="center"/>
          </w:tcPr>
          <w:p w14:paraId="2A9F08FC">
            <w:pPr>
              <w:ind w:firstLine="0" w:firstLineChars="0"/>
              <w:rPr>
                <w:rFonts w:cs="Times New Roman"/>
                <w:color w:val="auto"/>
                <w:kern w:val="0"/>
                <w:sz w:val="21"/>
                <w:szCs w:val="21"/>
              </w:rPr>
            </w:pPr>
            <w:r>
              <w:rPr>
                <w:rFonts w:hint="eastAsia" w:cs="Times New Roman"/>
                <w:color w:val="auto"/>
                <w:kern w:val="0"/>
                <w:sz w:val="21"/>
                <w:szCs w:val="21"/>
              </w:rPr>
              <w:t>夜鹰目C</w:t>
            </w:r>
            <w:r>
              <w:rPr>
                <w:rFonts w:cs="Times New Roman"/>
                <w:color w:val="auto"/>
                <w:kern w:val="0"/>
                <w:sz w:val="21"/>
                <w:szCs w:val="21"/>
              </w:rPr>
              <w:t>APRIMULGIFORMES</w:t>
            </w:r>
          </w:p>
        </w:tc>
        <w:tc>
          <w:tcPr>
            <w:tcW w:w="1535" w:type="pct"/>
            <w:shd w:val="clear" w:color="auto" w:fill="auto"/>
            <w:vAlign w:val="center"/>
          </w:tcPr>
          <w:p w14:paraId="19F4C862">
            <w:pPr>
              <w:ind w:firstLine="0" w:firstLineChars="0"/>
              <w:rPr>
                <w:rFonts w:cs="Times New Roman"/>
                <w:color w:val="auto"/>
                <w:kern w:val="0"/>
                <w:sz w:val="21"/>
                <w:szCs w:val="21"/>
              </w:rPr>
            </w:pPr>
            <w:r>
              <w:rPr>
                <w:rFonts w:cs="Times New Roman"/>
                <w:color w:val="auto"/>
                <w:kern w:val="0"/>
                <w:sz w:val="21"/>
                <w:szCs w:val="21"/>
              </w:rPr>
              <w:t>夜鹰科Caprimulgidae</w:t>
            </w:r>
          </w:p>
        </w:tc>
        <w:tc>
          <w:tcPr>
            <w:tcW w:w="427" w:type="pct"/>
          </w:tcPr>
          <w:p w14:paraId="411BA3A8">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6EC8E968">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652" w:type="pct"/>
            <w:shd w:val="clear" w:color="auto" w:fill="auto"/>
            <w:vAlign w:val="center"/>
          </w:tcPr>
          <w:p w14:paraId="60ABA0AF">
            <w:pPr>
              <w:ind w:firstLine="0" w:firstLineChars="0"/>
              <w:rPr>
                <w:rFonts w:cs="Times New Roman"/>
                <w:color w:val="auto"/>
                <w:sz w:val="21"/>
                <w:szCs w:val="21"/>
              </w:rPr>
            </w:pPr>
            <w:r>
              <w:rPr>
                <w:rFonts w:cs="Times New Roman"/>
                <w:color w:val="auto"/>
                <w:spacing w:val="-6"/>
                <w:sz w:val="21"/>
                <w:szCs w:val="21"/>
              </w:rPr>
              <w:t>1.14%</w:t>
            </w:r>
          </w:p>
        </w:tc>
      </w:tr>
      <w:tr w14:paraId="3C80AD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0E94B5A9">
            <w:pPr>
              <w:ind w:firstLine="420"/>
              <w:rPr>
                <w:rFonts w:cs="Times New Roman"/>
                <w:color w:val="auto"/>
                <w:sz w:val="21"/>
                <w:szCs w:val="21"/>
              </w:rPr>
            </w:pPr>
          </w:p>
        </w:tc>
        <w:tc>
          <w:tcPr>
            <w:tcW w:w="1535" w:type="pct"/>
            <w:shd w:val="clear" w:color="auto" w:fill="auto"/>
            <w:vAlign w:val="center"/>
          </w:tcPr>
          <w:p w14:paraId="7FA48C85">
            <w:pPr>
              <w:ind w:firstLine="0" w:firstLineChars="0"/>
              <w:rPr>
                <w:rFonts w:cs="Times New Roman"/>
                <w:color w:val="auto"/>
                <w:sz w:val="21"/>
                <w:szCs w:val="21"/>
              </w:rPr>
            </w:pPr>
            <w:r>
              <w:rPr>
                <w:rFonts w:cs="Times New Roman"/>
                <w:color w:val="auto"/>
                <w:kern w:val="0"/>
                <w:sz w:val="21"/>
                <w:szCs w:val="21"/>
              </w:rPr>
              <w:t>雨燕科Apodidae</w:t>
            </w:r>
          </w:p>
        </w:tc>
        <w:tc>
          <w:tcPr>
            <w:tcW w:w="427" w:type="pct"/>
          </w:tcPr>
          <w:p w14:paraId="4D892C19">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214398C6">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652" w:type="pct"/>
            <w:shd w:val="clear" w:color="auto" w:fill="auto"/>
            <w:vAlign w:val="center"/>
          </w:tcPr>
          <w:p w14:paraId="77F35AD5">
            <w:pPr>
              <w:ind w:firstLine="0" w:firstLineChars="0"/>
              <w:rPr>
                <w:rFonts w:cs="Times New Roman"/>
                <w:color w:val="auto"/>
                <w:sz w:val="21"/>
                <w:szCs w:val="21"/>
              </w:rPr>
            </w:pPr>
            <w:r>
              <w:rPr>
                <w:rFonts w:cs="Times New Roman"/>
                <w:color w:val="auto"/>
                <w:spacing w:val="-6"/>
                <w:sz w:val="21"/>
                <w:szCs w:val="21"/>
              </w:rPr>
              <w:t>1.14%</w:t>
            </w:r>
          </w:p>
        </w:tc>
      </w:tr>
      <w:tr w14:paraId="15AC7C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shd w:val="clear" w:color="auto" w:fill="auto"/>
            <w:vAlign w:val="center"/>
          </w:tcPr>
          <w:p w14:paraId="1C238FE4">
            <w:pPr>
              <w:ind w:firstLine="0" w:firstLineChars="0"/>
              <w:rPr>
                <w:rFonts w:cs="Times New Roman"/>
                <w:color w:val="auto"/>
                <w:sz w:val="21"/>
                <w:szCs w:val="21"/>
              </w:rPr>
            </w:pPr>
            <w:r>
              <w:rPr>
                <w:rFonts w:cs="Times New Roman"/>
                <w:color w:val="auto"/>
                <w:kern w:val="0"/>
                <w:sz w:val="21"/>
                <w:szCs w:val="21"/>
              </w:rPr>
              <w:t>鹃形目</w:t>
            </w:r>
            <w:r>
              <w:rPr>
                <w:rStyle w:val="32"/>
                <w:color w:val="auto"/>
                <w:sz w:val="21"/>
                <w:szCs w:val="21"/>
              </w:rPr>
              <w:t>CUCULIFORMES</w:t>
            </w:r>
          </w:p>
        </w:tc>
        <w:tc>
          <w:tcPr>
            <w:tcW w:w="1535" w:type="pct"/>
            <w:shd w:val="clear" w:color="auto" w:fill="auto"/>
            <w:vAlign w:val="center"/>
          </w:tcPr>
          <w:p w14:paraId="6F356228">
            <w:pPr>
              <w:ind w:firstLine="0" w:firstLineChars="0"/>
              <w:rPr>
                <w:rFonts w:cs="Times New Roman"/>
                <w:color w:val="auto"/>
                <w:sz w:val="21"/>
                <w:szCs w:val="21"/>
              </w:rPr>
            </w:pPr>
            <w:r>
              <w:rPr>
                <w:rFonts w:cs="Times New Roman"/>
                <w:color w:val="auto"/>
                <w:kern w:val="0"/>
                <w:sz w:val="21"/>
                <w:szCs w:val="21"/>
              </w:rPr>
              <w:t>杜鹃科</w:t>
            </w:r>
            <w:r>
              <w:rPr>
                <w:rStyle w:val="32"/>
                <w:color w:val="auto"/>
                <w:sz w:val="21"/>
                <w:szCs w:val="21"/>
              </w:rPr>
              <w:t>Cuculidae</w:t>
            </w:r>
          </w:p>
        </w:tc>
        <w:tc>
          <w:tcPr>
            <w:tcW w:w="427" w:type="pct"/>
          </w:tcPr>
          <w:p w14:paraId="3E16BADD">
            <w:pPr>
              <w:ind w:firstLine="0" w:firstLineChars="0"/>
              <w:jc w:val="center"/>
              <w:rPr>
                <w:rFonts w:cs="Times New Roman"/>
                <w:color w:val="auto"/>
                <w:spacing w:val="-6"/>
                <w:sz w:val="21"/>
                <w:szCs w:val="21"/>
              </w:rPr>
            </w:pPr>
            <w:r>
              <w:rPr>
                <w:rFonts w:cs="Times New Roman"/>
                <w:color w:val="auto"/>
                <w:spacing w:val="-6"/>
                <w:sz w:val="21"/>
                <w:szCs w:val="21"/>
              </w:rPr>
              <w:t>3</w:t>
            </w:r>
          </w:p>
        </w:tc>
        <w:tc>
          <w:tcPr>
            <w:tcW w:w="508" w:type="pct"/>
            <w:vAlign w:val="center"/>
          </w:tcPr>
          <w:p w14:paraId="1EC67969">
            <w:pPr>
              <w:ind w:firstLine="0" w:firstLineChars="0"/>
              <w:jc w:val="center"/>
              <w:rPr>
                <w:rFonts w:cs="Times New Roman"/>
                <w:color w:val="auto"/>
                <w:spacing w:val="-6"/>
                <w:sz w:val="21"/>
                <w:szCs w:val="21"/>
              </w:rPr>
            </w:pPr>
            <w:r>
              <w:rPr>
                <w:rFonts w:cs="Times New Roman"/>
                <w:color w:val="auto"/>
                <w:spacing w:val="-6"/>
                <w:sz w:val="21"/>
                <w:szCs w:val="21"/>
              </w:rPr>
              <w:t>4</w:t>
            </w:r>
          </w:p>
        </w:tc>
        <w:tc>
          <w:tcPr>
            <w:tcW w:w="652" w:type="pct"/>
            <w:shd w:val="clear" w:color="auto" w:fill="auto"/>
            <w:vAlign w:val="center"/>
          </w:tcPr>
          <w:p w14:paraId="68BE0B4A">
            <w:pPr>
              <w:ind w:firstLine="0" w:firstLineChars="0"/>
              <w:rPr>
                <w:rFonts w:cs="Times New Roman"/>
                <w:color w:val="auto"/>
                <w:spacing w:val="-6"/>
                <w:sz w:val="21"/>
                <w:szCs w:val="21"/>
              </w:rPr>
            </w:pPr>
            <w:r>
              <w:rPr>
                <w:rFonts w:cs="Times New Roman"/>
                <w:color w:val="auto"/>
                <w:spacing w:val="-6"/>
                <w:sz w:val="21"/>
                <w:szCs w:val="21"/>
              </w:rPr>
              <w:t>4.54%</w:t>
            </w:r>
          </w:p>
        </w:tc>
      </w:tr>
      <w:tr w14:paraId="508285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shd w:val="clear" w:color="auto" w:fill="auto"/>
            <w:vAlign w:val="center"/>
          </w:tcPr>
          <w:p w14:paraId="61028266">
            <w:pPr>
              <w:ind w:firstLine="0" w:firstLineChars="0"/>
              <w:rPr>
                <w:rFonts w:cs="Times New Roman"/>
                <w:color w:val="auto"/>
                <w:kern w:val="0"/>
                <w:sz w:val="21"/>
                <w:szCs w:val="21"/>
              </w:rPr>
            </w:pPr>
            <w:r>
              <w:rPr>
                <w:rFonts w:cs="Times New Roman"/>
                <w:color w:val="auto"/>
                <w:kern w:val="0"/>
                <w:sz w:val="21"/>
                <w:szCs w:val="21"/>
              </w:rPr>
              <w:t>鹰形目ACCIPITRIFORMES</w:t>
            </w:r>
          </w:p>
        </w:tc>
        <w:tc>
          <w:tcPr>
            <w:tcW w:w="1535" w:type="pct"/>
            <w:shd w:val="clear" w:color="auto" w:fill="auto"/>
            <w:vAlign w:val="center"/>
          </w:tcPr>
          <w:p w14:paraId="2833B398">
            <w:pPr>
              <w:ind w:firstLine="0" w:firstLineChars="0"/>
              <w:rPr>
                <w:rFonts w:cs="Times New Roman"/>
                <w:color w:val="auto"/>
                <w:spacing w:val="-6"/>
                <w:sz w:val="21"/>
                <w:szCs w:val="21"/>
              </w:rPr>
            </w:pPr>
            <w:r>
              <w:rPr>
                <w:rFonts w:cs="Times New Roman"/>
                <w:color w:val="auto"/>
                <w:kern w:val="0"/>
                <w:sz w:val="21"/>
                <w:szCs w:val="21"/>
              </w:rPr>
              <w:t>鹰科Accipitridae</w:t>
            </w:r>
          </w:p>
        </w:tc>
        <w:tc>
          <w:tcPr>
            <w:tcW w:w="427" w:type="pct"/>
          </w:tcPr>
          <w:p w14:paraId="1E7C3D55">
            <w:pPr>
              <w:ind w:firstLine="0" w:firstLineChars="0"/>
              <w:jc w:val="center"/>
              <w:rPr>
                <w:rFonts w:cs="Times New Roman"/>
                <w:color w:val="auto"/>
                <w:spacing w:val="-6"/>
                <w:sz w:val="21"/>
                <w:szCs w:val="21"/>
              </w:rPr>
            </w:pPr>
            <w:r>
              <w:rPr>
                <w:rFonts w:cs="Times New Roman"/>
                <w:color w:val="auto"/>
                <w:spacing w:val="-6"/>
                <w:sz w:val="21"/>
                <w:szCs w:val="21"/>
              </w:rPr>
              <w:t>3</w:t>
            </w:r>
          </w:p>
        </w:tc>
        <w:tc>
          <w:tcPr>
            <w:tcW w:w="508" w:type="pct"/>
            <w:vAlign w:val="center"/>
          </w:tcPr>
          <w:p w14:paraId="20CDC14A">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3</w:t>
            </w:r>
          </w:p>
        </w:tc>
        <w:tc>
          <w:tcPr>
            <w:tcW w:w="652" w:type="pct"/>
            <w:shd w:val="clear" w:color="auto" w:fill="auto"/>
            <w:vAlign w:val="center"/>
          </w:tcPr>
          <w:p w14:paraId="16EF7875">
            <w:pPr>
              <w:ind w:firstLine="0" w:firstLineChars="0"/>
              <w:rPr>
                <w:rFonts w:cs="Times New Roman"/>
                <w:color w:val="auto"/>
                <w:spacing w:val="-6"/>
                <w:sz w:val="21"/>
                <w:szCs w:val="21"/>
              </w:rPr>
            </w:pPr>
            <w:r>
              <w:rPr>
                <w:rFonts w:cs="Times New Roman"/>
                <w:color w:val="auto"/>
                <w:spacing w:val="-6"/>
                <w:sz w:val="21"/>
                <w:szCs w:val="21"/>
              </w:rPr>
              <w:t>3.41%</w:t>
            </w:r>
          </w:p>
        </w:tc>
      </w:tr>
      <w:tr w14:paraId="5DBC8AE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shd w:val="clear" w:color="auto" w:fill="auto"/>
            <w:vAlign w:val="center"/>
          </w:tcPr>
          <w:p w14:paraId="304200DF">
            <w:pPr>
              <w:ind w:firstLine="0" w:firstLineChars="0"/>
              <w:rPr>
                <w:rFonts w:cs="Times New Roman"/>
                <w:iCs/>
                <w:color w:val="auto"/>
                <w:sz w:val="21"/>
                <w:szCs w:val="21"/>
              </w:rPr>
            </w:pPr>
            <w:r>
              <w:rPr>
                <w:rFonts w:cs="Times New Roman"/>
                <w:color w:val="auto"/>
                <w:kern w:val="0"/>
                <w:sz w:val="21"/>
                <w:szCs w:val="21"/>
              </w:rPr>
              <w:t>鸮形目STRIGIFORMES</w:t>
            </w:r>
          </w:p>
        </w:tc>
        <w:tc>
          <w:tcPr>
            <w:tcW w:w="1535" w:type="pct"/>
            <w:shd w:val="clear" w:color="auto" w:fill="auto"/>
            <w:vAlign w:val="center"/>
          </w:tcPr>
          <w:p w14:paraId="7D344FE9">
            <w:pPr>
              <w:ind w:firstLine="0" w:firstLineChars="0"/>
              <w:rPr>
                <w:rFonts w:cs="Times New Roman"/>
                <w:color w:val="auto"/>
                <w:kern w:val="0"/>
                <w:sz w:val="21"/>
                <w:szCs w:val="21"/>
              </w:rPr>
            </w:pPr>
            <w:r>
              <w:rPr>
                <w:rFonts w:cs="Times New Roman"/>
                <w:color w:val="auto"/>
                <w:kern w:val="0"/>
                <w:sz w:val="21"/>
                <w:szCs w:val="21"/>
              </w:rPr>
              <w:t>鸱鸮科Strigidae</w:t>
            </w:r>
          </w:p>
        </w:tc>
        <w:tc>
          <w:tcPr>
            <w:tcW w:w="427" w:type="pct"/>
          </w:tcPr>
          <w:p w14:paraId="4D9B7BCC">
            <w:pPr>
              <w:ind w:firstLine="0" w:firstLineChars="0"/>
              <w:jc w:val="center"/>
              <w:rPr>
                <w:rFonts w:cs="Times New Roman"/>
                <w:color w:val="auto"/>
                <w:spacing w:val="-6"/>
                <w:sz w:val="21"/>
                <w:szCs w:val="21"/>
              </w:rPr>
            </w:pPr>
            <w:r>
              <w:rPr>
                <w:rFonts w:cs="Times New Roman"/>
                <w:color w:val="auto"/>
                <w:spacing w:val="-6"/>
                <w:sz w:val="21"/>
                <w:szCs w:val="21"/>
              </w:rPr>
              <w:t>2</w:t>
            </w:r>
          </w:p>
        </w:tc>
        <w:tc>
          <w:tcPr>
            <w:tcW w:w="508" w:type="pct"/>
            <w:vAlign w:val="center"/>
          </w:tcPr>
          <w:p w14:paraId="6F6F71F3">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2</w:t>
            </w:r>
          </w:p>
        </w:tc>
        <w:tc>
          <w:tcPr>
            <w:tcW w:w="652" w:type="pct"/>
            <w:shd w:val="clear" w:color="auto" w:fill="auto"/>
            <w:vAlign w:val="center"/>
          </w:tcPr>
          <w:p w14:paraId="31F059D6">
            <w:pPr>
              <w:ind w:firstLine="0" w:firstLineChars="0"/>
              <w:rPr>
                <w:rFonts w:cs="Times New Roman"/>
                <w:color w:val="auto"/>
                <w:spacing w:val="-6"/>
                <w:sz w:val="21"/>
                <w:szCs w:val="21"/>
              </w:rPr>
            </w:pPr>
            <w:r>
              <w:rPr>
                <w:rFonts w:hint="eastAsia" w:cs="Times New Roman"/>
                <w:color w:val="auto"/>
                <w:sz w:val="21"/>
                <w:szCs w:val="21"/>
              </w:rPr>
              <w:t>2.</w:t>
            </w:r>
            <w:r>
              <w:rPr>
                <w:rFonts w:cs="Times New Roman"/>
                <w:color w:val="auto"/>
                <w:sz w:val="21"/>
                <w:szCs w:val="21"/>
              </w:rPr>
              <w:t>27%</w:t>
            </w:r>
          </w:p>
        </w:tc>
      </w:tr>
      <w:tr w14:paraId="69BE83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shd w:val="clear" w:color="auto" w:fill="auto"/>
            <w:vAlign w:val="center"/>
          </w:tcPr>
          <w:p w14:paraId="7D07EF07">
            <w:pPr>
              <w:ind w:firstLine="0" w:firstLineChars="0"/>
              <w:rPr>
                <w:rFonts w:cs="Times New Roman"/>
                <w:iCs/>
                <w:color w:val="auto"/>
                <w:sz w:val="21"/>
                <w:szCs w:val="21"/>
              </w:rPr>
            </w:pPr>
            <w:r>
              <w:rPr>
                <w:rFonts w:cs="Times New Roman"/>
                <w:color w:val="auto"/>
                <w:kern w:val="0"/>
                <w:sz w:val="21"/>
                <w:szCs w:val="21"/>
              </w:rPr>
              <w:t>犀鸟目BUCERORTIFORMES</w:t>
            </w:r>
          </w:p>
        </w:tc>
        <w:tc>
          <w:tcPr>
            <w:tcW w:w="1535" w:type="pct"/>
            <w:shd w:val="clear" w:color="auto" w:fill="auto"/>
            <w:vAlign w:val="center"/>
          </w:tcPr>
          <w:p w14:paraId="233F0B3B">
            <w:pPr>
              <w:ind w:firstLine="0" w:firstLineChars="0"/>
              <w:rPr>
                <w:rFonts w:cs="Times New Roman"/>
                <w:color w:val="auto"/>
                <w:kern w:val="0"/>
                <w:sz w:val="21"/>
                <w:szCs w:val="21"/>
              </w:rPr>
            </w:pPr>
            <w:r>
              <w:rPr>
                <w:rFonts w:cs="Times New Roman"/>
                <w:color w:val="auto"/>
                <w:kern w:val="0"/>
                <w:sz w:val="21"/>
                <w:szCs w:val="21"/>
              </w:rPr>
              <w:t>戴胜科Upupidae</w:t>
            </w:r>
          </w:p>
        </w:tc>
        <w:tc>
          <w:tcPr>
            <w:tcW w:w="427" w:type="pct"/>
          </w:tcPr>
          <w:p w14:paraId="59DF549D">
            <w:pPr>
              <w:ind w:firstLine="0" w:firstLineChars="0"/>
              <w:jc w:val="center"/>
              <w:rPr>
                <w:rFonts w:cs="Times New Roman"/>
                <w:color w:val="auto"/>
                <w:spacing w:val="-6"/>
                <w:sz w:val="21"/>
                <w:szCs w:val="21"/>
              </w:rPr>
            </w:pPr>
            <w:r>
              <w:rPr>
                <w:rFonts w:hint="eastAsia" w:cs="Times New Roman"/>
                <w:color w:val="auto"/>
                <w:spacing w:val="-6"/>
                <w:sz w:val="21"/>
                <w:szCs w:val="21"/>
              </w:rPr>
              <w:t>1</w:t>
            </w:r>
          </w:p>
        </w:tc>
        <w:tc>
          <w:tcPr>
            <w:tcW w:w="508" w:type="pct"/>
            <w:vAlign w:val="center"/>
          </w:tcPr>
          <w:p w14:paraId="19C02353">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1</w:t>
            </w:r>
          </w:p>
        </w:tc>
        <w:tc>
          <w:tcPr>
            <w:tcW w:w="652" w:type="pct"/>
            <w:shd w:val="clear" w:color="auto" w:fill="auto"/>
            <w:vAlign w:val="center"/>
          </w:tcPr>
          <w:p w14:paraId="44EABB3A">
            <w:pPr>
              <w:ind w:firstLine="0" w:firstLineChars="0"/>
              <w:rPr>
                <w:rFonts w:cs="Times New Roman"/>
                <w:color w:val="auto"/>
                <w:spacing w:val="-6"/>
                <w:sz w:val="21"/>
                <w:szCs w:val="21"/>
              </w:rPr>
            </w:pPr>
            <w:r>
              <w:rPr>
                <w:rFonts w:cs="Times New Roman"/>
                <w:color w:val="auto"/>
                <w:spacing w:val="-6"/>
                <w:sz w:val="21"/>
                <w:szCs w:val="21"/>
              </w:rPr>
              <w:t>1.14%</w:t>
            </w:r>
          </w:p>
        </w:tc>
      </w:tr>
      <w:tr w14:paraId="0BB230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shd w:val="clear" w:color="auto" w:fill="auto"/>
            <w:vAlign w:val="center"/>
          </w:tcPr>
          <w:p w14:paraId="231A6DFD">
            <w:pPr>
              <w:ind w:firstLine="0" w:firstLineChars="0"/>
              <w:rPr>
                <w:rFonts w:cs="Times New Roman"/>
                <w:color w:val="auto"/>
                <w:kern w:val="0"/>
                <w:sz w:val="21"/>
                <w:szCs w:val="21"/>
              </w:rPr>
            </w:pPr>
            <w:r>
              <w:rPr>
                <w:rFonts w:hint="eastAsia" w:cs="Times New Roman"/>
                <w:color w:val="auto"/>
                <w:kern w:val="0"/>
                <w:sz w:val="21"/>
                <w:szCs w:val="21"/>
              </w:rPr>
              <w:t>啄木鸟</w:t>
            </w:r>
            <w:r>
              <w:rPr>
                <w:rFonts w:cs="Times New Roman"/>
                <w:color w:val="auto"/>
                <w:kern w:val="0"/>
                <w:sz w:val="21"/>
                <w:szCs w:val="21"/>
              </w:rPr>
              <w:t>目PICIFORMES</w:t>
            </w:r>
          </w:p>
        </w:tc>
        <w:tc>
          <w:tcPr>
            <w:tcW w:w="1535" w:type="pct"/>
            <w:shd w:val="clear" w:color="auto" w:fill="auto"/>
            <w:vAlign w:val="center"/>
          </w:tcPr>
          <w:p w14:paraId="679C6A52">
            <w:pPr>
              <w:ind w:firstLine="0" w:firstLineChars="0"/>
              <w:rPr>
                <w:rFonts w:cs="Times New Roman"/>
                <w:color w:val="auto"/>
                <w:kern w:val="0"/>
                <w:sz w:val="21"/>
                <w:szCs w:val="21"/>
              </w:rPr>
            </w:pPr>
            <w:r>
              <w:rPr>
                <w:rFonts w:cs="Times New Roman"/>
                <w:color w:val="auto"/>
                <w:kern w:val="0"/>
                <w:sz w:val="21"/>
                <w:szCs w:val="21"/>
              </w:rPr>
              <w:t>啄木鸟科</w:t>
            </w:r>
            <w:r>
              <w:rPr>
                <w:rFonts w:hint="eastAsia" w:cs="Times New Roman"/>
                <w:color w:val="auto"/>
                <w:kern w:val="0"/>
                <w:sz w:val="21"/>
                <w:szCs w:val="21"/>
              </w:rPr>
              <w:t>P</w:t>
            </w:r>
            <w:r>
              <w:rPr>
                <w:rFonts w:cs="Times New Roman"/>
                <w:color w:val="auto"/>
                <w:kern w:val="0"/>
                <w:sz w:val="21"/>
                <w:szCs w:val="21"/>
              </w:rPr>
              <w:t>icidae</w:t>
            </w:r>
          </w:p>
        </w:tc>
        <w:tc>
          <w:tcPr>
            <w:tcW w:w="427" w:type="pct"/>
          </w:tcPr>
          <w:p w14:paraId="25E3DADE">
            <w:pPr>
              <w:ind w:firstLine="0" w:firstLineChars="0"/>
              <w:jc w:val="center"/>
              <w:rPr>
                <w:rFonts w:cs="Times New Roman"/>
                <w:color w:val="auto"/>
                <w:spacing w:val="-6"/>
                <w:sz w:val="21"/>
                <w:szCs w:val="21"/>
              </w:rPr>
            </w:pPr>
            <w:r>
              <w:rPr>
                <w:rFonts w:cs="Times New Roman"/>
                <w:color w:val="auto"/>
                <w:spacing w:val="-6"/>
                <w:sz w:val="21"/>
                <w:szCs w:val="21"/>
              </w:rPr>
              <w:t>2</w:t>
            </w:r>
          </w:p>
        </w:tc>
        <w:tc>
          <w:tcPr>
            <w:tcW w:w="508" w:type="pct"/>
            <w:vAlign w:val="center"/>
          </w:tcPr>
          <w:p w14:paraId="4C87E67C">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2</w:t>
            </w:r>
          </w:p>
        </w:tc>
        <w:tc>
          <w:tcPr>
            <w:tcW w:w="652" w:type="pct"/>
            <w:shd w:val="clear" w:color="auto" w:fill="auto"/>
            <w:vAlign w:val="center"/>
          </w:tcPr>
          <w:p w14:paraId="61D4BF53">
            <w:pPr>
              <w:ind w:firstLine="0" w:firstLineChars="0"/>
              <w:rPr>
                <w:rFonts w:cs="Times New Roman"/>
                <w:color w:val="auto"/>
                <w:spacing w:val="-6"/>
                <w:sz w:val="21"/>
                <w:szCs w:val="21"/>
              </w:rPr>
            </w:pPr>
            <w:r>
              <w:rPr>
                <w:rFonts w:hint="eastAsia" w:cs="Times New Roman"/>
                <w:color w:val="auto"/>
                <w:sz w:val="21"/>
                <w:szCs w:val="21"/>
              </w:rPr>
              <w:t>2.</w:t>
            </w:r>
            <w:r>
              <w:rPr>
                <w:rFonts w:cs="Times New Roman"/>
                <w:color w:val="auto"/>
                <w:sz w:val="21"/>
                <w:szCs w:val="21"/>
              </w:rPr>
              <w:t>27%</w:t>
            </w:r>
          </w:p>
        </w:tc>
      </w:tr>
      <w:tr w14:paraId="7933D1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shd w:val="clear" w:color="auto" w:fill="auto"/>
            <w:vAlign w:val="center"/>
          </w:tcPr>
          <w:p w14:paraId="7AF16620">
            <w:pPr>
              <w:ind w:firstLine="0" w:firstLineChars="0"/>
              <w:rPr>
                <w:rFonts w:cs="Times New Roman"/>
                <w:color w:val="auto"/>
                <w:kern w:val="0"/>
                <w:sz w:val="21"/>
                <w:szCs w:val="21"/>
              </w:rPr>
            </w:pPr>
            <w:r>
              <w:rPr>
                <w:rFonts w:cs="Times New Roman"/>
                <w:color w:val="auto"/>
                <w:kern w:val="0"/>
                <w:sz w:val="21"/>
                <w:szCs w:val="21"/>
              </w:rPr>
              <w:t>隼形目</w:t>
            </w:r>
            <w:r>
              <w:rPr>
                <w:rFonts w:hint="eastAsia" w:cs="Times New Roman"/>
                <w:color w:val="auto"/>
                <w:kern w:val="0"/>
                <w:sz w:val="21"/>
                <w:szCs w:val="21"/>
              </w:rPr>
              <w:t>F</w:t>
            </w:r>
            <w:r>
              <w:rPr>
                <w:rFonts w:cs="Times New Roman"/>
                <w:color w:val="auto"/>
                <w:kern w:val="0"/>
                <w:sz w:val="21"/>
                <w:szCs w:val="21"/>
              </w:rPr>
              <w:t>ALCONIFORMES</w:t>
            </w:r>
          </w:p>
        </w:tc>
        <w:tc>
          <w:tcPr>
            <w:tcW w:w="1535" w:type="pct"/>
            <w:shd w:val="clear" w:color="auto" w:fill="auto"/>
            <w:vAlign w:val="center"/>
          </w:tcPr>
          <w:p w14:paraId="0612A750">
            <w:pPr>
              <w:ind w:firstLine="0" w:firstLineChars="0"/>
              <w:rPr>
                <w:rFonts w:cs="Times New Roman"/>
                <w:color w:val="auto"/>
                <w:kern w:val="0"/>
                <w:sz w:val="21"/>
                <w:szCs w:val="21"/>
              </w:rPr>
            </w:pPr>
            <w:r>
              <w:rPr>
                <w:rFonts w:cs="Times New Roman"/>
                <w:color w:val="auto"/>
                <w:kern w:val="0"/>
                <w:sz w:val="21"/>
                <w:szCs w:val="21"/>
              </w:rPr>
              <w:t>隼科Falconidae</w:t>
            </w:r>
          </w:p>
        </w:tc>
        <w:tc>
          <w:tcPr>
            <w:tcW w:w="427" w:type="pct"/>
          </w:tcPr>
          <w:p w14:paraId="4B1FFE58">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1E160FB0">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2</w:t>
            </w:r>
          </w:p>
        </w:tc>
        <w:tc>
          <w:tcPr>
            <w:tcW w:w="652" w:type="pct"/>
            <w:shd w:val="clear" w:color="auto" w:fill="auto"/>
            <w:vAlign w:val="center"/>
          </w:tcPr>
          <w:p w14:paraId="6A6F4616">
            <w:pPr>
              <w:ind w:firstLine="0" w:firstLineChars="0"/>
              <w:rPr>
                <w:rFonts w:cs="Times New Roman"/>
                <w:color w:val="auto"/>
                <w:spacing w:val="-6"/>
                <w:sz w:val="21"/>
                <w:szCs w:val="21"/>
              </w:rPr>
            </w:pPr>
            <w:r>
              <w:rPr>
                <w:rFonts w:hint="eastAsia" w:cs="Times New Roman"/>
                <w:color w:val="auto"/>
                <w:sz w:val="21"/>
                <w:szCs w:val="21"/>
              </w:rPr>
              <w:t>2.</w:t>
            </w:r>
            <w:r>
              <w:rPr>
                <w:rFonts w:cs="Times New Roman"/>
                <w:color w:val="auto"/>
                <w:sz w:val="21"/>
                <w:szCs w:val="21"/>
              </w:rPr>
              <w:t>27%</w:t>
            </w:r>
          </w:p>
        </w:tc>
      </w:tr>
      <w:tr w14:paraId="137BB5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restart"/>
            <w:shd w:val="clear" w:color="auto" w:fill="auto"/>
            <w:vAlign w:val="center"/>
          </w:tcPr>
          <w:p w14:paraId="34F7E0DC">
            <w:pPr>
              <w:ind w:firstLine="0" w:firstLineChars="0"/>
              <w:rPr>
                <w:rFonts w:cs="Times New Roman"/>
                <w:color w:val="auto"/>
                <w:sz w:val="21"/>
                <w:szCs w:val="21"/>
              </w:rPr>
            </w:pPr>
            <w:r>
              <w:rPr>
                <w:rFonts w:cs="Times New Roman"/>
                <w:color w:val="auto"/>
                <w:kern w:val="0"/>
                <w:sz w:val="21"/>
                <w:szCs w:val="21"/>
              </w:rPr>
              <w:t>雀形目PASSERIFORMES</w:t>
            </w:r>
          </w:p>
        </w:tc>
        <w:tc>
          <w:tcPr>
            <w:tcW w:w="1535" w:type="pct"/>
            <w:shd w:val="clear" w:color="auto" w:fill="auto"/>
            <w:vAlign w:val="center"/>
          </w:tcPr>
          <w:p w14:paraId="0F5B32BB">
            <w:pPr>
              <w:ind w:firstLine="0" w:firstLineChars="0"/>
              <w:rPr>
                <w:rFonts w:cs="Times New Roman"/>
                <w:color w:val="auto"/>
                <w:kern w:val="0"/>
                <w:sz w:val="21"/>
                <w:szCs w:val="21"/>
              </w:rPr>
            </w:pPr>
            <w:r>
              <w:rPr>
                <w:rFonts w:cs="Times New Roman"/>
                <w:color w:val="auto"/>
                <w:kern w:val="0"/>
                <w:sz w:val="21"/>
                <w:szCs w:val="21"/>
              </w:rPr>
              <w:t>山椒鸟科Campephaidae</w:t>
            </w:r>
          </w:p>
        </w:tc>
        <w:tc>
          <w:tcPr>
            <w:tcW w:w="427" w:type="pct"/>
          </w:tcPr>
          <w:p w14:paraId="1B3E2AE0">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7594BE7A">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2</w:t>
            </w:r>
          </w:p>
        </w:tc>
        <w:tc>
          <w:tcPr>
            <w:tcW w:w="652" w:type="pct"/>
            <w:shd w:val="clear" w:color="auto" w:fill="auto"/>
            <w:vAlign w:val="center"/>
          </w:tcPr>
          <w:p w14:paraId="3790B33E">
            <w:pPr>
              <w:ind w:firstLine="0" w:firstLineChars="0"/>
              <w:rPr>
                <w:rFonts w:cs="Times New Roman"/>
                <w:color w:val="auto"/>
                <w:spacing w:val="-6"/>
                <w:sz w:val="21"/>
                <w:szCs w:val="21"/>
              </w:rPr>
            </w:pPr>
            <w:r>
              <w:rPr>
                <w:rFonts w:hint="eastAsia" w:cs="Times New Roman"/>
                <w:color w:val="auto"/>
                <w:sz w:val="21"/>
                <w:szCs w:val="21"/>
              </w:rPr>
              <w:t>2.</w:t>
            </w:r>
            <w:r>
              <w:rPr>
                <w:rFonts w:cs="Times New Roman"/>
                <w:color w:val="auto"/>
                <w:sz w:val="21"/>
                <w:szCs w:val="21"/>
              </w:rPr>
              <w:t>27%</w:t>
            </w:r>
          </w:p>
        </w:tc>
      </w:tr>
      <w:tr w14:paraId="26EF4E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57E57038">
            <w:pPr>
              <w:ind w:firstLine="420"/>
              <w:rPr>
                <w:rFonts w:cs="Times New Roman"/>
                <w:color w:val="auto"/>
                <w:kern w:val="0"/>
                <w:sz w:val="21"/>
                <w:szCs w:val="21"/>
              </w:rPr>
            </w:pPr>
          </w:p>
        </w:tc>
        <w:tc>
          <w:tcPr>
            <w:tcW w:w="1535" w:type="pct"/>
            <w:shd w:val="clear" w:color="auto" w:fill="auto"/>
            <w:vAlign w:val="center"/>
          </w:tcPr>
          <w:p w14:paraId="1A9F86EE">
            <w:pPr>
              <w:ind w:firstLine="0" w:firstLineChars="0"/>
              <w:rPr>
                <w:rFonts w:cs="Times New Roman"/>
                <w:color w:val="auto"/>
                <w:spacing w:val="-10"/>
                <w:kern w:val="15"/>
                <w:sz w:val="21"/>
                <w:szCs w:val="21"/>
              </w:rPr>
            </w:pPr>
            <w:r>
              <w:rPr>
                <w:rFonts w:cs="Times New Roman"/>
                <w:color w:val="auto"/>
                <w:sz w:val="21"/>
                <w:szCs w:val="21"/>
              </w:rPr>
              <w:t>扇尾鹟科Rhipiduridae</w:t>
            </w:r>
          </w:p>
        </w:tc>
        <w:tc>
          <w:tcPr>
            <w:tcW w:w="427" w:type="pct"/>
          </w:tcPr>
          <w:p w14:paraId="2997B680">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5D70757E">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1</w:t>
            </w:r>
          </w:p>
        </w:tc>
        <w:tc>
          <w:tcPr>
            <w:tcW w:w="652" w:type="pct"/>
            <w:shd w:val="clear" w:color="auto" w:fill="auto"/>
            <w:vAlign w:val="center"/>
          </w:tcPr>
          <w:p w14:paraId="10C1808F">
            <w:pPr>
              <w:ind w:firstLine="0" w:firstLineChars="0"/>
              <w:rPr>
                <w:rFonts w:cs="Times New Roman"/>
                <w:color w:val="auto"/>
                <w:spacing w:val="-6"/>
                <w:sz w:val="21"/>
                <w:szCs w:val="21"/>
              </w:rPr>
            </w:pPr>
            <w:r>
              <w:rPr>
                <w:rFonts w:cs="Times New Roman"/>
                <w:color w:val="auto"/>
                <w:sz w:val="21"/>
                <w:szCs w:val="21"/>
              </w:rPr>
              <w:t>0.33%</w:t>
            </w:r>
          </w:p>
        </w:tc>
      </w:tr>
      <w:tr w14:paraId="22B7B1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5D5FCB32">
            <w:pPr>
              <w:ind w:firstLine="420"/>
              <w:rPr>
                <w:rFonts w:cs="Times New Roman"/>
                <w:color w:val="auto"/>
                <w:kern w:val="0"/>
                <w:sz w:val="21"/>
                <w:szCs w:val="21"/>
              </w:rPr>
            </w:pPr>
          </w:p>
        </w:tc>
        <w:tc>
          <w:tcPr>
            <w:tcW w:w="1535" w:type="pct"/>
            <w:shd w:val="clear" w:color="auto" w:fill="auto"/>
            <w:vAlign w:val="center"/>
          </w:tcPr>
          <w:p w14:paraId="5A6DE62D">
            <w:pPr>
              <w:ind w:firstLine="0" w:firstLineChars="0"/>
              <w:rPr>
                <w:rFonts w:cs="Times New Roman"/>
                <w:color w:val="auto"/>
                <w:sz w:val="21"/>
                <w:szCs w:val="21"/>
              </w:rPr>
            </w:pPr>
            <w:r>
              <w:rPr>
                <w:rFonts w:cs="Times New Roman"/>
                <w:color w:val="auto"/>
                <w:kern w:val="0"/>
                <w:sz w:val="21"/>
                <w:szCs w:val="21"/>
              </w:rPr>
              <w:t>卷尾科Dicruridae</w:t>
            </w:r>
          </w:p>
        </w:tc>
        <w:tc>
          <w:tcPr>
            <w:tcW w:w="427" w:type="pct"/>
          </w:tcPr>
          <w:p w14:paraId="49EF27C2">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0EC9709A">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1</w:t>
            </w:r>
          </w:p>
        </w:tc>
        <w:tc>
          <w:tcPr>
            <w:tcW w:w="652" w:type="pct"/>
            <w:shd w:val="clear" w:color="auto" w:fill="auto"/>
            <w:vAlign w:val="center"/>
          </w:tcPr>
          <w:p w14:paraId="10F28E37">
            <w:pPr>
              <w:ind w:firstLine="0" w:firstLineChars="0"/>
              <w:rPr>
                <w:rFonts w:cs="Times New Roman"/>
                <w:color w:val="auto"/>
                <w:spacing w:val="-6"/>
                <w:sz w:val="21"/>
                <w:szCs w:val="21"/>
              </w:rPr>
            </w:pPr>
            <w:r>
              <w:rPr>
                <w:rFonts w:cs="Times New Roman"/>
                <w:color w:val="auto"/>
                <w:spacing w:val="-6"/>
                <w:sz w:val="21"/>
                <w:szCs w:val="21"/>
              </w:rPr>
              <w:t>1.14%</w:t>
            </w:r>
          </w:p>
        </w:tc>
      </w:tr>
      <w:tr w14:paraId="590E209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31CE7E90">
            <w:pPr>
              <w:ind w:firstLine="420"/>
              <w:rPr>
                <w:rFonts w:cs="Times New Roman"/>
                <w:color w:val="auto"/>
                <w:kern w:val="0"/>
                <w:sz w:val="21"/>
                <w:szCs w:val="21"/>
              </w:rPr>
            </w:pPr>
          </w:p>
        </w:tc>
        <w:tc>
          <w:tcPr>
            <w:tcW w:w="1535" w:type="pct"/>
            <w:shd w:val="clear" w:color="auto" w:fill="auto"/>
            <w:vAlign w:val="center"/>
          </w:tcPr>
          <w:p w14:paraId="1FCE2DED">
            <w:pPr>
              <w:ind w:firstLine="0" w:firstLineChars="0"/>
              <w:rPr>
                <w:rFonts w:cs="Times New Roman"/>
                <w:color w:val="auto"/>
                <w:kern w:val="0"/>
                <w:sz w:val="21"/>
                <w:szCs w:val="21"/>
              </w:rPr>
            </w:pPr>
            <w:r>
              <w:rPr>
                <w:rFonts w:cs="Times New Roman"/>
                <w:color w:val="auto"/>
                <w:kern w:val="0"/>
                <w:sz w:val="21"/>
                <w:szCs w:val="21"/>
              </w:rPr>
              <w:t>伯劳科Laniidae</w:t>
            </w:r>
          </w:p>
        </w:tc>
        <w:tc>
          <w:tcPr>
            <w:tcW w:w="427" w:type="pct"/>
          </w:tcPr>
          <w:p w14:paraId="398FDEE8">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69BB4B01">
            <w:pPr>
              <w:ind w:firstLine="0" w:firstLineChars="0"/>
              <w:jc w:val="center"/>
              <w:rPr>
                <w:rFonts w:cs="Times New Roman"/>
                <w:color w:val="auto"/>
                <w:spacing w:val="-6"/>
                <w:sz w:val="21"/>
                <w:szCs w:val="21"/>
              </w:rPr>
            </w:pPr>
            <w:r>
              <w:rPr>
                <w:rFonts w:cs="Times New Roman"/>
                <w:color w:val="auto"/>
                <w:spacing w:val="-6"/>
                <w:sz w:val="21"/>
                <w:szCs w:val="21"/>
              </w:rPr>
              <w:t>2</w:t>
            </w:r>
          </w:p>
        </w:tc>
        <w:tc>
          <w:tcPr>
            <w:tcW w:w="652" w:type="pct"/>
            <w:shd w:val="clear" w:color="auto" w:fill="auto"/>
            <w:vAlign w:val="center"/>
          </w:tcPr>
          <w:p w14:paraId="6E7C2FBE">
            <w:pPr>
              <w:ind w:firstLine="0" w:firstLineChars="0"/>
              <w:rPr>
                <w:rFonts w:cs="Times New Roman"/>
                <w:color w:val="auto"/>
                <w:spacing w:val="-6"/>
                <w:sz w:val="21"/>
                <w:szCs w:val="21"/>
              </w:rPr>
            </w:pPr>
            <w:r>
              <w:rPr>
                <w:rFonts w:hint="eastAsia" w:cs="Times New Roman"/>
                <w:color w:val="auto"/>
                <w:sz w:val="21"/>
                <w:szCs w:val="21"/>
              </w:rPr>
              <w:t>2.</w:t>
            </w:r>
            <w:r>
              <w:rPr>
                <w:rFonts w:cs="Times New Roman"/>
                <w:color w:val="auto"/>
                <w:sz w:val="21"/>
                <w:szCs w:val="21"/>
              </w:rPr>
              <w:t>27%</w:t>
            </w:r>
          </w:p>
        </w:tc>
      </w:tr>
      <w:tr w14:paraId="4C7FB2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5952F5AC">
            <w:pPr>
              <w:ind w:firstLine="420"/>
              <w:rPr>
                <w:rFonts w:cs="Times New Roman"/>
                <w:color w:val="auto"/>
                <w:kern w:val="0"/>
                <w:sz w:val="21"/>
                <w:szCs w:val="21"/>
              </w:rPr>
            </w:pPr>
          </w:p>
        </w:tc>
        <w:tc>
          <w:tcPr>
            <w:tcW w:w="1535" w:type="pct"/>
            <w:shd w:val="clear" w:color="auto" w:fill="auto"/>
            <w:vAlign w:val="center"/>
          </w:tcPr>
          <w:p w14:paraId="0F315728">
            <w:pPr>
              <w:ind w:firstLine="0" w:firstLineChars="0"/>
              <w:rPr>
                <w:rFonts w:cs="Times New Roman"/>
                <w:color w:val="auto"/>
                <w:kern w:val="0"/>
                <w:sz w:val="21"/>
                <w:szCs w:val="21"/>
              </w:rPr>
            </w:pPr>
            <w:r>
              <w:rPr>
                <w:rFonts w:cs="Times New Roman"/>
                <w:color w:val="auto"/>
                <w:kern w:val="0"/>
                <w:sz w:val="21"/>
                <w:szCs w:val="21"/>
              </w:rPr>
              <w:t>鸦科</w:t>
            </w:r>
            <w:r>
              <w:rPr>
                <w:color w:val="auto"/>
                <w:kern w:val="0"/>
                <w:sz w:val="21"/>
                <w:szCs w:val="21"/>
              </w:rPr>
              <w:t>Corvidae</w:t>
            </w:r>
          </w:p>
        </w:tc>
        <w:tc>
          <w:tcPr>
            <w:tcW w:w="427" w:type="pct"/>
          </w:tcPr>
          <w:p w14:paraId="42528E3B">
            <w:pPr>
              <w:ind w:firstLine="0" w:firstLineChars="0"/>
              <w:jc w:val="center"/>
              <w:rPr>
                <w:rFonts w:cs="Times New Roman"/>
                <w:color w:val="auto"/>
                <w:spacing w:val="-6"/>
                <w:sz w:val="21"/>
                <w:szCs w:val="21"/>
              </w:rPr>
            </w:pPr>
            <w:r>
              <w:rPr>
                <w:rFonts w:cs="Times New Roman"/>
                <w:color w:val="auto"/>
                <w:spacing w:val="-6"/>
                <w:sz w:val="21"/>
                <w:szCs w:val="21"/>
              </w:rPr>
              <w:t>3</w:t>
            </w:r>
          </w:p>
        </w:tc>
        <w:tc>
          <w:tcPr>
            <w:tcW w:w="508" w:type="pct"/>
            <w:vAlign w:val="center"/>
          </w:tcPr>
          <w:p w14:paraId="608265DE">
            <w:pPr>
              <w:ind w:firstLine="0" w:firstLineChars="0"/>
              <w:jc w:val="center"/>
              <w:rPr>
                <w:rFonts w:cs="Times New Roman"/>
                <w:color w:val="auto"/>
                <w:spacing w:val="-6"/>
                <w:sz w:val="21"/>
                <w:szCs w:val="21"/>
              </w:rPr>
            </w:pPr>
            <w:r>
              <w:rPr>
                <w:rFonts w:cs="Times New Roman"/>
                <w:color w:val="auto"/>
                <w:spacing w:val="-6"/>
                <w:sz w:val="21"/>
                <w:szCs w:val="21"/>
              </w:rPr>
              <w:t>3</w:t>
            </w:r>
          </w:p>
        </w:tc>
        <w:tc>
          <w:tcPr>
            <w:tcW w:w="652" w:type="pct"/>
            <w:shd w:val="clear" w:color="auto" w:fill="auto"/>
            <w:vAlign w:val="center"/>
          </w:tcPr>
          <w:p w14:paraId="2424CA97">
            <w:pPr>
              <w:ind w:firstLine="0" w:firstLineChars="0"/>
              <w:rPr>
                <w:rFonts w:cs="Times New Roman"/>
                <w:color w:val="auto"/>
                <w:spacing w:val="-6"/>
                <w:sz w:val="21"/>
                <w:szCs w:val="21"/>
              </w:rPr>
            </w:pPr>
            <w:r>
              <w:rPr>
                <w:rFonts w:cs="Times New Roman"/>
                <w:color w:val="auto"/>
                <w:spacing w:val="-6"/>
                <w:sz w:val="21"/>
                <w:szCs w:val="21"/>
              </w:rPr>
              <w:t>3.41%</w:t>
            </w:r>
          </w:p>
        </w:tc>
      </w:tr>
      <w:tr w14:paraId="17CA88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73F142C7">
            <w:pPr>
              <w:ind w:firstLine="420"/>
              <w:rPr>
                <w:rFonts w:cs="Times New Roman"/>
                <w:color w:val="auto"/>
                <w:kern w:val="0"/>
                <w:sz w:val="21"/>
                <w:szCs w:val="21"/>
              </w:rPr>
            </w:pPr>
          </w:p>
        </w:tc>
        <w:tc>
          <w:tcPr>
            <w:tcW w:w="1535" w:type="pct"/>
            <w:shd w:val="clear" w:color="auto" w:fill="auto"/>
            <w:vAlign w:val="center"/>
          </w:tcPr>
          <w:p w14:paraId="2A1ACE29">
            <w:pPr>
              <w:ind w:firstLine="0" w:firstLineChars="0"/>
              <w:rPr>
                <w:rFonts w:cs="Times New Roman"/>
                <w:color w:val="auto"/>
                <w:kern w:val="0"/>
                <w:sz w:val="21"/>
                <w:szCs w:val="21"/>
              </w:rPr>
            </w:pPr>
            <w:r>
              <w:rPr>
                <w:rFonts w:cs="Times New Roman"/>
                <w:color w:val="auto"/>
                <w:kern w:val="0"/>
                <w:sz w:val="21"/>
                <w:szCs w:val="21"/>
              </w:rPr>
              <w:t>玉鹟科Stenostiridae</w:t>
            </w:r>
          </w:p>
        </w:tc>
        <w:tc>
          <w:tcPr>
            <w:tcW w:w="427" w:type="pct"/>
          </w:tcPr>
          <w:p w14:paraId="0472B9AA">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5F7BBCE1">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652" w:type="pct"/>
            <w:shd w:val="clear" w:color="auto" w:fill="auto"/>
            <w:vAlign w:val="center"/>
          </w:tcPr>
          <w:p w14:paraId="55ABC801">
            <w:pPr>
              <w:ind w:firstLine="0" w:firstLineChars="0"/>
              <w:rPr>
                <w:rFonts w:cs="Times New Roman"/>
                <w:color w:val="auto"/>
                <w:sz w:val="21"/>
                <w:szCs w:val="21"/>
              </w:rPr>
            </w:pPr>
            <w:r>
              <w:rPr>
                <w:rFonts w:cs="Times New Roman"/>
                <w:color w:val="auto"/>
                <w:spacing w:val="-6"/>
                <w:sz w:val="21"/>
                <w:szCs w:val="21"/>
              </w:rPr>
              <w:t>1.14%</w:t>
            </w:r>
          </w:p>
        </w:tc>
      </w:tr>
      <w:tr w14:paraId="6B0718A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776E16B4">
            <w:pPr>
              <w:ind w:firstLine="420"/>
              <w:rPr>
                <w:rFonts w:cs="Times New Roman"/>
                <w:color w:val="auto"/>
                <w:kern w:val="0"/>
                <w:sz w:val="21"/>
                <w:szCs w:val="21"/>
              </w:rPr>
            </w:pPr>
          </w:p>
        </w:tc>
        <w:tc>
          <w:tcPr>
            <w:tcW w:w="1535" w:type="pct"/>
            <w:shd w:val="clear" w:color="auto" w:fill="auto"/>
            <w:vAlign w:val="center"/>
          </w:tcPr>
          <w:p w14:paraId="58126ACF">
            <w:pPr>
              <w:ind w:firstLine="0" w:firstLineChars="0"/>
              <w:rPr>
                <w:rFonts w:cs="Times New Roman"/>
                <w:color w:val="auto"/>
                <w:kern w:val="0"/>
                <w:sz w:val="21"/>
                <w:szCs w:val="21"/>
              </w:rPr>
            </w:pPr>
            <w:r>
              <w:rPr>
                <w:rFonts w:cs="Times New Roman"/>
                <w:color w:val="auto"/>
                <w:kern w:val="0"/>
                <w:sz w:val="21"/>
                <w:szCs w:val="21"/>
              </w:rPr>
              <w:t>山雀科Paridae</w:t>
            </w:r>
          </w:p>
        </w:tc>
        <w:tc>
          <w:tcPr>
            <w:tcW w:w="427" w:type="pct"/>
          </w:tcPr>
          <w:p w14:paraId="45DC1DAE">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1F12202C">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2</w:t>
            </w:r>
          </w:p>
        </w:tc>
        <w:tc>
          <w:tcPr>
            <w:tcW w:w="652" w:type="pct"/>
            <w:shd w:val="clear" w:color="auto" w:fill="auto"/>
            <w:vAlign w:val="center"/>
          </w:tcPr>
          <w:p w14:paraId="064E4DFC">
            <w:pPr>
              <w:ind w:firstLine="0" w:firstLineChars="0"/>
              <w:rPr>
                <w:rFonts w:cs="Times New Roman"/>
                <w:color w:val="auto"/>
                <w:sz w:val="21"/>
                <w:szCs w:val="21"/>
              </w:rPr>
            </w:pPr>
            <w:r>
              <w:rPr>
                <w:rFonts w:hint="eastAsia" w:cs="Times New Roman"/>
                <w:color w:val="auto"/>
                <w:sz w:val="21"/>
                <w:szCs w:val="21"/>
              </w:rPr>
              <w:t>2.</w:t>
            </w:r>
            <w:r>
              <w:rPr>
                <w:rFonts w:cs="Times New Roman"/>
                <w:color w:val="auto"/>
                <w:sz w:val="21"/>
                <w:szCs w:val="21"/>
              </w:rPr>
              <w:t>27%</w:t>
            </w:r>
          </w:p>
        </w:tc>
      </w:tr>
      <w:tr w14:paraId="5A607A9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4ADFFCBB">
            <w:pPr>
              <w:ind w:firstLine="420"/>
              <w:rPr>
                <w:rFonts w:cs="Times New Roman"/>
                <w:color w:val="auto"/>
                <w:kern w:val="0"/>
                <w:sz w:val="21"/>
                <w:szCs w:val="21"/>
              </w:rPr>
            </w:pPr>
          </w:p>
        </w:tc>
        <w:tc>
          <w:tcPr>
            <w:tcW w:w="1535" w:type="pct"/>
            <w:tcBorders>
              <w:top w:val="single" w:color="000000" w:sz="4" w:space="0"/>
              <w:left w:val="single" w:color="000000" w:sz="4" w:space="0"/>
              <w:bottom w:val="single" w:color="000000" w:sz="4" w:space="0"/>
              <w:right w:val="single" w:color="000000" w:sz="4" w:space="0"/>
            </w:tcBorders>
            <w:vAlign w:val="center"/>
          </w:tcPr>
          <w:p w14:paraId="63477CD4">
            <w:pPr>
              <w:ind w:firstLine="0" w:firstLineChars="0"/>
              <w:rPr>
                <w:rFonts w:cs="Times New Roman"/>
                <w:color w:val="auto"/>
                <w:kern w:val="0"/>
                <w:sz w:val="21"/>
                <w:szCs w:val="21"/>
              </w:rPr>
            </w:pPr>
            <w:r>
              <w:rPr>
                <w:rFonts w:cs="Times New Roman"/>
                <w:color w:val="auto"/>
                <w:kern w:val="0"/>
                <w:sz w:val="21"/>
                <w:szCs w:val="21"/>
              </w:rPr>
              <w:t>百灵科Alaudidae</w:t>
            </w:r>
          </w:p>
        </w:tc>
        <w:tc>
          <w:tcPr>
            <w:tcW w:w="427" w:type="pct"/>
          </w:tcPr>
          <w:p w14:paraId="65175224">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72A5A988">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1</w:t>
            </w:r>
          </w:p>
        </w:tc>
        <w:tc>
          <w:tcPr>
            <w:tcW w:w="652" w:type="pct"/>
            <w:shd w:val="clear" w:color="auto" w:fill="auto"/>
            <w:vAlign w:val="center"/>
          </w:tcPr>
          <w:p w14:paraId="57AD3A7C">
            <w:pPr>
              <w:ind w:firstLine="0" w:firstLineChars="0"/>
              <w:rPr>
                <w:rFonts w:cs="Times New Roman"/>
                <w:color w:val="auto"/>
                <w:sz w:val="21"/>
                <w:szCs w:val="21"/>
              </w:rPr>
            </w:pPr>
            <w:r>
              <w:rPr>
                <w:rFonts w:cs="Times New Roman"/>
                <w:color w:val="auto"/>
                <w:spacing w:val="-6"/>
                <w:sz w:val="21"/>
                <w:szCs w:val="21"/>
              </w:rPr>
              <w:t>1.14%</w:t>
            </w:r>
          </w:p>
        </w:tc>
      </w:tr>
      <w:tr w14:paraId="53E4FA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1716C2CE">
            <w:pPr>
              <w:ind w:firstLine="420"/>
              <w:rPr>
                <w:rFonts w:cs="Times New Roman"/>
                <w:color w:val="auto"/>
                <w:kern w:val="0"/>
                <w:sz w:val="21"/>
                <w:szCs w:val="21"/>
              </w:rPr>
            </w:pPr>
          </w:p>
        </w:tc>
        <w:tc>
          <w:tcPr>
            <w:tcW w:w="1535" w:type="pct"/>
            <w:tcBorders>
              <w:top w:val="single" w:color="000000" w:sz="4" w:space="0"/>
              <w:left w:val="single" w:color="000000" w:sz="4" w:space="0"/>
              <w:bottom w:val="single" w:color="000000" w:sz="4" w:space="0"/>
              <w:right w:val="single" w:color="000000" w:sz="4" w:space="0"/>
            </w:tcBorders>
            <w:vAlign w:val="center"/>
          </w:tcPr>
          <w:p w14:paraId="1BC44EC0">
            <w:pPr>
              <w:ind w:firstLine="0" w:firstLineChars="0"/>
              <w:rPr>
                <w:rFonts w:cs="Times New Roman"/>
                <w:color w:val="auto"/>
                <w:kern w:val="0"/>
                <w:sz w:val="21"/>
                <w:szCs w:val="21"/>
              </w:rPr>
            </w:pPr>
            <w:r>
              <w:rPr>
                <w:rFonts w:cs="Times New Roman"/>
                <w:color w:val="auto"/>
                <w:kern w:val="0"/>
                <w:sz w:val="21"/>
                <w:szCs w:val="21"/>
              </w:rPr>
              <w:t>扇尾莺科Cisticolidae</w:t>
            </w:r>
          </w:p>
        </w:tc>
        <w:tc>
          <w:tcPr>
            <w:tcW w:w="427" w:type="pct"/>
          </w:tcPr>
          <w:p w14:paraId="5CB8A9A3">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008BD1CC">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652" w:type="pct"/>
            <w:shd w:val="clear" w:color="auto" w:fill="auto"/>
            <w:vAlign w:val="center"/>
          </w:tcPr>
          <w:p w14:paraId="33AF3F78">
            <w:pPr>
              <w:ind w:firstLine="0" w:firstLineChars="0"/>
              <w:rPr>
                <w:rFonts w:cs="Times New Roman"/>
                <w:color w:val="auto"/>
                <w:sz w:val="21"/>
                <w:szCs w:val="21"/>
              </w:rPr>
            </w:pPr>
            <w:r>
              <w:rPr>
                <w:rFonts w:cs="Times New Roman"/>
                <w:color w:val="auto"/>
                <w:spacing w:val="-6"/>
                <w:sz w:val="21"/>
                <w:szCs w:val="21"/>
              </w:rPr>
              <w:t>1.14%</w:t>
            </w:r>
          </w:p>
        </w:tc>
      </w:tr>
      <w:tr w14:paraId="4278324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6CB30545">
            <w:pPr>
              <w:ind w:firstLine="420"/>
              <w:rPr>
                <w:rFonts w:cs="Times New Roman"/>
                <w:color w:val="auto"/>
                <w:kern w:val="0"/>
                <w:sz w:val="21"/>
                <w:szCs w:val="21"/>
              </w:rPr>
            </w:pPr>
          </w:p>
        </w:tc>
        <w:tc>
          <w:tcPr>
            <w:tcW w:w="1535" w:type="pct"/>
            <w:tcBorders>
              <w:top w:val="single" w:color="000000" w:sz="4" w:space="0"/>
              <w:left w:val="single" w:color="000000" w:sz="4" w:space="0"/>
              <w:bottom w:val="single" w:color="000000" w:sz="4" w:space="0"/>
              <w:right w:val="single" w:color="000000" w:sz="4" w:space="0"/>
            </w:tcBorders>
            <w:vAlign w:val="center"/>
          </w:tcPr>
          <w:p w14:paraId="6DFAFFB1">
            <w:pPr>
              <w:ind w:firstLine="0" w:firstLineChars="0"/>
              <w:rPr>
                <w:rFonts w:cs="Times New Roman"/>
                <w:color w:val="auto"/>
                <w:kern w:val="0"/>
                <w:sz w:val="21"/>
                <w:szCs w:val="21"/>
              </w:rPr>
            </w:pPr>
            <w:r>
              <w:rPr>
                <w:rFonts w:cs="Times New Roman"/>
                <w:color w:val="auto"/>
                <w:kern w:val="0"/>
                <w:sz w:val="21"/>
                <w:szCs w:val="21"/>
              </w:rPr>
              <w:t>燕科Hirundinidae</w:t>
            </w:r>
          </w:p>
        </w:tc>
        <w:tc>
          <w:tcPr>
            <w:tcW w:w="427" w:type="pct"/>
          </w:tcPr>
          <w:p w14:paraId="2AA948A3">
            <w:pPr>
              <w:ind w:firstLine="0" w:firstLineChars="0"/>
              <w:jc w:val="center"/>
              <w:rPr>
                <w:rFonts w:cs="Times New Roman"/>
                <w:color w:val="auto"/>
                <w:spacing w:val="-6"/>
                <w:sz w:val="21"/>
                <w:szCs w:val="21"/>
              </w:rPr>
            </w:pPr>
            <w:r>
              <w:rPr>
                <w:rFonts w:cs="Times New Roman"/>
                <w:color w:val="auto"/>
                <w:spacing w:val="-6"/>
                <w:sz w:val="21"/>
                <w:szCs w:val="21"/>
              </w:rPr>
              <w:t>2</w:t>
            </w:r>
          </w:p>
        </w:tc>
        <w:tc>
          <w:tcPr>
            <w:tcW w:w="508" w:type="pct"/>
            <w:vAlign w:val="center"/>
          </w:tcPr>
          <w:p w14:paraId="5FEFA223">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2</w:t>
            </w:r>
          </w:p>
        </w:tc>
        <w:tc>
          <w:tcPr>
            <w:tcW w:w="652" w:type="pct"/>
            <w:shd w:val="clear" w:color="auto" w:fill="auto"/>
            <w:vAlign w:val="center"/>
          </w:tcPr>
          <w:p w14:paraId="347BA229">
            <w:pPr>
              <w:ind w:firstLine="0" w:firstLineChars="0"/>
              <w:rPr>
                <w:rFonts w:cs="Times New Roman"/>
                <w:color w:val="auto"/>
                <w:sz w:val="21"/>
                <w:szCs w:val="21"/>
              </w:rPr>
            </w:pPr>
            <w:r>
              <w:rPr>
                <w:rFonts w:hint="eastAsia" w:cs="Times New Roman"/>
                <w:color w:val="auto"/>
                <w:sz w:val="21"/>
                <w:szCs w:val="21"/>
              </w:rPr>
              <w:t>2.</w:t>
            </w:r>
            <w:r>
              <w:rPr>
                <w:rFonts w:cs="Times New Roman"/>
                <w:color w:val="auto"/>
                <w:sz w:val="21"/>
                <w:szCs w:val="21"/>
              </w:rPr>
              <w:t>27%</w:t>
            </w:r>
          </w:p>
        </w:tc>
      </w:tr>
      <w:tr w14:paraId="452C1B1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0BCCB8EC">
            <w:pPr>
              <w:ind w:firstLine="420"/>
              <w:rPr>
                <w:rFonts w:cs="Times New Roman"/>
                <w:color w:val="auto"/>
                <w:kern w:val="0"/>
                <w:sz w:val="21"/>
                <w:szCs w:val="21"/>
              </w:rPr>
            </w:pPr>
          </w:p>
        </w:tc>
        <w:tc>
          <w:tcPr>
            <w:tcW w:w="1535" w:type="pct"/>
            <w:tcBorders>
              <w:top w:val="single" w:color="000000" w:sz="4" w:space="0"/>
              <w:left w:val="single" w:color="000000" w:sz="4" w:space="0"/>
              <w:bottom w:val="single" w:color="000000" w:sz="4" w:space="0"/>
              <w:right w:val="single" w:color="000000" w:sz="4" w:space="0"/>
            </w:tcBorders>
            <w:vAlign w:val="center"/>
          </w:tcPr>
          <w:p w14:paraId="3B01FDA3">
            <w:pPr>
              <w:ind w:firstLine="0" w:firstLineChars="0"/>
              <w:rPr>
                <w:rFonts w:cs="Times New Roman"/>
                <w:color w:val="auto"/>
                <w:kern w:val="0"/>
                <w:sz w:val="21"/>
                <w:szCs w:val="21"/>
              </w:rPr>
            </w:pPr>
            <w:r>
              <w:rPr>
                <w:rFonts w:cs="Times New Roman"/>
                <w:color w:val="auto"/>
                <w:kern w:val="0"/>
                <w:sz w:val="21"/>
                <w:szCs w:val="21"/>
              </w:rPr>
              <w:t>鹎科Pycnontidae</w:t>
            </w:r>
          </w:p>
        </w:tc>
        <w:tc>
          <w:tcPr>
            <w:tcW w:w="427" w:type="pct"/>
          </w:tcPr>
          <w:p w14:paraId="68EE77AC">
            <w:pPr>
              <w:ind w:firstLine="0" w:firstLineChars="0"/>
              <w:jc w:val="center"/>
              <w:rPr>
                <w:rFonts w:cs="Times New Roman"/>
                <w:color w:val="auto"/>
                <w:spacing w:val="-6"/>
                <w:sz w:val="21"/>
                <w:szCs w:val="21"/>
              </w:rPr>
            </w:pPr>
            <w:r>
              <w:rPr>
                <w:rFonts w:cs="Times New Roman"/>
                <w:color w:val="auto"/>
                <w:spacing w:val="-6"/>
                <w:sz w:val="21"/>
                <w:szCs w:val="21"/>
              </w:rPr>
              <w:t>4</w:t>
            </w:r>
          </w:p>
        </w:tc>
        <w:tc>
          <w:tcPr>
            <w:tcW w:w="508" w:type="pct"/>
            <w:vAlign w:val="center"/>
          </w:tcPr>
          <w:p w14:paraId="794AB0FD">
            <w:pPr>
              <w:ind w:firstLine="0" w:firstLineChars="0"/>
              <w:jc w:val="center"/>
              <w:rPr>
                <w:rFonts w:cs="Times New Roman"/>
                <w:color w:val="auto"/>
                <w:spacing w:val="-6"/>
                <w:sz w:val="21"/>
                <w:szCs w:val="21"/>
              </w:rPr>
            </w:pPr>
            <w:r>
              <w:rPr>
                <w:rFonts w:cs="Times New Roman"/>
                <w:color w:val="auto"/>
                <w:spacing w:val="-6"/>
                <w:sz w:val="21"/>
                <w:szCs w:val="21"/>
              </w:rPr>
              <w:t>4</w:t>
            </w:r>
          </w:p>
        </w:tc>
        <w:tc>
          <w:tcPr>
            <w:tcW w:w="652" w:type="pct"/>
            <w:shd w:val="clear" w:color="auto" w:fill="auto"/>
            <w:vAlign w:val="center"/>
          </w:tcPr>
          <w:p w14:paraId="46FCCFDF">
            <w:pPr>
              <w:ind w:firstLine="0" w:firstLineChars="0"/>
              <w:rPr>
                <w:rFonts w:hint="eastAsia" w:eastAsia="宋体" w:cs="Times New Roman"/>
                <w:color w:val="auto"/>
                <w:sz w:val="21"/>
                <w:szCs w:val="21"/>
                <w:lang w:eastAsia="zh-CN"/>
              </w:rPr>
            </w:pPr>
            <w:r>
              <w:rPr>
                <w:rFonts w:cs="Times New Roman"/>
                <w:color w:val="auto"/>
                <w:sz w:val="21"/>
                <w:szCs w:val="21"/>
              </w:rPr>
              <w:t>4.55%</w:t>
            </w:r>
          </w:p>
        </w:tc>
      </w:tr>
      <w:tr w14:paraId="0785F1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55A118A9">
            <w:pPr>
              <w:ind w:firstLine="420"/>
              <w:rPr>
                <w:rFonts w:cs="Times New Roman"/>
                <w:color w:val="auto"/>
                <w:kern w:val="0"/>
                <w:sz w:val="21"/>
                <w:szCs w:val="21"/>
              </w:rPr>
            </w:pPr>
          </w:p>
        </w:tc>
        <w:tc>
          <w:tcPr>
            <w:tcW w:w="1535" w:type="pct"/>
            <w:shd w:val="clear" w:color="auto" w:fill="auto"/>
            <w:vAlign w:val="center"/>
          </w:tcPr>
          <w:p w14:paraId="0C4709C5">
            <w:pPr>
              <w:ind w:firstLine="0" w:firstLineChars="0"/>
              <w:rPr>
                <w:rFonts w:cs="Times New Roman"/>
                <w:color w:val="auto"/>
                <w:kern w:val="0"/>
                <w:sz w:val="21"/>
                <w:szCs w:val="21"/>
              </w:rPr>
            </w:pPr>
            <w:r>
              <w:rPr>
                <w:rFonts w:cs="Times New Roman"/>
                <w:color w:val="auto"/>
                <w:kern w:val="0"/>
                <w:sz w:val="21"/>
                <w:szCs w:val="21"/>
              </w:rPr>
              <w:t>柳莺科Sylviidae</w:t>
            </w:r>
          </w:p>
        </w:tc>
        <w:tc>
          <w:tcPr>
            <w:tcW w:w="427" w:type="pct"/>
          </w:tcPr>
          <w:p w14:paraId="24A16E52">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5D0CA267">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6</w:t>
            </w:r>
          </w:p>
        </w:tc>
        <w:tc>
          <w:tcPr>
            <w:tcW w:w="652" w:type="pct"/>
            <w:shd w:val="clear" w:color="auto" w:fill="auto"/>
            <w:vAlign w:val="center"/>
          </w:tcPr>
          <w:p w14:paraId="0719E872">
            <w:pPr>
              <w:ind w:firstLine="0" w:firstLineChars="0"/>
              <w:rPr>
                <w:rFonts w:cs="Times New Roman"/>
                <w:color w:val="auto"/>
                <w:sz w:val="21"/>
                <w:szCs w:val="21"/>
              </w:rPr>
            </w:pPr>
            <w:r>
              <w:rPr>
                <w:rFonts w:cs="Times New Roman"/>
                <w:color w:val="auto"/>
                <w:sz w:val="21"/>
                <w:szCs w:val="21"/>
              </w:rPr>
              <w:t>6.82%</w:t>
            </w:r>
          </w:p>
        </w:tc>
      </w:tr>
      <w:tr w14:paraId="035D8D4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6F866683">
            <w:pPr>
              <w:ind w:firstLine="420"/>
              <w:rPr>
                <w:rFonts w:cs="Times New Roman"/>
                <w:color w:val="auto"/>
                <w:kern w:val="0"/>
                <w:sz w:val="21"/>
                <w:szCs w:val="21"/>
              </w:rPr>
            </w:pPr>
          </w:p>
        </w:tc>
        <w:tc>
          <w:tcPr>
            <w:tcW w:w="1535" w:type="pct"/>
            <w:shd w:val="clear" w:color="auto" w:fill="auto"/>
            <w:vAlign w:val="center"/>
          </w:tcPr>
          <w:p w14:paraId="7F390463">
            <w:pPr>
              <w:ind w:firstLine="0" w:firstLineChars="0"/>
              <w:rPr>
                <w:rFonts w:cs="Times New Roman"/>
                <w:color w:val="auto"/>
                <w:kern w:val="0"/>
                <w:sz w:val="21"/>
                <w:szCs w:val="21"/>
              </w:rPr>
            </w:pPr>
            <w:r>
              <w:rPr>
                <w:rFonts w:cs="Times New Roman"/>
                <w:color w:val="auto"/>
                <w:kern w:val="0"/>
                <w:sz w:val="21"/>
                <w:szCs w:val="21"/>
              </w:rPr>
              <w:t>树莺科Cettiidae</w:t>
            </w:r>
          </w:p>
        </w:tc>
        <w:tc>
          <w:tcPr>
            <w:tcW w:w="427" w:type="pct"/>
          </w:tcPr>
          <w:p w14:paraId="4BF26870">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1F609493">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652" w:type="pct"/>
            <w:shd w:val="clear" w:color="auto" w:fill="auto"/>
            <w:vAlign w:val="center"/>
          </w:tcPr>
          <w:p w14:paraId="14BD7FE8">
            <w:pPr>
              <w:ind w:firstLine="0" w:firstLineChars="0"/>
              <w:rPr>
                <w:rFonts w:cs="Times New Roman"/>
                <w:color w:val="auto"/>
                <w:sz w:val="21"/>
                <w:szCs w:val="21"/>
              </w:rPr>
            </w:pPr>
            <w:r>
              <w:rPr>
                <w:rFonts w:cs="Times New Roman"/>
                <w:color w:val="auto"/>
                <w:spacing w:val="-6"/>
                <w:sz w:val="21"/>
                <w:szCs w:val="21"/>
              </w:rPr>
              <w:t>1.14%</w:t>
            </w:r>
          </w:p>
        </w:tc>
      </w:tr>
      <w:tr w14:paraId="09B37D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650A7608">
            <w:pPr>
              <w:ind w:firstLine="420"/>
              <w:rPr>
                <w:rFonts w:cs="Times New Roman"/>
                <w:color w:val="auto"/>
                <w:kern w:val="0"/>
                <w:sz w:val="21"/>
                <w:szCs w:val="21"/>
              </w:rPr>
            </w:pPr>
          </w:p>
        </w:tc>
        <w:tc>
          <w:tcPr>
            <w:tcW w:w="1535" w:type="pct"/>
            <w:shd w:val="clear" w:color="auto" w:fill="auto"/>
            <w:vAlign w:val="center"/>
          </w:tcPr>
          <w:p w14:paraId="389EB1C9">
            <w:pPr>
              <w:ind w:firstLine="0" w:firstLineChars="0"/>
              <w:rPr>
                <w:rFonts w:cs="Times New Roman"/>
                <w:color w:val="auto"/>
                <w:kern w:val="0"/>
                <w:sz w:val="21"/>
                <w:szCs w:val="21"/>
              </w:rPr>
            </w:pPr>
            <w:r>
              <w:rPr>
                <w:rFonts w:cs="Times New Roman"/>
                <w:color w:val="auto"/>
                <w:kern w:val="0"/>
                <w:sz w:val="21"/>
                <w:szCs w:val="21"/>
              </w:rPr>
              <w:t>长尾山雀科Aegithalidae</w:t>
            </w:r>
          </w:p>
        </w:tc>
        <w:tc>
          <w:tcPr>
            <w:tcW w:w="427" w:type="pct"/>
          </w:tcPr>
          <w:p w14:paraId="6C9A416F">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7981010B">
            <w:pPr>
              <w:ind w:firstLine="0" w:firstLineChars="0"/>
              <w:jc w:val="center"/>
              <w:rPr>
                <w:rFonts w:cs="Times New Roman"/>
                <w:color w:val="auto"/>
                <w:spacing w:val="-6"/>
                <w:sz w:val="21"/>
                <w:szCs w:val="21"/>
              </w:rPr>
            </w:pPr>
            <w:r>
              <w:rPr>
                <w:rFonts w:cs="Times New Roman"/>
                <w:color w:val="auto"/>
                <w:spacing w:val="-6"/>
                <w:sz w:val="21"/>
                <w:szCs w:val="21"/>
              </w:rPr>
              <w:t>2</w:t>
            </w:r>
          </w:p>
        </w:tc>
        <w:tc>
          <w:tcPr>
            <w:tcW w:w="652" w:type="pct"/>
            <w:shd w:val="clear" w:color="auto" w:fill="auto"/>
            <w:vAlign w:val="center"/>
          </w:tcPr>
          <w:p w14:paraId="3BCF18C2">
            <w:pPr>
              <w:ind w:firstLine="0" w:firstLineChars="0"/>
              <w:rPr>
                <w:rFonts w:cs="Times New Roman"/>
                <w:color w:val="auto"/>
                <w:sz w:val="21"/>
                <w:szCs w:val="21"/>
              </w:rPr>
            </w:pPr>
            <w:r>
              <w:rPr>
                <w:rFonts w:hint="eastAsia" w:cs="Times New Roman"/>
                <w:color w:val="auto"/>
                <w:sz w:val="21"/>
                <w:szCs w:val="21"/>
              </w:rPr>
              <w:t>2.</w:t>
            </w:r>
            <w:r>
              <w:rPr>
                <w:rFonts w:cs="Times New Roman"/>
                <w:color w:val="auto"/>
                <w:sz w:val="21"/>
                <w:szCs w:val="21"/>
              </w:rPr>
              <w:t>27%</w:t>
            </w:r>
          </w:p>
        </w:tc>
      </w:tr>
      <w:tr w14:paraId="70A9581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79566D7F">
            <w:pPr>
              <w:ind w:firstLine="420"/>
              <w:rPr>
                <w:rFonts w:cs="Times New Roman"/>
                <w:color w:val="auto"/>
                <w:kern w:val="0"/>
                <w:sz w:val="21"/>
                <w:szCs w:val="21"/>
              </w:rPr>
            </w:pPr>
          </w:p>
        </w:tc>
        <w:tc>
          <w:tcPr>
            <w:tcW w:w="1535" w:type="pct"/>
            <w:shd w:val="clear" w:color="auto" w:fill="auto"/>
            <w:vAlign w:val="center"/>
          </w:tcPr>
          <w:p w14:paraId="799C9F3C">
            <w:pPr>
              <w:ind w:firstLine="0" w:firstLineChars="0"/>
              <w:rPr>
                <w:rFonts w:cs="Times New Roman"/>
                <w:color w:val="auto"/>
                <w:kern w:val="0"/>
                <w:sz w:val="21"/>
                <w:szCs w:val="21"/>
              </w:rPr>
            </w:pPr>
            <w:r>
              <w:rPr>
                <w:rFonts w:hint="eastAsia" w:cs="Times New Roman"/>
                <w:color w:val="auto"/>
                <w:kern w:val="0"/>
                <w:sz w:val="21"/>
                <w:szCs w:val="21"/>
              </w:rPr>
              <w:t>鸦雀</w:t>
            </w:r>
            <w:r>
              <w:rPr>
                <w:rFonts w:cs="Times New Roman"/>
                <w:color w:val="auto"/>
                <w:kern w:val="0"/>
                <w:sz w:val="21"/>
                <w:szCs w:val="21"/>
              </w:rPr>
              <w:t>科Paradoxornithidae</w:t>
            </w:r>
          </w:p>
        </w:tc>
        <w:tc>
          <w:tcPr>
            <w:tcW w:w="427" w:type="pct"/>
          </w:tcPr>
          <w:p w14:paraId="30BFE9BA">
            <w:pPr>
              <w:ind w:firstLine="0" w:firstLineChars="0"/>
              <w:jc w:val="center"/>
              <w:rPr>
                <w:rFonts w:cs="Times New Roman"/>
                <w:color w:val="auto"/>
                <w:spacing w:val="-6"/>
                <w:sz w:val="21"/>
                <w:szCs w:val="21"/>
              </w:rPr>
            </w:pPr>
            <w:r>
              <w:rPr>
                <w:rFonts w:cs="Times New Roman"/>
                <w:color w:val="auto"/>
                <w:spacing w:val="-6"/>
                <w:sz w:val="21"/>
                <w:szCs w:val="21"/>
              </w:rPr>
              <w:t>3</w:t>
            </w:r>
          </w:p>
        </w:tc>
        <w:tc>
          <w:tcPr>
            <w:tcW w:w="508" w:type="pct"/>
            <w:vAlign w:val="center"/>
          </w:tcPr>
          <w:p w14:paraId="25477E44">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3</w:t>
            </w:r>
          </w:p>
        </w:tc>
        <w:tc>
          <w:tcPr>
            <w:tcW w:w="652" w:type="pct"/>
            <w:shd w:val="clear" w:color="auto" w:fill="auto"/>
            <w:vAlign w:val="center"/>
          </w:tcPr>
          <w:p w14:paraId="7CCC4C48">
            <w:pPr>
              <w:ind w:firstLine="0" w:firstLineChars="0"/>
              <w:rPr>
                <w:rFonts w:hint="eastAsia" w:eastAsia="宋体" w:cs="Times New Roman"/>
                <w:color w:val="auto"/>
                <w:sz w:val="21"/>
                <w:szCs w:val="21"/>
                <w:lang w:eastAsia="zh-CN"/>
              </w:rPr>
            </w:pPr>
            <w:r>
              <w:rPr>
                <w:rFonts w:cs="Times New Roman"/>
                <w:color w:val="auto"/>
                <w:sz w:val="21"/>
                <w:szCs w:val="21"/>
              </w:rPr>
              <w:t>3.41%</w:t>
            </w:r>
          </w:p>
        </w:tc>
      </w:tr>
      <w:tr w14:paraId="6F408AC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0082EB2C">
            <w:pPr>
              <w:ind w:firstLine="420"/>
              <w:rPr>
                <w:rFonts w:cs="Times New Roman"/>
                <w:color w:val="auto"/>
                <w:kern w:val="0"/>
                <w:sz w:val="21"/>
                <w:szCs w:val="21"/>
              </w:rPr>
            </w:pPr>
          </w:p>
        </w:tc>
        <w:tc>
          <w:tcPr>
            <w:tcW w:w="1535" w:type="pct"/>
            <w:shd w:val="clear" w:color="auto" w:fill="auto"/>
            <w:vAlign w:val="center"/>
          </w:tcPr>
          <w:p w14:paraId="7CF61C3A">
            <w:pPr>
              <w:ind w:firstLine="0" w:firstLineChars="0"/>
              <w:rPr>
                <w:rFonts w:cs="Times New Roman"/>
                <w:color w:val="auto"/>
                <w:kern w:val="0"/>
                <w:sz w:val="21"/>
                <w:szCs w:val="21"/>
              </w:rPr>
            </w:pPr>
            <w:r>
              <w:rPr>
                <w:rFonts w:cs="Times New Roman"/>
                <w:color w:val="auto"/>
                <w:kern w:val="0"/>
                <w:sz w:val="21"/>
                <w:szCs w:val="21"/>
              </w:rPr>
              <w:t>绣眼鸟科Zosteropidae</w:t>
            </w:r>
          </w:p>
        </w:tc>
        <w:tc>
          <w:tcPr>
            <w:tcW w:w="427" w:type="pct"/>
          </w:tcPr>
          <w:p w14:paraId="37F19CB0">
            <w:pPr>
              <w:ind w:firstLine="0" w:firstLineChars="0"/>
              <w:jc w:val="center"/>
              <w:rPr>
                <w:rFonts w:cs="Times New Roman"/>
                <w:color w:val="auto"/>
                <w:spacing w:val="-6"/>
                <w:sz w:val="21"/>
                <w:szCs w:val="21"/>
              </w:rPr>
            </w:pPr>
            <w:r>
              <w:rPr>
                <w:rFonts w:cs="Times New Roman"/>
                <w:color w:val="auto"/>
                <w:spacing w:val="-6"/>
                <w:sz w:val="21"/>
                <w:szCs w:val="21"/>
              </w:rPr>
              <w:t>2</w:t>
            </w:r>
          </w:p>
        </w:tc>
        <w:tc>
          <w:tcPr>
            <w:tcW w:w="508" w:type="pct"/>
            <w:vAlign w:val="center"/>
          </w:tcPr>
          <w:p w14:paraId="16E5E751">
            <w:pPr>
              <w:ind w:firstLine="0" w:firstLineChars="0"/>
              <w:jc w:val="center"/>
              <w:rPr>
                <w:rFonts w:cs="Times New Roman"/>
                <w:color w:val="auto"/>
                <w:spacing w:val="-6"/>
                <w:sz w:val="21"/>
                <w:szCs w:val="21"/>
              </w:rPr>
            </w:pPr>
            <w:r>
              <w:rPr>
                <w:rFonts w:cs="Times New Roman"/>
                <w:color w:val="auto"/>
                <w:spacing w:val="-6"/>
                <w:sz w:val="21"/>
                <w:szCs w:val="21"/>
              </w:rPr>
              <w:t>2</w:t>
            </w:r>
          </w:p>
        </w:tc>
        <w:tc>
          <w:tcPr>
            <w:tcW w:w="652" w:type="pct"/>
            <w:shd w:val="clear" w:color="auto" w:fill="auto"/>
            <w:vAlign w:val="center"/>
          </w:tcPr>
          <w:p w14:paraId="73244B61">
            <w:pPr>
              <w:ind w:firstLine="0" w:firstLineChars="0"/>
              <w:rPr>
                <w:rFonts w:cs="Times New Roman"/>
                <w:color w:val="auto"/>
                <w:sz w:val="21"/>
                <w:szCs w:val="21"/>
              </w:rPr>
            </w:pPr>
            <w:r>
              <w:rPr>
                <w:rFonts w:hint="eastAsia" w:cs="Times New Roman"/>
                <w:color w:val="auto"/>
                <w:sz w:val="21"/>
                <w:szCs w:val="21"/>
              </w:rPr>
              <w:t>2.</w:t>
            </w:r>
            <w:r>
              <w:rPr>
                <w:rFonts w:cs="Times New Roman"/>
                <w:color w:val="auto"/>
                <w:sz w:val="21"/>
                <w:szCs w:val="21"/>
              </w:rPr>
              <w:t>27%</w:t>
            </w:r>
          </w:p>
        </w:tc>
      </w:tr>
      <w:tr w14:paraId="3BD6A6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65C8ABF0">
            <w:pPr>
              <w:ind w:firstLine="420"/>
              <w:rPr>
                <w:rFonts w:cs="Times New Roman"/>
                <w:color w:val="auto"/>
                <w:kern w:val="0"/>
                <w:sz w:val="21"/>
                <w:szCs w:val="21"/>
              </w:rPr>
            </w:pPr>
          </w:p>
        </w:tc>
        <w:tc>
          <w:tcPr>
            <w:tcW w:w="1535" w:type="pct"/>
            <w:shd w:val="clear" w:color="auto" w:fill="auto"/>
            <w:vAlign w:val="center"/>
          </w:tcPr>
          <w:p w14:paraId="6ACA4060">
            <w:pPr>
              <w:ind w:firstLine="0" w:firstLineChars="0"/>
              <w:rPr>
                <w:rFonts w:cs="Times New Roman"/>
                <w:color w:val="auto"/>
                <w:kern w:val="0"/>
                <w:sz w:val="21"/>
                <w:szCs w:val="21"/>
              </w:rPr>
            </w:pPr>
            <w:r>
              <w:rPr>
                <w:rFonts w:cs="Times New Roman"/>
                <w:color w:val="auto"/>
                <w:kern w:val="0"/>
                <w:sz w:val="21"/>
                <w:szCs w:val="21"/>
              </w:rPr>
              <w:t>林鹛科Timaliidae</w:t>
            </w:r>
          </w:p>
        </w:tc>
        <w:tc>
          <w:tcPr>
            <w:tcW w:w="427" w:type="pct"/>
          </w:tcPr>
          <w:p w14:paraId="5EA554CF">
            <w:pPr>
              <w:ind w:firstLine="0" w:firstLineChars="0"/>
              <w:jc w:val="center"/>
              <w:rPr>
                <w:rFonts w:cs="Times New Roman"/>
                <w:color w:val="auto"/>
                <w:spacing w:val="-6"/>
                <w:sz w:val="21"/>
                <w:szCs w:val="21"/>
              </w:rPr>
            </w:pPr>
            <w:r>
              <w:rPr>
                <w:rFonts w:cs="Times New Roman"/>
                <w:color w:val="auto"/>
                <w:spacing w:val="-6"/>
                <w:sz w:val="21"/>
                <w:szCs w:val="21"/>
              </w:rPr>
              <w:t>2</w:t>
            </w:r>
          </w:p>
        </w:tc>
        <w:tc>
          <w:tcPr>
            <w:tcW w:w="508" w:type="pct"/>
          </w:tcPr>
          <w:p w14:paraId="15A4C2D3">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3</w:t>
            </w:r>
          </w:p>
        </w:tc>
        <w:tc>
          <w:tcPr>
            <w:tcW w:w="652" w:type="pct"/>
            <w:shd w:val="clear" w:color="auto" w:fill="auto"/>
            <w:vAlign w:val="center"/>
          </w:tcPr>
          <w:p w14:paraId="78EB6939">
            <w:pPr>
              <w:ind w:firstLine="0" w:firstLineChars="0"/>
              <w:rPr>
                <w:rFonts w:cs="Times New Roman"/>
                <w:color w:val="auto"/>
                <w:sz w:val="21"/>
                <w:szCs w:val="21"/>
              </w:rPr>
            </w:pPr>
            <w:r>
              <w:rPr>
                <w:rFonts w:cs="Times New Roman"/>
                <w:color w:val="auto"/>
                <w:sz w:val="21"/>
                <w:szCs w:val="21"/>
              </w:rPr>
              <w:t>3.41%</w:t>
            </w:r>
          </w:p>
        </w:tc>
      </w:tr>
      <w:tr w14:paraId="33DEB84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43BE1105">
            <w:pPr>
              <w:ind w:firstLine="420"/>
              <w:rPr>
                <w:rFonts w:cs="Times New Roman"/>
                <w:color w:val="auto"/>
                <w:kern w:val="0"/>
                <w:sz w:val="21"/>
                <w:szCs w:val="21"/>
              </w:rPr>
            </w:pPr>
          </w:p>
        </w:tc>
        <w:tc>
          <w:tcPr>
            <w:tcW w:w="1535" w:type="pct"/>
            <w:shd w:val="clear" w:color="auto" w:fill="auto"/>
            <w:vAlign w:val="center"/>
          </w:tcPr>
          <w:p w14:paraId="5D006624">
            <w:pPr>
              <w:ind w:firstLine="0" w:firstLineChars="0"/>
              <w:rPr>
                <w:rFonts w:cs="Times New Roman"/>
                <w:color w:val="auto"/>
                <w:kern w:val="0"/>
                <w:sz w:val="21"/>
                <w:szCs w:val="21"/>
              </w:rPr>
            </w:pPr>
            <w:r>
              <w:rPr>
                <w:rFonts w:cs="Times New Roman"/>
                <w:color w:val="auto"/>
                <w:kern w:val="0"/>
                <w:sz w:val="21"/>
                <w:szCs w:val="21"/>
              </w:rPr>
              <w:t>幽鹛科Pellorneidae</w:t>
            </w:r>
          </w:p>
        </w:tc>
        <w:tc>
          <w:tcPr>
            <w:tcW w:w="427" w:type="pct"/>
          </w:tcPr>
          <w:p w14:paraId="778A6E00">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4D683975">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1</w:t>
            </w:r>
          </w:p>
        </w:tc>
        <w:tc>
          <w:tcPr>
            <w:tcW w:w="652" w:type="pct"/>
            <w:shd w:val="clear" w:color="auto" w:fill="auto"/>
            <w:vAlign w:val="center"/>
          </w:tcPr>
          <w:p w14:paraId="3A475DAD">
            <w:pPr>
              <w:ind w:firstLine="0" w:firstLineChars="0"/>
              <w:rPr>
                <w:rFonts w:cs="Times New Roman"/>
                <w:color w:val="auto"/>
                <w:sz w:val="21"/>
                <w:szCs w:val="21"/>
              </w:rPr>
            </w:pPr>
            <w:r>
              <w:rPr>
                <w:rFonts w:cs="Times New Roman"/>
                <w:color w:val="auto"/>
                <w:spacing w:val="-6"/>
                <w:sz w:val="21"/>
                <w:szCs w:val="21"/>
              </w:rPr>
              <w:t>1.14%</w:t>
            </w:r>
          </w:p>
        </w:tc>
      </w:tr>
      <w:tr w14:paraId="3D727B9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456E897B">
            <w:pPr>
              <w:ind w:firstLine="420"/>
              <w:rPr>
                <w:rFonts w:cs="Times New Roman"/>
                <w:color w:val="auto"/>
                <w:kern w:val="0"/>
                <w:sz w:val="21"/>
                <w:szCs w:val="21"/>
              </w:rPr>
            </w:pPr>
          </w:p>
        </w:tc>
        <w:tc>
          <w:tcPr>
            <w:tcW w:w="1535" w:type="pct"/>
            <w:shd w:val="clear" w:color="auto" w:fill="auto"/>
            <w:vAlign w:val="center"/>
          </w:tcPr>
          <w:p w14:paraId="2E2C3B66">
            <w:pPr>
              <w:ind w:firstLine="0" w:firstLineChars="0"/>
              <w:rPr>
                <w:rFonts w:cs="Times New Roman"/>
                <w:color w:val="auto"/>
                <w:kern w:val="0"/>
                <w:sz w:val="21"/>
                <w:szCs w:val="21"/>
              </w:rPr>
            </w:pPr>
            <w:r>
              <w:rPr>
                <w:rFonts w:hint="eastAsia" w:cs="Times New Roman"/>
                <w:color w:val="auto"/>
                <w:kern w:val="0"/>
                <w:sz w:val="21"/>
                <w:szCs w:val="21"/>
              </w:rPr>
              <w:t>雀鹛科Al</w:t>
            </w:r>
            <w:r>
              <w:rPr>
                <w:rFonts w:cs="Times New Roman"/>
                <w:color w:val="auto"/>
                <w:kern w:val="0"/>
                <w:sz w:val="21"/>
                <w:szCs w:val="21"/>
              </w:rPr>
              <w:t>cippeidae</w:t>
            </w:r>
          </w:p>
        </w:tc>
        <w:tc>
          <w:tcPr>
            <w:tcW w:w="427" w:type="pct"/>
          </w:tcPr>
          <w:p w14:paraId="22987127">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5E6F102A">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1</w:t>
            </w:r>
          </w:p>
        </w:tc>
        <w:tc>
          <w:tcPr>
            <w:tcW w:w="652" w:type="pct"/>
            <w:shd w:val="clear" w:color="auto" w:fill="auto"/>
            <w:vAlign w:val="center"/>
          </w:tcPr>
          <w:p w14:paraId="7D83012A">
            <w:pPr>
              <w:ind w:firstLine="0" w:firstLineChars="0"/>
              <w:rPr>
                <w:rFonts w:cs="Times New Roman"/>
                <w:color w:val="auto"/>
                <w:sz w:val="21"/>
                <w:szCs w:val="21"/>
              </w:rPr>
            </w:pPr>
            <w:r>
              <w:rPr>
                <w:rFonts w:cs="Times New Roman"/>
                <w:color w:val="auto"/>
                <w:spacing w:val="-6"/>
                <w:sz w:val="21"/>
                <w:szCs w:val="21"/>
              </w:rPr>
              <w:t>1.14%</w:t>
            </w:r>
          </w:p>
        </w:tc>
      </w:tr>
      <w:tr w14:paraId="55ACDB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305CA609">
            <w:pPr>
              <w:ind w:firstLine="420"/>
              <w:rPr>
                <w:rFonts w:cs="Times New Roman"/>
                <w:color w:val="auto"/>
                <w:kern w:val="0"/>
                <w:sz w:val="21"/>
                <w:szCs w:val="21"/>
              </w:rPr>
            </w:pPr>
          </w:p>
        </w:tc>
        <w:tc>
          <w:tcPr>
            <w:tcW w:w="1535" w:type="pct"/>
            <w:shd w:val="clear" w:color="auto" w:fill="auto"/>
            <w:vAlign w:val="center"/>
          </w:tcPr>
          <w:p w14:paraId="2C9793C3">
            <w:pPr>
              <w:ind w:firstLine="0" w:firstLineChars="0"/>
              <w:rPr>
                <w:rFonts w:cs="Times New Roman"/>
                <w:color w:val="auto"/>
                <w:kern w:val="0"/>
                <w:sz w:val="21"/>
                <w:szCs w:val="21"/>
              </w:rPr>
            </w:pPr>
            <w:r>
              <w:rPr>
                <w:rFonts w:cs="Times New Roman"/>
                <w:color w:val="auto"/>
                <w:kern w:val="0"/>
                <w:sz w:val="21"/>
                <w:szCs w:val="21"/>
              </w:rPr>
              <w:t>噪鹛科Leiothrichidae</w:t>
            </w:r>
          </w:p>
        </w:tc>
        <w:tc>
          <w:tcPr>
            <w:tcW w:w="427" w:type="pct"/>
          </w:tcPr>
          <w:p w14:paraId="259B736E">
            <w:pPr>
              <w:ind w:firstLine="0" w:firstLineChars="0"/>
              <w:jc w:val="center"/>
              <w:rPr>
                <w:rFonts w:cs="Times New Roman"/>
                <w:color w:val="auto"/>
                <w:spacing w:val="-6"/>
                <w:sz w:val="21"/>
                <w:szCs w:val="21"/>
              </w:rPr>
            </w:pPr>
            <w:r>
              <w:rPr>
                <w:rFonts w:cs="Times New Roman"/>
                <w:color w:val="auto"/>
                <w:spacing w:val="-6"/>
                <w:sz w:val="21"/>
                <w:szCs w:val="21"/>
              </w:rPr>
              <w:t>4</w:t>
            </w:r>
          </w:p>
        </w:tc>
        <w:tc>
          <w:tcPr>
            <w:tcW w:w="508" w:type="pct"/>
            <w:vAlign w:val="center"/>
          </w:tcPr>
          <w:p w14:paraId="58A32F85">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5</w:t>
            </w:r>
          </w:p>
        </w:tc>
        <w:tc>
          <w:tcPr>
            <w:tcW w:w="652" w:type="pct"/>
            <w:shd w:val="clear" w:color="auto" w:fill="auto"/>
            <w:vAlign w:val="center"/>
          </w:tcPr>
          <w:p w14:paraId="08A6FE6B">
            <w:pPr>
              <w:ind w:firstLine="0" w:firstLineChars="0"/>
              <w:rPr>
                <w:rFonts w:cs="Times New Roman"/>
                <w:color w:val="auto"/>
                <w:sz w:val="21"/>
                <w:szCs w:val="21"/>
              </w:rPr>
            </w:pPr>
            <w:r>
              <w:rPr>
                <w:rFonts w:cs="Times New Roman"/>
                <w:color w:val="auto"/>
                <w:sz w:val="21"/>
                <w:szCs w:val="21"/>
              </w:rPr>
              <w:t>5.68%</w:t>
            </w:r>
          </w:p>
        </w:tc>
      </w:tr>
      <w:tr w14:paraId="57247CB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3CFD0384">
            <w:pPr>
              <w:ind w:firstLine="420"/>
              <w:rPr>
                <w:rFonts w:cs="Times New Roman"/>
                <w:color w:val="auto"/>
                <w:kern w:val="0"/>
                <w:sz w:val="21"/>
                <w:szCs w:val="21"/>
              </w:rPr>
            </w:pPr>
          </w:p>
        </w:tc>
        <w:tc>
          <w:tcPr>
            <w:tcW w:w="1535" w:type="pct"/>
            <w:shd w:val="clear" w:color="auto" w:fill="auto"/>
            <w:vAlign w:val="center"/>
          </w:tcPr>
          <w:p w14:paraId="1B8A0F7C">
            <w:pPr>
              <w:ind w:firstLine="0" w:firstLineChars="0"/>
              <w:rPr>
                <w:rFonts w:cs="Times New Roman"/>
                <w:color w:val="auto"/>
                <w:kern w:val="0"/>
                <w:sz w:val="21"/>
                <w:szCs w:val="21"/>
              </w:rPr>
            </w:pPr>
            <w:r>
              <w:rPr>
                <w:rFonts w:cs="Times New Roman"/>
                <w:color w:val="auto"/>
                <w:kern w:val="0"/>
                <w:sz w:val="21"/>
                <w:szCs w:val="21"/>
              </w:rPr>
              <w:t>䴓科Sittidae</w:t>
            </w:r>
          </w:p>
        </w:tc>
        <w:tc>
          <w:tcPr>
            <w:tcW w:w="427" w:type="pct"/>
          </w:tcPr>
          <w:p w14:paraId="25D7AC93">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4F909931">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1</w:t>
            </w:r>
          </w:p>
        </w:tc>
        <w:tc>
          <w:tcPr>
            <w:tcW w:w="652" w:type="pct"/>
            <w:shd w:val="clear" w:color="auto" w:fill="auto"/>
            <w:vAlign w:val="center"/>
          </w:tcPr>
          <w:p w14:paraId="4DF7E288">
            <w:pPr>
              <w:ind w:firstLine="0" w:firstLineChars="0"/>
              <w:rPr>
                <w:rFonts w:cs="Times New Roman"/>
                <w:color w:val="auto"/>
                <w:sz w:val="21"/>
                <w:szCs w:val="21"/>
              </w:rPr>
            </w:pPr>
            <w:r>
              <w:rPr>
                <w:rFonts w:cs="Times New Roman"/>
                <w:color w:val="auto"/>
                <w:spacing w:val="-6"/>
                <w:sz w:val="21"/>
                <w:szCs w:val="21"/>
              </w:rPr>
              <w:t>1.14%</w:t>
            </w:r>
          </w:p>
        </w:tc>
      </w:tr>
      <w:tr w14:paraId="4508A54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312A4D5B">
            <w:pPr>
              <w:ind w:firstLine="420"/>
              <w:rPr>
                <w:rFonts w:cs="Times New Roman"/>
                <w:color w:val="auto"/>
                <w:kern w:val="0"/>
                <w:sz w:val="21"/>
                <w:szCs w:val="21"/>
              </w:rPr>
            </w:pPr>
          </w:p>
        </w:tc>
        <w:tc>
          <w:tcPr>
            <w:tcW w:w="1535" w:type="pct"/>
            <w:shd w:val="clear" w:color="auto" w:fill="auto"/>
            <w:vAlign w:val="center"/>
          </w:tcPr>
          <w:p w14:paraId="0A62EB76">
            <w:pPr>
              <w:ind w:firstLine="0" w:firstLineChars="0"/>
              <w:rPr>
                <w:rFonts w:cs="Times New Roman"/>
                <w:color w:val="auto"/>
                <w:kern w:val="0"/>
                <w:sz w:val="21"/>
                <w:szCs w:val="21"/>
              </w:rPr>
            </w:pPr>
            <w:r>
              <w:rPr>
                <w:rFonts w:cs="Times New Roman"/>
                <w:color w:val="auto"/>
                <w:kern w:val="0"/>
                <w:sz w:val="21"/>
                <w:szCs w:val="21"/>
              </w:rPr>
              <w:t>鸫科Turdidae</w:t>
            </w:r>
          </w:p>
        </w:tc>
        <w:tc>
          <w:tcPr>
            <w:tcW w:w="427" w:type="pct"/>
          </w:tcPr>
          <w:p w14:paraId="1BF131AC">
            <w:pPr>
              <w:ind w:firstLine="0" w:firstLineChars="0"/>
              <w:jc w:val="center"/>
              <w:rPr>
                <w:rFonts w:cs="Times New Roman"/>
                <w:color w:val="auto"/>
                <w:spacing w:val="-6"/>
                <w:sz w:val="21"/>
                <w:szCs w:val="21"/>
              </w:rPr>
            </w:pPr>
            <w:r>
              <w:rPr>
                <w:rFonts w:cs="Times New Roman"/>
                <w:color w:val="auto"/>
                <w:spacing w:val="-6"/>
                <w:sz w:val="21"/>
                <w:szCs w:val="21"/>
              </w:rPr>
              <w:t>2</w:t>
            </w:r>
          </w:p>
        </w:tc>
        <w:tc>
          <w:tcPr>
            <w:tcW w:w="508" w:type="pct"/>
            <w:vAlign w:val="center"/>
          </w:tcPr>
          <w:p w14:paraId="48849C72">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4</w:t>
            </w:r>
          </w:p>
        </w:tc>
        <w:tc>
          <w:tcPr>
            <w:tcW w:w="652" w:type="pct"/>
            <w:shd w:val="clear" w:color="auto" w:fill="auto"/>
            <w:vAlign w:val="center"/>
          </w:tcPr>
          <w:p w14:paraId="45F86615">
            <w:pPr>
              <w:ind w:firstLine="0" w:firstLineChars="0"/>
              <w:rPr>
                <w:rFonts w:cs="Times New Roman"/>
                <w:color w:val="auto"/>
                <w:kern w:val="0"/>
                <w:sz w:val="21"/>
                <w:szCs w:val="21"/>
              </w:rPr>
            </w:pPr>
            <w:r>
              <w:rPr>
                <w:rFonts w:cs="Times New Roman"/>
                <w:color w:val="auto"/>
                <w:sz w:val="21"/>
                <w:szCs w:val="21"/>
              </w:rPr>
              <w:t>4.55%</w:t>
            </w:r>
          </w:p>
        </w:tc>
      </w:tr>
      <w:tr w14:paraId="18DE8C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346E9117">
            <w:pPr>
              <w:ind w:firstLine="420"/>
              <w:rPr>
                <w:rFonts w:cs="Times New Roman"/>
                <w:color w:val="auto"/>
                <w:kern w:val="0"/>
                <w:sz w:val="21"/>
                <w:szCs w:val="21"/>
              </w:rPr>
            </w:pPr>
          </w:p>
        </w:tc>
        <w:tc>
          <w:tcPr>
            <w:tcW w:w="1535" w:type="pct"/>
            <w:shd w:val="clear" w:color="auto" w:fill="auto"/>
            <w:vAlign w:val="center"/>
          </w:tcPr>
          <w:p w14:paraId="5BC153E6">
            <w:pPr>
              <w:ind w:firstLine="0" w:firstLineChars="0"/>
              <w:rPr>
                <w:rFonts w:cs="Times New Roman"/>
                <w:color w:val="auto"/>
                <w:kern w:val="0"/>
                <w:sz w:val="21"/>
                <w:szCs w:val="21"/>
              </w:rPr>
            </w:pPr>
            <w:r>
              <w:rPr>
                <w:rFonts w:cs="Times New Roman"/>
                <w:color w:val="auto"/>
                <w:kern w:val="0"/>
                <w:sz w:val="21"/>
                <w:szCs w:val="21"/>
              </w:rPr>
              <w:t>鹟科Muscicapidae</w:t>
            </w:r>
          </w:p>
        </w:tc>
        <w:tc>
          <w:tcPr>
            <w:tcW w:w="427" w:type="pct"/>
          </w:tcPr>
          <w:p w14:paraId="3A42E3C7">
            <w:pPr>
              <w:ind w:firstLine="0" w:firstLineChars="0"/>
              <w:jc w:val="center"/>
              <w:rPr>
                <w:rFonts w:cs="Times New Roman"/>
                <w:color w:val="auto"/>
                <w:spacing w:val="-6"/>
                <w:sz w:val="21"/>
                <w:szCs w:val="21"/>
              </w:rPr>
            </w:pPr>
            <w:r>
              <w:rPr>
                <w:rFonts w:cs="Times New Roman"/>
                <w:color w:val="auto"/>
                <w:spacing w:val="-6"/>
                <w:sz w:val="21"/>
                <w:szCs w:val="21"/>
              </w:rPr>
              <w:t>5</w:t>
            </w:r>
          </w:p>
        </w:tc>
        <w:tc>
          <w:tcPr>
            <w:tcW w:w="508" w:type="pct"/>
            <w:vAlign w:val="center"/>
          </w:tcPr>
          <w:p w14:paraId="5FA4BC67">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8</w:t>
            </w:r>
          </w:p>
        </w:tc>
        <w:tc>
          <w:tcPr>
            <w:tcW w:w="652" w:type="pct"/>
            <w:shd w:val="clear" w:color="auto" w:fill="auto"/>
            <w:vAlign w:val="center"/>
          </w:tcPr>
          <w:p w14:paraId="045D4C47">
            <w:pPr>
              <w:ind w:firstLine="0" w:firstLineChars="0"/>
              <w:rPr>
                <w:rFonts w:hint="eastAsia" w:eastAsia="宋体" w:cs="Times New Roman"/>
                <w:color w:val="auto"/>
                <w:kern w:val="0"/>
                <w:sz w:val="21"/>
                <w:szCs w:val="21"/>
                <w:lang w:eastAsia="zh-CN"/>
              </w:rPr>
            </w:pPr>
            <w:r>
              <w:rPr>
                <w:rFonts w:cs="Times New Roman"/>
                <w:color w:val="auto"/>
                <w:kern w:val="0"/>
                <w:sz w:val="21"/>
                <w:szCs w:val="21"/>
              </w:rPr>
              <w:t>9.09%</w:t>
            </w:r>
          </w:p>
        </w:tc>
      </w:tr>
      <w:tr w14:paraId="043D13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44D56915">
            <w:pPr>
              <w:ind w:firstLine="420"/>
              <w:rPr>
                <w:rFonts w:cs="Times New Roman"/>
                <w:color w:val="auto"/>
                <w:kern w:val="0"/>
                <w:sz w:val="21"/>
                <w:szCs w:val="21"/>
              </w:rPr>
            </w:pPr>
          </w:p>
        </w:tc>
        <w:tc>
          <w:tcPr>
            <w:tcW w:w="1535" w:type="pct"/>
            <w:shd w:val="clear" w:color="auto" w:fill="auto"/>
            <w:vAlign w:val="center"/>
          </w:tcPr>
          <w:p w14:paraId="256F306B">
            <w:pPr>
              <w:ind w:firstLine="0" w:firstLineChars="0"/>
              <w:rPr>
                <w:rFonts w:cs="Times New Roman"/>
                <w:color w:val="auto"/>
                <w:kern w:val="0"/>
                <w:sz w:val="21"/>
                <w:szCs w:val="21"/>
              </w:rPr>
            </w:pPr>
            <w:r>
              <w:rPr>
                <w:rFonts w:cs="Times New Roman"/>
                <w:color w:val="auto"/>
                <w:kern w:val="0"/>
                <w:sz w:val="21"/>
                <w:szCs w:val="21"/>
              </w:rPr>
              <w:t>啄花鸟科Dicaeidae</w:t>
            </w:r>
          </w:p>
        </w:tc>
        <w:tc>
          <w:tcPr>
            <w:tcW w:w="427" w:type="pct"/>
          </w:tcPr>
          <w:p w14:paraId="2FD82105">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4C9FDFD0">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652" w:type="pct"/>
            <w:shd w:val="clear" w:color="auto" w:fill="auto"/>
            <w:vAlign w:val="center"/>
          </w:tcPr>
          <w:p w14:paraId="11FC174B">
            <w:pPr>
              <w:ind w:firstLine="0" w:firstLineChars="0"/>
              <w:rPr>
                <w:rFonts w:cs="Times New Roman"/>
                <w:color w:val="auto"/>
                <w:kern w:val="0"/>
                <w:sz w:val="21"/>
                <w:szCs w:val="21"/>
              </w:rPr>
            </w:pPr>
            <w:r>
              <w:rPr>
                <w:rFonts w:cs="Times New Roman"/>
                <w:color w:val="auto"/>
                <w:spacing w:val="-6"/>
                <w:sz w:val="21"/>
                <w:szCs w:val="21"/>
              </w:rPr>
              <w:t>1.14%</w:t>
            </w:r>
          </w:p>
        </w:tc>
      </w:tr>
      <w:tr w14:paraId="3314BA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3FA7077D">
            <w:pPr>
              <w:ind w:firstLine="420"/>
              <w:rPr>
                <w:rFonts w:cs="Times New Roman"/>
                <w:color w:val="auto"/>
                <w:kern w:val="0"/>
                <w:sz w:val="21"/>
                <w:szCs w:val="21"/>
              </w:rPr>
            </w:pPr>
          </w:p>
        </w:tc>
        <w:tc>
          <w:tcPr>
            <w:tcW w:w="1535" w:type="pct"/>
            <w:shd w:val="clear" w:color="auto" w:fill="auto"/>
            <w:vAlign w:val="center"/>
          </w:tcPr>
          <w:p w14:paraId="7553BC5B">
            <w:pPr>
              <w:ind w:firstLine="0" w:firstLineChars="0"/>
              <w:rPr>
                <w:rFonts w:cs="Times New Roman"/>
                <w:color w:val="auto"/>
                <w:sz w:val="21"/>
                <w:szCs w:val="21"/>
              </w:rPr>
            </w:pPr>
            <w:r>
              <w:rPr>
                <w:rFonts w:cs="Times New Roman"/>
                <w:color w:val="auto"/>
                <w:kern w:val="0"/>
                <w:sz w:val="21"/>
                <w:szCs w:val="21"/>
              </w:rPr>
              <w:t>花蜜鸟科</w:t>
            </w:r>
            <w:r>
              <w:rPr>
                <w:rStyle w:val="32"/>
                <w:color w:val="auto"/>
                <w:sz w:val="21"/>
                <w:szCs w:val="21"/>
              </w:rPr>
              <w:t>Nectariniidae</w:t>
            </w:r>
          </w:p>
        </w:tc>
        <w:tc>
          <w:tcPr>
            <w:tcW w:w="427" w:type="pct"/>
          </w:tcPr>
          <w:p w14:paraId="17FD0726">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01CAC2F2">
            <w:pPr>
              <w:ind w:firstLine="0" w:firstLineChars="0"/>
              <w:jc w:val="center"/>
              <w:rPr>
                <w:rFonts w:cs="Times New Roman"/>
                <w:color w:val="auto"/>
                <w:spacing w:val="-6"/>
                <w:sz w:val="21"/>
                <w:szCs w:val="21"/>
              </w:rPr>
            </w:pPr>
            <w:r>
              <w:rPr>
                <w:rFonts w:cs="Times New Roman"/>
                <w:color w:val="auto"/>
                <w:spacing w:val="-6"/>
                <w:sz w:val="21"/>
                <w:szCs w:val="21"/>
              </w:rPr>
              <w:t>2</w:t>
            </w:r>
          </w:p>
        </w:tc>
        <w:tc>
          <w:tcPr>
            <w:tcW w:w="652" w:type="pct"/>
            <w:shd w:val="clear" w:color="auto" w:fill="auto"/>
            <w:vAlign w:val="center"/>
          </w:tcPr>
          <w:p w14:paraId="46EBC2D9">
            <w:pPr>
              <w:ind w:firstLine="0" w:firstLineChars="0"/>
              <w:rPr>
                <w:rFonts w:cs="Times New Roman"/>
                <w:color w:val="auto"/>
                <w:kern w:val="0"/>
                <w:sz w:val="21"/>
                <w:szCs w:val="21"/>
              </w:rPr>
            </w:pPr>
            <w:r>
              <w:rPr>
                <w:rFonts w:cs="Times New Roman"/>
                <w:color w:val="auto"/>
                <w:kern w:val="0"/>
                <w:sz w:val="21"/>
                <w:szCs w:val="21"/>
              </w:rPr>
              <w:t>1.99%</w:t>
            </w:r>
          </w:p>
        </w:tc>
      </w:tr>
      <w:tr w14:paraId="5924F2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5D015B34">
            <w:pPr>
              <w:ind w:firstLine="420"/>
              <w:rPr>
                <w:rFonts w:cs="Times New Roman"/>
                <w:color w:val="auto"/>
                <w:kern w:val="0"/>
                <w:sz w:val="21"/>
                <w:szCs w:val="21"/>
              </w:rPr>
            </w:pPr>
          </w:p>
        </w:tc>
        <w:tc>
          <w:tcPr>
            <w:tcW w:w="1535" w:type="pct"/>
            <w:tcBorders>
              <w:top w:val="single" w:color="000000" w:sz="4" w:space="0"/>
              <w:left w:val="single" w:color="000000" w:sz="4" w:space="0"/>
              <w:bottom w:val="single" w:color="000000" w:sz="4" w:space="0"/>
              <w:right w:val="single" w:color="000000" w:sz="4" w:space="0"/>
            </w:tcBorders>
            <w:vAlign w:val="center"/>
          </w:tcPr>
          <w:p w14:paraId="55966E97">
            <w:pPr>
              <w:ind w:firstLine="0" w:firstLineChars="0"/>
              <w:rPr>
                <w:rFonts w:cs="Times New Roman"/>
                <w:color w:val="auto"/>
                <w:kern w:val="0"/>
                <w:sz w:val="21"/>
                <w:szCs w:val="21"/>
              </w:rPr>
            </w:pPr>
            <w:r>
              <w:rPr>
                <w:rFonts w:cs="Times New Roman"/>
                <w:color w:val="auto"/>
                <w:kern w:val="0"/>
                <w:sz w:val="21"/>
                <w:szCs w:val="21"/>
              </w:rPr>
              <w:t>雀科Passeridae</w:t>
            </w:r>
          </w:p>
        </w:tc>
        <w:tc>
          <w:tcPr>
            <w:tcW w:w="427" w:type="pct"/>
          </w:tcPr>
          <w:p w14:paraId="1CB8BB8A">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2BD55B7D">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2</w:t>
            </w:r>
          </w:p>
        </w:tc>
        <w:tc>
          <w:tcPr>
            <w:tcW w:w="652" w:type="pct"/>
            <w:shd w:val="clear" w:color="auto" w:fill="auto"/>
            <w:vAlign w:val="center"/>
          </w:tcPr>
          <w:p w14:paraId="08D5069B">
            <w:pPr>
              <w:ind w:firstLine="0" w:firstLineChars="0"/>
              <w:rPr>
                <w:rFonts w:cs="Times New Roman"/>
                <w:color w:val="auto"/>
                <w:kern w:val="0"/>
                <w:sz w:val="21"/>
                <w:szCs w:val="21"/>
              </w:rPr>
            </w:pPr>
            <w:r>
              <w:rPr>
                <w:rFonts w:hint="eastAsia" w:cs="Times New Roman"/>
                <w:color w:val="auto"/>
                <w:sz w:val="21"/>
                <w:szCs w:val="21"/>
              </w:rPr>
              <w:t>2.</w:t>
            </w:r>
            <w:r>
              <w:rPr>
                <w:rFonts w:cs="Times New Roman"/>
                <w:color w:val="auto"/>
                <w:sz w:val="21"/>
                <w:szCs w:val="21"/>
              </w:rPr>
              <w:t>27%</w:t>
            </w:r>
          </w:p>
        </w:tc>
      </w:tr>
      <w:tr w14:paraId="5D3895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31DF593E">
            <w:pPr>
              <w:ind w:firstLine="420"/>
              <w:rPr>
                <w:rFonts w:cs="Times New Roman"/>
                <w:color w:val="auto"/>
                <w:kern w:val="0"/>
                <w:sz w:val="21"/>
                <w:szCs w:val="21"/>
              </w:rPr>
            </w:pPr>
          </w:p>
        </w:tc>
        <w:tc>
          <w:tcPr>
            <w:tcW w:w="1535" w:type="pct"/>
            <w:tcBorders>
              <w:top w:val="single" w:color="000000" w:sz="4" w:space="0"/>
              <w:left w:val="single" w:color="000000" w:sz="4" w:space="0"/>
              <w:bottom w:val="single" w:color="000000" w:sz="4" w:space="0"/>
              <w:right w:val="single" w:color="000000" w:sz="4" w:space="0"/>
            </w:tcBorders>
            <w:vAlign w:val="center"/>
          </w:tcPr>
          <w:p w14:paraId="7C4D23F6">
            <w:pPr>
              <w:ind w:firstLine="0" w:firstLineChars="0"/>
              <w:rPr>
                <w:rFonts w:cs="Times New Roman"/>
                <w:color w:val="auto"/>
                <w:kern w:val="0"/>
                <w:sz w:val="21"/>
                <w:szCs w:val="21"/>
              </w:rPr>
            </w:pPr>
            <w:r>
              <w:rPr>
                <w:rFonts w:cs="Times New Roman"/>
                <w:color w:val="auto"/>
                <w:kern w:val="0"/>
                <w:sz w:val="21"/>
                <w:szCs w:val="21"/>
              </w:rPr>
              <w:t>鹡鸰科Motacillidae</w:t>
            </w:r>
          </w:p>
        </w:tc>
        <w:tc>
          <w:tcPr>
            <w:tcW w:w="427" w:type="pct"/>
          </w:tcPr>
          <w:p w14:paraId="542C4CB2">
            <w:pPr>
              <w:ind w:firstLine="0" w:firstLineChars="0"/>
              <w:jc w:val="center"/>
              <w:rPr>
                <w:rFonts w:cs="Times New Roman"/>
                <w:color w:val="auto"/>
                <w:spacing w:val="-6"/>
                <w:sz w:val="21"/>
                <w:szCs w:val="21"/>
              </w:rPr>
            </w:pPr>
            <w:r>
              <w:rPr>
                <w:rFonts w:cs="Times New Roman"/>
                <w:color w:val="auto"/>
                <w:spacing w:val="-6"/>
                <w:sz w:val="21"/>
                <w:szCs w:val="21"/>
              </w:rPr>
              <w:t>3</w:t>
            </w:r>
          </w:p>
        </w:tc>
        <w:tc>
          <w:tcPr>
            <w:tcW w:w="508" w:type="pct"/>
            <w:vAlign w:val="center"/>
          </w:tcPr>
          <w:p w14:paraId="26EA5B4D">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4</w:t>
            </w:r>
          </w:p>
        </w:tc>
        <w:tc>
          <w:tcPr>
            <w:tcW w:w="652" w:type="pct"/>
            <w:shd w:val="clear" w:color="auto" w:fill="auto"/>
            <w:vAlign w:val="center"/>
          </w:tcPr>
          <w:p w14:paraId="50C39521">
            <w:pPr>
              <w:ind w:firstLine="0" w:firstLineChars="0"/>
              <w:rPr>
                <w:rFonts w:cs="Times New Roman"/>
                <w:color w:val="auto"/>
                <w:spacing w:val="-6"/>
                <w:sz w:val="21"/>
                <w:szCs w:val="21"/>
              </w:rPr>
            </w:pPr>
            <w:r>
              <w:rPr>
                <w:rFonts w:cs="Times New Roman"/>
                <w:color w:val="auto"/>
                <w:sz w:val="21"/>
                <w:szCs w:val="21"/>
              </w:rPr>
              <w:t>4.55%</w:t>
            </w:r>
          </w:p>
        </w:tc>
      </w:tr>
      <w:tr w14:paraId="10250E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4C0847B1">
            <w:pPr>
              <w:ind w:firstLine="420"/>
              <w:rPr>
                <w:rFonts w:cs="Times New Roman"/>
                <w:color w:val="auto"/>
                <w:kern w:val="0"/>
                <w:sz w:val="21"/>
                <w:szCs w:val="21"/>
              </w:rPr>
            </w:pPr>
          </w:p>
        </w:tc>
        <w:tc>
          <w:tcPr>
            <w:tcW w:w="1535" w:type="pct"/>
            <w:tcBorders>
              <w:top w:val="single" w:color="000000" w:sz="4" w:space="0"/>
              <w:left w:val="single" w:color="000000" w:sz="4" w:space="0"/>
              <w:bottom w:val="single" w:color="000000" w:sz="4" w:space="0"/>
              <w:right w:val="single" w:color="000000" w:sz="4" w:space="0"/>
            </w:tcBorders>
            <w:vAlign w:val="center"/>
          </w:tcPr>
          <w:p w14:paraId="7EE5921B">
            <w:pPr>
              <w:ind w:firstLine="0" w:firstLineChars="0"/>
              <w:rPr>
                <w:rFonts w:cs="Times New Roman"/>
                <w:color w:val="auto"/>
                <w:kern w:val="0"/>
                <w:sz w:val="21"/>
                <w:szCs w:val="21"/>
              </w:rPr>
            </w:pPr>
            <w:r>
              <w:rPr>
                <w:rFonts w:cs="Times New Roman"/>
                <w:color w:val="auto"/>
                <w:kern w:val="0"/>
                <w:sz w:val="21"/>
                <w:szCs w:val="21"/>
              </w:rPr>
              <w:t>燕雀科Fringillidae</w:t>
            </w:r>
          </w:p>
        </w:tc>
        <w:tc>
          <w:tcPr>
            <w:tcW w:w="427" w:type="pct"/>
          </w:tcPr>
          <w:p w14:paraId="7ADCC3FA">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2D68F4C9">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1</w:t>
            </w:r>
          </w:p>
        </w:tc>
        <w:tc>
          <w:tcPr>
            <w:tcW w:w="652" w:type="pct"/>
            <w:shd w:val="clear" w:color="auto" w:fill="auto"/>
            <w:vAlign w:val="center"/>
          </w:tcPr>
          <w:p w14:paraId="1A41231D">
            <w:pPr>
              <w:ind w:firstLine="0" w:firstLineChars="0"/>
              <w:rPr>
                <w:rFonts w:cs="Times New Roman"/>
                <w:color w:val="auto"/>
                <w:spacing w:val="-6"/>
                <w:sz w:val="21"/>
                <w:szCs w:val="21"/>
              </w:rPr>
            </w:pPr>
            <w:r>
              <w:rPr>
                <w:rFonts w:cs="Times New Roman"/>
                <w:color w:val="auto"/>
                <w:spacing w:val="-6"/>
                <w:sz w:val="21"/>
                <w:szCs w:val="21"/>
              </w:rPr>
              <w:t>1.14%</w:t>
            </w:r>
          </w:p>
        </w:tc>
      </w:tr>
      <w:tr w14:paraId="03EB96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vMerge w:val="continue"/>
            <w:shd w:val="clear" w:color="auto" w:fill="auto"/>
            <w:vAlign w:val="center"/>
          </w:tcPr>
          <w:p w14:paraId="74B8421A">
            <w:pPr>
              <w:ind w:firstLine="420"/>
              <w:rPr>
                <w:rFonts w:cs="Times New Roman"/>
                <w:color w:val="auto"/>
                <w:kern w:val="0"/>
                <w:sz w:val="21"/>
                <w:szCs w:val="21"/>
              </w:rPr>
            </w:pPr>
          </w:p>
        </w:tc>
        <w:tc>
          <w:tcPr>
            <w:tcW w:w="1535" w:type="pct"/>
            <w:tcBorders>
              <w:top w:val="single" w:color="000000" w:sz="4" w:space="0"/>
              <w:left w:val="single" w:color="000000" w:sz="4" w:space="0"/>
              <w:bottom w:val="single" w:color="000000" w:sz="4" w:space="0"/>
              <w:right w:val="single" w:color="000000" w:sz="4" w:space="0"/>
            </w:tcBorders>
            <w:vAlign w:val="center"/>
          </w:tcPr>
          <w:p w14:paraId="3BC76ADE">
            <w:pPr>
              <w:ind w:firstLine="0" w:firstLineChars="0"/>
              <w:rPr>
                <w:rFonts w:cs="Times New Roman"/>
                <w:color w:val="auto"/>
                <w:kern w:val="0"/>
                <w:sz w:val="21"/>
                <w:szCs w:val="21"/>
              </w:rPr>
            </w:pPr>
            <w:r>
              <w:rPr>
                <w:rFonts w:cs="Times New Roman"/>
                <w:color w:val="auto"/>
                <w:kern w:val="0"/>
                <w:sz w:val="21"/>
                <w:szCs w:val="21"/>
              </w:rPr>
              <w:t>鹀科Embrizidae</w:t>
            </w:r>
          </w:p>
        </w:tc>
        <w:tc>
          <w:tcPr>
            <w:tcW w:w="427" w:type="pct"/>
          </w:tcPr>
          <w:p w14:paraId="7B6AF3FB">
            <w:pPr>
              <w:ind w:firstLine="0" w:firstLineChars="0"/>
              <w:jc w:val="center"/>
              <w:rPr>
                <w:rFonts w:cs="Times New Roman"/>
                <w:color w:val="auto"/>
                <w:spacing w:val="-6"/>
                <w:sz w:val="21"/>
                <w:szCs w:val="21"/>
              </w:rPr>
            </w:pPr>
            <w:r>
              <w:rPr>
                <w:rFonts w:cs="Times New Roman"/>
                <w:color w:val="auto"/>
                <w:spacing w:val="-6"/>
                <w:sz w:val="21"/>
                <w:szCs w:val="21"/>
              </w:rPr>
              <w:t>1</w:t>
            </w:r>
          </w:p>
        </w:tc>
        <w:tc>
          <w:tcPr>
            <w:tcW w:w="508" w:type="pct"/>
            <w:vAlign w:val="center"/>
          </w:tcPr>
          <w:p w14:paraId="46E94829">
            <w:pPr>
              <w:ind w:firstLine="0" w:firstLineChars="0"/>
              <w:jc w:val="center"/>
              <w:rPr>
                <w:rFonts w:hint="eastAsia" w:eastAsia="宋体" w:cs="Times New Roman"/>
                <w:color w:val="auto"/>
                <w:spacing w:val="-6"/>
                <w:sz w:val="21"/>
                <w:szCs w:val="21"/>
                <w:lang w:eastAsia="zh-CN"/>
              </w:rPr>
            </w:pPr>
            <w:r>
              <w:rPr>
                <w:rFonts w:cs="Times New Roman"/>
                <w:color w:val="auto"/>
                <w:spacing w:val="-6"/>
                <w:sz w:val="21"/>
                <w:szCs w:val="21"/>
              </w:rPr>
              <w:t>2</w:t>
            </w:r>
          </w:p>
        </w:tc>
        <w:tc>
          <w:tcPr>
            <w:tcW w:w="652" w:type="pct"/>
            <w:shd w:val="clear" w:color="auto" w:fill="auto"/>
            <w:vAlign w:val="center"/>
          </w:tcPr>
          <w:p w14:paraId="2DFA63F6">
            <w:pPr>
              <w:ind w:firstLine="0" w:firstLineChars="0"/>
              <w:rPr>
                <w:rFonts w:cs="Times New Roman"/>
                <w:color w:val="auto"/>
                <w:spacing w:val="-6"/>
                <w:sz w:val="21"/>
                <w:szCs w:val="21"/>
              </w:rPr>
            </w:pPr>
            <w:r>
              <w:rPr>
                <w:rFonts w:hint="eastAsia" w:cs="Times New Roman"/>
                <w:color w:val="auto"/>
                <w:sz w:val="21"/>
                <w:szCs w:val="21"/>
              </w:rPr>
              <w:t>2.</w:t>
            </w:r>
            <w:r>
              <w:rPr>
                <w:rFonts w:cs="Times New Roman"/>
                <w:color w:val="auto"/>
                <w:sz w:val="21"/>
                <w:szCs w:val="21"/>
              </w:rPr>
              <w:t>27%</w:t>
            </w:r>
          </w:p>
        </w:tc>
      </w:tr>
      <w:tr w14:paraId="7D4A29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78" w:type="pct"/>
            <w:tcBorders>
              <w:bottom w:val="single" w:color="auto" w:sz="12" w:space="0"/>
            </w:tcBorders>
            <w:shd w:val="clear" w:color="auto" w:fill="auto"/>
            <w:vAlign w:val="center"/>
          </w:tcPr>
          <w:p w14:paraId="5B132EE7">
            <w:pPr>
              <w:ind w:firstLine="422"/>
              <w:rPr>
                <w:rFonts w:cs="Times New Roman"/>
                <w:b/>
                <w:color w:val="auto"/>
                <w:kern w:val="0"/>
                <w:sz w:val="21"/>
                <w:szCs w:val="21"/>
              </w:rPr>
            </w:pPr>
            <w:r>
              <w:rPr>
                <w:rFonts w:cs="Times New Roman"/>
                <w:b/>
                <w:color w:val="auto"/>
                <w:kern w:val="0"/>
                <w:sz w:val="21"/>
                <w:szCs w:val="21"/>
              </w:rPr>
              <w:t>合计10</w:t>
            </w:r>
          </w:p>
        </w:tc>
        <w:tc>
          <w:tcPr>
            <w:tcW w:w="1535" w:type="pct"/>
            <w:tcBorders>
              <w:bottom w:val="single" w:color="auto" w:sz="12" w:space="0"/>
            </w:tcBorders>
            <w:shd w:val="clear" w:color="auto" w:fill="auto"/>
            <w:vAlign w:val="center"/>
          </w:tcPr>
          <w:p w14:paraId="22710A92">
            <w:pPr>
              <w:ind w:firstLine="422"/>
              <w:rPr>
                <w:rFonts w:cs="Times New Roman"/>
                <w:b/>
                <w:color w:val="auto"/>
                <w:kern w:val="0"/>
                <w:sz w:val="21"/>
                <w:szCs w:val="21"/>
              </w:rPr>
            </w:pPr>
            <w:r>
              <w:rPr>
                <w:rFonts w:cs="Times New Roman"/>
                <w:b/>
                <w:color w:val="auto"/>
                <w:kern w:val="0"/>
                <w:sz w:val="21"/>
                <w:szCs w:val="21"/>
              </w:rPr>
              <w:t>38</w:t>
            </w:r>
          </w:p>
        </w:tc>
        <w:tc>
          <w:tcPr>
            <w:tcW w:w="427" w:type="pct"/>
            <w:tcBorders>
              <w:bottom w:val="single" w:color="auto" w:sz="12" w:space="0"/>
            </w:tcBorders>
          </w:tcPr>
          <w:p w14:paraId="12B84208">
            <w:pPr>
              <w:ind w:firstLine="0" w:firstLineChars="0"/>
              <w:jc w:val="center"/>
              <w:rPr>
                <w:rFonts w:cs="Times New Roman"/>
                <w:b/>
                <w:bCs/>
                <w:color w:val="auto"/>
                <w:spacing w:val="-6"/>
                <w:sz w:val="21"/>
                <w:szCs w:val="21"/>
              </w:rPr>
            </w:pPr>
            <w:r>
              <w:rPr>
                <w:rFonts w:cs="Times New Roman"/>
                <w:b/>
                <w:bCs/>
                <w:color w:val="auto"/>
                <w:spacing w:val="-6"/>
                <w:sz w:val="21"/>
                <w:szCs w:val="21"/>
              </w:rPr>
              <w:t>66</w:t>
            </w:r>
          </w:p>
        </w:tc>
        <w:tc>
          <w:tcPr>
            <w:tcW w:w="508" w:type="pct"/>
            <w:tcBorders>
              <w:bottom w:val="single" w:color="auto" w:sz="12" w:space="0"/>
            </w:tcBorders>
            <w:vAlign w:val="center"/>
          </w:tcPr>
          <w:p w14:paraId="393A9A28">
            <w:pPr>
              <w:ind w:firstLine="0" w:firstLineChars="0"/>
              <w:jc w:val="center"/>
              <w:rPr>
                <w:rFonts w:hint="eastAsia" w:eastAsia="宋体" w:cs="Times New Roman"/>
                <w:b/>
                <w:bCs/>
                <w:color w:val="auto"/>
                <w:spacing w:val="-6"/>
                <w:sz w:val="21"/>
                <w:szCs w:val="21"/>
                <w:lang w:eastAsia="zh-CN"/>
              </w:rPr>
            </w:pPr>
            <w:r>
              <w:rPr>
                <w:rFonts w:cs="Times New Roman"/>
                <w:b/>
                <w:bCs/>
                <w:color w:val="auto"/>
                <w:spacing w:val="-6"/>
                <w:sz w:val="21"/>
                <w:szCs w:val="21"/>
              </w:rPr>
              <w:t>88</w:t>
            </w:r>
          </w:p>
        </w:tc>
        <w:tc>
          <w:tcPr>
            <w:tcW w:w="652" w:type="pct"/>
            <w:tcBorders>
              <w:bottom w:val="single" w:color="auto" w:sz="12" w:space="0"/>
            </w:tcBorders>
            <w:shd w:val="clear" w:color="auto" w:fill="auto"/>
            <w:vAlign w:val="center"/>
          </w:tcPr>
          <w:p w14:paraId="0D2E4D3C">
            <w:pPr>
              <w:ind w:firstLine="0" w:firstLineChars="0"/>
              <w:rPr>
                <w:rFonts w:cs="Times New Roman"/>
                <w:b/>
                <w:color w:val="auto"/>
                <w:spacing w:val="-6"/>
                <w:sz w:val="21"/>
                <w:szCs w:val="21"/>
              </w:rPr>
            </w:pPr>
            <w:r>
              <w:rPr>
                <w:rFonts w:cs="Times New Roman"/>
                <w:b/>
                <w:color w:val="auto"/>
                <w:spacing w:val="-6"/>
                <w:sz w:val="21"/>
                <w:szCs w:val="21"/>
              </w:rPr>
              <w:t>100%</w:t>
            </w:r>
          </w:p>
        </w:tc>
      </w:tr>
    </w:tbl>
    <w:p w14:paraId="3EF1093B">
      <w:pPr>
        <w:pStyle w:val="42"/>
        <w:bidi w:val="0"/>
        <w:rPr>
          <w:rFonts w:hint="eastAsia"/>
          <w:color w:val="auto"/>
        </w:rPr>
      </w:pPr>
    </w:p>
    <w:p w14:paraId="0E5CACA4">
      <w:pPr>
        <w:pStyle w:val="42"/>
        <w:bidi w:val="0"/>
        <w:rPr>
          <w:rFonts w:hint="eastAsia" w:eastAsia="宋体"/>
          <w:color w:val="auto"/>
          <w:lang w:eastAsia="zh-CN"/>
        </w:rPr>
      </w:pPr>
      <w:r>
        <w:rPr>
          <w:color w:val="auto"/>
        </w:rPr>
        <w:t>表</w:t>
      </w:r>
      <w:r>
        <w:rPr>
          <w:rFonts w:hint="eastAsia"/>
          <w:color w:val="auto"/>
          <w:lang w:val="en-US" w:eastAsia="zh-CN"/>
        </w:rPr>
        <w:t xml:space="preserve">2-14  </w:t>
      </w:r>
      <w:r>
        <w:rPr>
          <w:rFonts w:hint="eastAsia"/>
          <w:color w:val="auto"/>
        </w:rPr>
        <w:t>调查区</w:t>
      </w:r>
      <w:r>
        <w:rPr>
          <w:rFonts w:hint="eastAsia"/>
          <w:color w:val="auto"/>
          <w:lang w:val="en-US" w:eastAsia="zh-CN"/>
        </w:rPr>
        <w:t>现场部分</w:t>
      </w:r>
      <w:r>
        <w:rPr>
          <w:rFonts w:hint="eastAsia"/>
          <w:color w:val="auto"/>
        </w:rPr>
        <w:t>鸟类</w:t>
      </w:r>
      <w:r>
        <w:rPr>
          <w:rFonts w:hint="eastAsia"/>
          <w:color w:val="auto"/>
          <w:lang w:val="en-US" w:eastAsia="zh-CN"/>
        </w:rPr>
        <w:t>照片</w:t>
      </w:r>
    </w:p>
    <w:tbl>
      <w:tblPr>
        <w:tblStyle w:val="21"/>
        <w:tblW w:w="0" w:type="auto"/>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415"/>
        <w:gridCol w:w="4531"/>
      </w:tblGrid>
      <w:tr w14:paraId="3923002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73" w:type="dxa"/>
            <w:tcBorders>
              <w:tl2br w:val="nil"/>
              <w:tr2bl w:val="nil"/>
            </w:tcBorders>
          </w:tcPr>
          <w:p w14:paraId="1F8871D0">
            <w:pPr>
              <w:pStyle w:val="34"/>
              <w:tabs>
                <w:tab w:val="left" w:pos="1389"/>
              </w:tabs>
              <w:bidi w:val="0"/>
              <w:rPr>
                <w:rFonts w:hint="eastAsia"/>
                <w:color w:val="auto"/>
                <w:lang w:val="en-US" w:eastAsia="zh-CN"/>
              </w:rPr>
            </w:pPr>
            <w:r>
              <w:rPr>
                <w:color w:val="auto"/>
              </w:rPr>
              <w:drawing>
                <wp:inline distT="0" distB="0" distL="0" distR="0">
                  <wp:extent cx="2727325" cy="1818005"/>
                  <wp:effectExtent l="0" t="0" r="15875" b="1079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727325" cy="1818005"/>
                          </a:xfrm>
                          <a:prstGeom prst="rect">
                            <a:avLst/>
                          </a:prstGeom>
                        </pic:spPr>
                      </pic:pic>
                    </a:graphicData>
                  </a:graphic>
                </wp:inline>
              </w:drawing>
            </w:r>
          </w:p>
        </w:tc>
        <w:tc>
          <w:tcPr>
            <w:tcW w:w="4473" w:type="dxa"/>
            <w:tcBorders>
              <w:tl2br w:val="nil"/>
              <w:tr2bl w:val="nil"/>
            </w:tcBorders>
          </w:tcPr>
          <w:p w14:paraId="783AE1E9">
            <w:pPr>
              <w:pStyle w:val="34"/>
              <w:tabs>
                <w:tab w:val="left" w:pos="1389"/>
              </w:tabs>
              <w:bidi w:val="0"/>
              <w:rPr>
                <w:rFonts w:hint="eastAsia"/>
                <w:color w:val="auto"/>
                <w:lang w:val="en-US" w:eastAsia="zh-CN"/>
              </w:rPr>
            </w:pPr>
            <w:r>
              <w:rPr>
                <w:color w:val="auto"/>
              </w:rPr>
              <w:drawing>
                <wp:inline distT="0" distB="0" distL="0" distR="0">
                  <wp:extent cx="2760980" cy="1841500"/>
                  <wp:effectExtent l="0" t="0" r="1270" b="635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760980" cy="1841500"/>
                          </a:xfrm>
                          <a:prstGeom prst="rect">
                            <a:avLst/>
                          </a:prstGeom>
                        </pic:spPr>
                      </pic:pic>
                    </a:graphicData>
                  </a:graphic>
                </wp:inline>
              </w:drawing>
            </w:r>
          </w:p>
        </w:tc>
      </w:tr>
      <w:tr w14:paraId="5FA397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73" w:type="dxa"/>
            <w:tcBorders>
              <w:tl2br w:val="nil"/>
              <w:tr2bl w:val="nil"/>
            </w:tcBorders>
          </w:tcPr>
          <w:p w14:paraId="6297064D">
            <w:pPr>
              <w:pStyle w:val="34"/>
              <w:tabs>
                <w:tab w:val="left" w:pos="1389"/>
              </w:tabs>
              <w:bidi w:val="0"/>
              <w:rPr>
                <w:rFonts w:hint="eastAsia"/>
                <w:color w:val="auto"/>
                <w:lang w:val="en-US" w:eastAsia="zh-CN"/>
              </w:rPr>
            </w:pPr>
            <w:r>
              <w:rPr>
                <w:rFonts w:hint="eastAsia"/>
                <w:color w:val="auto"/>
              </w:rPr>
              <w:t>小云雀</w:t>
            </w:r>
          </w:p>
        </w:tc>
        <w:tc>
          <w:tcPr>
            <w:tcW w:w="4473" w:type="dxa"/>
            <w:tcBorders>
              <w:tl2br w:val="nil"/>
              <w:tr2bl w:val="nil"/>
            </w:tcBorders>
          </w:tcPr>
          <w:p w14:paraId="611EB647">
            <w:pPr>
              <w:pStyle w:val="34"/>
              <w:tabs>
                <w:tab w:val="left" w:pos="1389"/>
              </w:tabs>
              <w:bidi w:val="0"/>
              <w:rPr>
                <w:rFonts w:hint="eastAsia"/>
                <w:color w:val="auto"/>
                <w:lang w:val="en-US" w:eastAsia="zh-CN"/>
              </w:rPr>
            </w:pPr>
            <w:r>
              <w:rPr>
                <w:rFonts w:hint="eastAsia"/>
                <w:color w:val="auto"/>
              </w:rPr>
              <w:t>大斑啄木鸟</w:t>
            </w:r>
          </w:p>
        </w:tc>
      </w:tr>
      <w:tr w14:paraId="3C0DE7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73" w:type="dxa"/>
            <w:tcBorders>
              <w:tl2br w:val="nil"/>
              <w:tr2bl w:val="nil"/>
            </w:tcBorders>
          </w:tcPr>
          <w:p w14:paraId="56468DDE">
            <w:pPr>
              <w:pStyle w:val="34"/>
              <w:tabs>
                <w:tab w:val="left" w:pos="1389"/>
              </w:tabs>
              <w:bidi w:val="0"/>
              <w:rPr>
                <w:rFonts w:hint="eastAsia"/>
                <w:color w:val="auto"/>
                <w:lang w:val="en-US" w:eastAsia="zh-CN"/>
              </w:rPr>
            </w:pPr>
            <w:r>
              <w:rPr>
                <w:color w:val="auto"/>
              </w:rPr>
              <w:drawing>
                <wp:inline distT="0" distB="0" distL="0" distR="0">
                  <wp:extent cx="2694305" cy="1797050"/>
                  <wp:effectExtent l="0" t="0" r="10795" b="1270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694305" cy="1797050"/>
                          </a:xfrm>
                          <a:prstGeom prst="rect">
                            <a:avLst/>
                          </a:prstGeom>
                        </pic:spPr>
                      </pic:pic>
                    </a:graphicData>
                  </a:graphic>
                </wp:inline>
              </w:drawing>
            </w:r>
          </w:p>
        </w:tc>
        <w:tc>
          <w:tcPr>
            <w:tcW w:w="4473" w:type="dxa"/>
            <w:tcBorders>
              <w:tl2br w:val="nil"/>
              <w:tr2bl w:val="nil"/>
            </w:tcBorders>
          </w:tcPr>
          <w:p w14:paraId="6B6CCE29">
            <w:pPr>
              <w:pStyle w:val="34"/>
              <w:tabs>
                <w:tab w:val="left" w:pos="1389"/>
              </w:tabs>
              <w:bidi w:val="0"/>
              <w:rPr>
                <w:rFonts w:hint="eastAsia"/>
                <w:color w:val="auto"/>
                <w:lang w:val="en-US" w:eastAsia="zh-CN"/>
              </w:rPr>
            </w:pPr>
            <w:r>
              <w:rPr>
                <w:color w:val="auto"/>
              </w:rPr>
              <w:drawing>
                <wp:inline distT="0" distB="0" distL="0" distR="0">
                  <wp:extent cx="2738120" cy="1824990"/>
                  <wp:effectExtent l="0" t="0" r="5080" b="381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pic:cNvPicPr>
                        </pic:nvPicPr>
                        <pic:blipFill>
                          <a:blip r:embed="rId61" cstate="print">
                            <a:extLst>
                              <a:ext uri="{28A0092B-C50C-407E-A947-70E740481C1C}">
                                <a14:useLocalDpi xmlns:a14="http://schemas.microsoft.com/office/drawing/2010/main" val="0"/>
                              </a:ext>
                            </a:extLst>
                          </a:blip>
                          <a:stretch>
                            <a:fillRect/>
                          </a:stretch>
                        </pic:blipFill>
                        <pic:spPr>
                          <a:xfrm>
                            <a:off x="0" y="0"/>
                            <a:ext cx="2738120" cy="1824990"/>
                          </a:xfrm>
                          <a:prstGeom prst="rect">
                            <a:avLst/>
                          </a:prstGeom>
                        </pic:spPr>
                      </pic:pic>
                    </a:graphicData>
                  </a:graphic>
                </wp:inline>
              </w:drawing>
            </w:r>
          </w:p>
        </w:tc>
      </w:tr>
      <w:tr w14:paraId="091E1C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73" w:type="dxa"/>
            <w:tcBorders>
              <w:tl2br w:val="nil"/>
              <w:tr2bl w:val="nil"/>
            </w:tcBorders>
          </w:tcPr>
          <w:p w14:paraId="55184206">
            <w:pPr>
              <w:pStyle w:val="34"/>
              <w:tabs>
                <w:tab w:val="left" w:pos="1389"/>
              </w:tabs>
              <w:bidi w:val="0"/>
              <w:rPr>
                <w:rFonts w:hint="eastAsia"/>
                <w:color w:val="auto"/>
                <w:lang w:val="en-US" w:eastAsia="zh-CN"/>
              </w:rPr>
            </w:pPr>
            <w:r>
              <w:rPr>
                <w:rFonts w:hint="eastAsia"/>
                <w:color w:val="auto"/>
              </w:rPr>
              <w:t>小鹀</w:t>
            </w:r>
          </w:p>
        </w:tc>
        <w:tc>
          <w:tcPr>
            <w:tcW w:w="4473" w:type="dxa"/>
            <w:tcBorders>
              <w:tl2br w:val="nil"/>
              <w:tr2bl w:val="nil"/>
            </w:tcBorders>
          </w:tcPr>
          <w:p w14:paraId="24979A2F">
            <w:pPr>
              <w:pStyle w:val="34"/>
              <w:tabs>
                <w:tab w:val="left" w:pos="1389"/>
              </w:tabs>
              <w:bidi w:val="0"/>
              <w:rPr>
                <w:rFonts w:hint="eastAsia"/>
                <w:color w:val="auto"/>
                <w:lang w:val="en-US" w:eastAsia="zh-CN"/>
              </w:rPr>
            </w:pPr>
            <w:r>
              <w:rPr>
                <w:rFonts w:hint="eastAsia"/>
                <w:color w:val="auto"/>
              </w:rPr>
              <w:t>红头长尾山雀</w:t>
            </w:r>
          </w:p>
        </w:tc>
      </w:tr>
      <w:tr w14:paraId="7621679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73" w:type="dxa"/>
            <w:tcBorders>
              <w:tl2br w:val="nil"/>
              <w:tr2bl w:val="nil"/>
            </w:tcBorders>
          </w:tcPr>
          <w:p w14:paraId="13C14877">
            <w:pPr>
              <w:pStyle w:val="34"/>
              <w:tabs>
                <w:tab w:val="left" w:pos="1389"/>
              </w:tabs>
              <w:bidi w:val="0"/>
              <w:rPr>
                <w:rFonts w:hint="eastAsia"/>
                <w:color w:val="auto"/>
                <w:lang w:val="en-US" w:eastAsia="zh-CN"/>
              </w:rPr>
            </w:pPr>
            <w:r>
              <w:rPr>
                <w:color w:val="auto"/>
              </w:rPr>
              <w:drawing>
                <wp:inline distT="0" distB="0" distL="0" distR="0">
                  <wp:extent cx="2647950" cy="1764665"/>
                  <wp:effectExtent l="0" t="0" r="0" b="698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647950" cy="1764665"/>
                          </a:xfrm>
                          <a:prstGeom prst="rect">
                            <a:avLst/>
                          </a:prstGeom>
                        </pic:spPr>
                      </pic:pic>
                    </a:graphicData>
                  </a:graphic>
                </wp:inline>
              </w:drawing>
            </w:r>
          </w:p>
        </w:tc>
        <w:tc>
          <w:tcPr>
            <w:tcW w:w="4473" w:type="dxa"/>
            <w:tcBorders>
              <w:tl2br w:val="nil"/>
              <w:tr2bl w:val="nil"/>
            </w:tcBorders>
          </w:tcPr>
          <w:p w14:paraId="100598B0">
            <w:pPr>
              <w:pStyle w:val="34"/>
              <w:tabs>
                <w:tab w:val="left" w:pos="1389"/>
              </w:tabs>
              <w:bidi w:val="0"/>
              <w:rPr>
                <w:rFonts w:hint="eastAsia"/>
                <w:color w:val="auto"/>
                <w:lang w:val="en-US" w:eastAsia="zh-CN"/>
              </w:rPr>
            </w:pPr>
            <w:r>
              <w:rPr>
                <w:color w:val="auto"/>
              </w:rPr>
              <w:drawing>
                <wp:inline distT="0" distB="0" distL="0" distR="0">
                  <wp:extent cx="2769870" cy="1743075"/>
                  <wp:effectExtent l="0" t="0" r="11430" b="952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pic:cNvPicPr>
                        </pic:nvPicPr>
                        <pic:blipFill>
                          <a:blip r:embed="rId63" cstate="print">
                            <a:extLst>
                              <a:ext uri="{28A0092B-C50C-407E-A947-70E740481C1C}">
                                <a14:useLocalDpi xmlns:a14="http://schemas.microsoft.com/office/drawing/2010/main" val="0"/>
                              </a:ext>
                            </a:extLst>
                          </a:blip>
                          <a:srcRect t="5638"/>
                          <a:stretch>
                            <a:fillRect/>
                          </a:stretch>
                        </pic:blipFill>
                        <pic:spPr>
                          <a:xfrm>
                            <a:off x="0" y="0"/>
                            <a:ext cx="2769870" cy="1743075"/>
                          </a:xfrm>
                          <a:prstGeom prst="rect">
                            <a:avLst/>
                          </a:prstGeom>
                        </pic:spPr>
                      </pic:pic>
                    </a:graphicData>
                  </a:graphic>
                </wp:inline>
              </w:drawing>
            </w:r>
          </w:p>
        </w:tc>
      </w:tr>
      <w:tr w14:paraId="7501E7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73" w:type="dxa"/>
            <w:tcBorders>
              <w:tl2br w:val="nil"/>
              <w:tr2bl w:val="nil"/>
            </w:tcBorders>
          </w:tcPr>
          <w:p w14:paraId="071894A7">
            <w:pPr>
              <w:pStyle w:val="34"/>
              <w:tabs>
                <w:tab w:val="left" w:pos="1389"/>
              </w:tabs>
              <w:bidi w:val="0"/>
              <w:rPr>
                <w:color w:val="auto"/>
              </w:rPr>
            </w:pPr>
            <w:r>
              <w:rPr>
                <w:rFonts w:hint="eastAsia"/>
                <w:color w:val="auto"/>
              </w:rPr>
              <w:t>红嘴蓝鹊</w:t>
            </w:r>
          </w:p>
        </w:tc>
        <w:tc>
          <w:tcPr>
            <w:tcW w:w="4473" w:type="dxa"/>
            <w:tcBorders>
              <w:tl2br w:val="nil"/>
              <w:tr2bl w:val="nil"/>
            </w:tcBorders>
          </w:tcPr>
          <w:p w14:paraId="4438EC68">
            <w:pPr>
              <w:pStyle w:val="34"/>
              <w:tabs>
                <w:tab w:val="left" w:pos="1389"/>
              </w:tabs>
              <w:bidi w:val="0"/>
              <w:rPr>
                <w:color w:val="auto"/>
              </w:rPr>
            </w:pPr>
            <w:r>
              <w:rPr>
                <w:rFonts w:hint="eastAsia"/>
                <w:color w:val="auto"/>
              </w:rPr>
              <w:t>星鸦</w:t>
            </w:r>
          </w:p>
        </w:tc>
      </w:tr>
      <w:tr w14:paraId="6FA07D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73" w:type="dxa"/>
            <w:tcBorders>
              <w:tl2br w:val="nil"/>
              <w:tr2bl w:val="nil"/>
            </w:tcBorders>
          </w:tcPr>
          <w:p w14:paraId="591F41FA">
            <w:pPr>
              <w:pStyle w:val="34"/>
              <w:tabs>
                <w:tab w:val="left" w:pos="1389"/>
              </w:tabs>
              <w:bidi w:val="0"/>
              <w:rPr>
                <w:color w:val="auto"/>
              </w:rPr>
            </w:pPr>
            <w:r>
              <w:rPr>
                <w:color w:val="auto"/>
              </w:rPr>
              <w:drawing>
                <wp:inline distT="0" distB="0" distL="0" distR="0">
                  <wp:extent cx="2726055" cy="1817370"/>
                  <wp:effectExtent l="0" t="0" r="17145" b="1143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pic:cNvPicPr>
                        </pic:nvPicPr>
                        <pic:blipFill>
                          <a:blip r:embed="rId64" cstate="print">
                            <a:extLst>
                              <a:ext uri="{28A0092B-C50C-407E-A947-70E740481C1C}">
                                <a14:useLocalDpi xmlns:a14="http://schemas.microsoft.com/office/drawing/2010/main" val="0"/>
                              </a:ext>
                            </a:extLst>
                          </a:blip>
                          <a:stretch>
                            <a:fillRect/>
                          </a:stretch>
                        </pic:blipFill>
                        <pic:spPr>
                          <a:xfrm>
                            <a:off x="0" y="0"/>
                            <a:ext cx="2726055" cy="1817370"/>
                          </a:xfrm>
                          <a:prstGeom prst="rect">
                            <a:avLst/>
                          </a:prstGeom>
                        </pic:spPr>
                      </pic:pic>
                    </a:graphicData>
                  </a:graphic>
                </wp:inline>
              </w:drawing>
            </w:r>
          </w:p>
        </w:tc>
        <w:tc>
          <w:tcPr>
            <w:tcW w:w="4473" w:type="dxa"/>
            <w:tcBorders>
              <w:tl2br w:val="nil"/>
              <w:tr2bl w:val="nil"/>
            </w:tcBorders>
          </w:tcPr>
          <w:p w14:paraId="6C001A55">
            <w:pPr>
              <w:pStyle w:val="34"/>
              <w:tabs>
                <w:tab w:val="left" w:pos="1389"/>
              </w:tabs>
              <w:bidi w:val="0"/>
              <w:rPr>
                <w:color w:val="auto"/>
              </w:rPr>
            </w:pPr>
            <w:r>
              <w:rPr>
                <w:color w:val="auto"/>
              </w:rPr>
              <w:drawing>
                <wp:inline distT="0" distB="0" distL="0" distR="0">
                  <wp:extent cx="2809240" cy="1873250"/>
                  <wp:effectExtent l="0" t="0" r="10160" b="1270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pic:cNvPicPr>
                        </pic:nvPicPr>
                        <pic:blipFill>
                          <a:blip r:embed="rId65" cstate="print">
                            <a:extLst>
                              <a:ext uri="{28A0092B-C50C-407E-A947-70E740481C1C}">
                                <a14:useLocalDpi xmlns:a14="http://schemas.microsoft.com/office/drawing/2010/main" val="0"/>
                              </a:ext>
                            </a:extLst>
                          </a:blip>
                          <a:stretch>
                            <a:fillRect/>
                          </a:stretch>
                        </pic:blipFill>
                        <pic:spPr>
                          <a:xfrm>
                            <a:off x="0" y="0"/>
                            <a:ext cx="2809240" cy="1873250"/>
                          </a:xfrm>
                          <a:prstGeom prst="rect">
                            <a:avLst/>
                          </a:prstGeom>
                        </pic:spPr>
                      </pic:pic>
                    </a:graphicData>
                  </a:graphic>
                </wp:inline>
              </w:drawing>
            </w:r>
          </w:p>
        </w:tc>
      </w:tr>
      <w:tr w14:paraId="517D61C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73" w:type="dxa"/>
            <w:tcBorders>
              <w:tl2br w:val="nil"/>
              <w:tr2bl w:val="nil"/>
            </w:tcBorders>
          </w:tcPr>
          <w:p w14:paraId="3536543F">
            <w:pPr>
              <w:pStyle w:val="34"/>
              <w:tabs>
                <w:tab w:val="left" w:pos="1389"/>
              </w:tabs>
              <w:bidi w:val="0"/>
              <w:rPr>
                <w:color w:val="auto"/>
              </w:rPr>
            </w:pPr>
            <w:r>
              <w:rPr>
                <w:rFonts w:hint="eastAsia"/>
                <w:color w:val="auto"/>
              </w:rPr>
              <w:t>黄腹柳莺</w:t>
            </w:r>
          </w:p>
        </w:tc>
        <w:tc>
          <w:tcPr>
            <w:tcW w:w="4473" w:type="dxa"/>
            <w:tcBorders>
              <w:tl2br w:val="nil"/>
              <w:tr2bl w:val="nil"/>
            </w:tcBorders>
          </w:tcPr>
          <w:p w14:paraId="12B92E02">
            <w:pPr>
              <w:pStyle w:val="34"/>
              <w:tabs>
                <w:tab w:val="left" w:pos="1389"/>
              </w:tabs>
              <w:bidi w:val="0"/>
              <w:rPr>
                <w:color w:val="auto"/>
              </w:rPr>
            </w:pPr>
            <w:r>
              <w:rPr>
                <w:rFonts w:hint="eastAsia"/>
                <w:color w:val="auto"/>
              </w:rPr>
              <w:t>灰林䳭</w:t>
            </w:r>
          </w:p>
        </w:tc>
      </w:tr>
      <w:tr w14:paraId="4982248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73" w:type="dxa"/>
            <w:tcBorders>
              <w:tl2br w:val="nil"/>
              <w:tr2bl w:val="nil"/>
            </w:tcBorders>
          </w:tcPr>
          <w:p w14:paraId="2767DCF7">
            <w:pPr>
              <w:pStyle w:val="34"/>
              <w:tabs>
                <w:tab w:val="left" w:pos="1389"/>
              </w:tabs>
              <w:bidi w:val="0"/>
              <w:rPr>
                <w:color w:val="auto"/>
              </w:rPr>
            </w:pPr>
            <w:r>
              <w:rPr>
                <w:color w:val="auto"/>
              </w:rPr>
              <w:drawing>
                <wp:inline distT="0" distB="0" distL="0" distR="0">
                  <wp:extent cx="2671445" cy="1780540"/>
                  <wp:effectExtent l="0" t="0" r="14605" b="1016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pic:cNvPicPr>
                        </pic:nvPicPr>
                        <pic:blipFill>
                          <a:blip r:embed="rId66" cstate="print">
                            <a:extLst>
                              <a:ext uri="{28A0092B-C50C-407E-A947-70E740481C1C}">
                                <a14:useLocalDpi xmlns:a14="http://schemas.microsoft.com/office/drawing/2010/main" val="0"/>
                              </a:ext>
                            </a:extLst>
                          </a:blip>
                          <a:stretch>
                            <a:fillRect/>
                          </a:stretch>
                        </pic:blipFill>
                        <pic:spPr>
                          <a:xfrm>
                            <a:off x="0" y="0"/>
                            <a:ext cx="2671445" cy="1780540"/>
                          </a:xfrm>
                          <a:prstGeom prst="rect">
                            <a:avLst/>
                          </a:prstGeom>
                        </pic:spPr>
                      </pic:pic>
                    </a:graphicData>
                  </a:graphic>
                </wp:inline>
              </w:drawing>
            </w:r>
          </w:p>
        </w:tc>
        <w:tc>
          <w:tcPr>
            <w:tcW w:w="4473" w:type="dxa"/>
            <w:tcBorders>
              <w:tl2br w:val="nil"/>
              <w:tr2bl w:val="nil"/>
            </w:tcBorders>
          </w:tcPr>
          <w:p w14:paraId="6C3C68B4">
            <w:pPr>
              <w:pStyle w:val="34"/>
              <w:tabs>
                <w:tab w:val="left" w:pos="1389"/>
              </w:tabs>
              <w:bidi w:val="0"/>
              <w:rPr>
                <w:color w:val="auto"/>
              </w:rPr>
            </w:pPr>
            <w:r>
              <w:rPr>
                <w:color w:val="auto"/>
              </w:rPr>
              <w:drawing>
                <wp:inline distT="0" distB="0" distL="0" distR="0">
                  <wp:extent cx="2576195" cy="1717675"/>
                  <wp:effectExtent l="0" t="0" r="14605" b="15875"/>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pic:cNvPicPr>
                        </pic:nvPicPr>
                        <pic:blipFill>
                          <a:blip r:embed="rId67" cstate="print">
                            <a:extLst>
                              <a:ext uri="{28A0092B-C50C-407E-A947-70E740481C1C}">
                                <a14:useLocalDpi xmlns:a14="http://schemas.microsoft.com/office/drawing/2010/main" val="0"/>
                              </a:ext>
                            </a:extLst>
                          </a:blip>
                          <a:stretch>
                            <a:fillRect/>
                          </a:stretch>
                        </pic:blipFill>
                        <pic:spPr>
                          <a:xfrm>
                            <a:off x="0" y="0"/>
                            <a:ext cx="2576195" cy="1717675"/>
                          </a:xfrm>
                          <a:prstGeom prst="rect">
                            <a:avLst/>
                          </a:prstGeom>
                        </pic:spPr>
                      </pic:pic>
                    </a:graphicData>
                  </a:graphic>
                </wp:inline>
              </w:drawing>
            </w:r>
          </w:p>
        </w:tc>
      </w:tr>
      <w:tr w14:paraId="7DDFE4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73" w:type="dxa"/>
            <w:tcBorders>
              <w:tl2br w:val="nil"/>
              <w:tr2bl w:val="nil"/>
            </w:tcBorders>
          </w:tcPr>
          <w:p w14:paraId="3B0ED837">
            <w:pPr>
              <w:pStyle w:val="34"/>
              <w:tabs>
                <w:tab w:val="left" w:pos="1389"/>
              </w:tabs>
              <w:bidi w:val="0"/>
              <w:rPr>
                <w:color w:val="auto"/>
              </w:rPr>
            </w:pPr>
            <w:r>
              <w:rPr>
                <w:rFonts w:hint="eastAsia"/>
                <w:color w:val="auto"/>
              </w:rPr>
              <w:t>山斑鸠</w:t>
            </w:r>
          </w:p>
        </w:tc>
        <w:tc>
          <w:tcPr>
            <w:tcW w:w="4473" w:type="dxa"/>
            <w:tcBorders>
              <w:tl2br w:val="nil"/>
              <w:tr2bl w:val="nil"/>
            </w:tcBorders>
          </w:tcPr>
          <w:p w14:paraId="307A364E">
            <w:pPr>
              <w:pStyle w:val="34"/>
              <w:tabs>
                <w:tab w:val="left" w:pos="1389"/>
              </w:tabs>
              <w:bidi w:val="0"/>
              <w:rPr>
                <w:color w:val="auto"/>
              </w:rPr>
            </w:pPr>
            <w:r>
              <w:rPr>
                <w:rFonts w:hint="eastAsia"/>
                <w:color w:val="auto"/>
              </w:rPr>
              <w:t>黑眉长尾山雀</w:t>
            </w:r>
          </w:p>
        </w:tc>
      </w:tr>
      <w:tr w14:paraId="5093432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73" w:type="dxa"/>
            <w:tcBorders>
              <w:tl2br w:val="nil"/>
              <w:tr2bl w:val="nil"/>
            </w:tcBorders>
          </w:tcPr>
          <w:p w14:paraId="1188C0E6">
            <w:pPr>
              <w:pStyle w:val="34"/>
              <w:tabs>
                <w:tab w:val="left" w:pos="1389"/>
              </w:tabs>
              <w:bidi w:val="0"/>
              <w:rPr>
                <w:rFonts w:hint="eastAsia"/>
                <w:color w:val="auto"/>
              </w:rPr>
            </w:pPr>
            <w:r>
              <w:rPr>
                <w:rFonts w:hint="eastAsia"/>
                <w:color w:val="auto"/>
              </w:rPr>
              <w:drawing>
                <wp:inline distT="0" distB="0" distL="0" distR="0">
                  <wp:extent cx="2679700" cy="1508760"/>
                  <wp:effectExtent l="0" t="0" r="6350" b="1524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pic:cNvPicPr>
                        </pic:nvPicPr>
                        <pic:blipFill>
                          <a:blip r:embed="rId68">
                            <a:extLst>
                              <a:ext uri="{28A0092B-C50C-407E-A947-70E740481C1C}">
                                <a14:useLocalDpi xmlns:a14="http://schemas.microsoft.com/office/drawing/2010/main" val="0"/>
                              </a:ext>
                            </a:extLst>
                          </a:blip>
                          <a:stretch>
                            <a:fillRect/>
                          </a:stretch>
                        </pic:blipFill>
                        <pic:spPr>
                          <a:xfrm>
                            <a:off x="0" y="0"/>
                            <a:ext cx="2679700" cy="1508760"/>
                          </a:xfrm>
                          <a:prstGeom prst="rect">
                            <a:avLst/>
                          </a:prstGeom>
                        </pic:spPr>
                      </pic:pic>
                    </a:graphicData>
                  </a:graphic>
                </wp:inline>
              </w:drawing>
            </w:r>
          </w:p>
        </w:tc>
        <w:tc>
          <w:tcPr>
            <w:tcW w:w="4473" w:type="dxa"/>
            <w:tcBorders>
              <w:tl2br w:val="nil"/>
              <w:tr2bl w:val="nil"/>
            </w:tcBorders>
          </w:tcPr>
          <w:p w14:paraId="616D59B4">
            <w:pPr>
              <w:pStyle w:val="34"/>
              <w:tabs>
                <w:tab w:val="left" w:pos="1389"/>
              </w:tabs>
              <w:bidi w:val="0"/>
              <w:rPr>
                <w:rFonts w:hint="eastAsia"/>
                <w:color w:val="auto"/>
              </w:rPr>
            </w:pPr>
            <w:r>
              <w:rPr>
                <w:rFonts w:hint="eastAsia"/>
                <w:color w:val="auto"/>
              </w:rPr>
              <w:drawing>
                <wp:inline distT="0" distB="0" distL="0" distR="0">
                  <wp:extent cx="2673350" cy="1505585"/>
                  <wp:effectExtent l="0" t="0" r="12700" b="18415"/>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2673350" cy="1505585"/>
                          </a:xfrm>
                          <a:prstGeom prst="rect">
                            <a:avLst/>
                          </a:prstGeom>
                        </pic:spPr>
                      </pic:pic>
                    </a:graphicData>
                  </a:graphic>
                </wp:inline>
              </w:drawing>
            </w:r>
          </w:p>
        </w:tc>
      </w:tr>
      <w:tr w14:paraId="0346ECB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473" w:type="dxa"/>
            <w:tcBorders>
              <w:tl2br w:val="nil"/>
              <w:tr2bl w:val="nil"/>
            </w:tcBorders>
          </w:tcPr>
          <w:p w14:paraId="0E1F424F">
            <w:pPr>
              <w:pStyle w:val="34"/>
              <w:tabs>
                <w:tab w:val="left" w:pos="1389"/>
              </w:tabs>
              <w:bidi w:val="0"/>
              <w:rPr>
                <w:rFonts w:hint="default" w:eastAsia="宋体"/>
                <w:color w:val="auto"/>
                <w:lang w:val="en-US" w:eastAsia="zh-CN"/>
              </w:rPr>
            </w:pPr>
            <w:r>
              <w:rPr>
                <w:rFonts w:hint="eastAsia"/>
                <w:color w:val="auto"/>
                <w:lang w:val="en-US" w:eastAsia="zh-CN"/>
              </w:rPr>
              <w:t>调查照片1</w:t>
            </w:r>
          </w:p>
        </w:tc>
        <w:tc>
          <w:tcPr>
            <w:tcW w:w="4473" w:type="dxa"/>
            <w:tcBorders>
              <w:tl2br w:val="nil"/>
              <w:tr2bl w:val="nil"/>
            </w:tcBorders>
          </w:tcPr>
          <w:p w14:paraId="2630AABA">
            <w:pPr>
              <w:pStyle w:val="34"/>
              <w:tabs>
                <w:tab w:val="left" w:pos="1389"/>
              </w:tabs>
              <w:bidi w:val="0"/>
              <w:rPr>
                <w:rFonts w:hint="default"/>
                <w:color w:val="auto"/>
                <w:lang w:val="en-US"/>
              </w:rPr>
            </w:pPr>
            <w:r>
              <w:rPr>
                <w:rFonts w:hint="eastAsia"/>
                <w:color w:val="auto"/>
                <w:lang w:val="en-US" w:eastAsia="zh-CN"/>
              </w:rPr>
              <w:t>调查照片2</w:t>
            </w:r>
          </w:p>
        </w:tc>
      </w:tr>
    </w:tbl>
    <w:p w14:paraId="4F404E14">
      <w:pPr>
        <w:pStyle w:val="41"/>
        <w:bidi w:val="0"/>
        <w:rPr>
          <w:rFonts w:hint="eastAsia"/>
          <w:color w:val="auto"/>
        </w:rPr>
      </w:pPr>
      <w:r>
        <w:rPr>
          <w:rFonts w:hint="eastAsia"/>
          <w:color w:val="auto"/>
          <w:lang w:val="en-US" w:eastAsia="zh-CN"/>
        </w:rPr>
        <w:t>（2）</w:t>
      </w:r>
      <w:r>
        <w:rPr>
          <w:rFonts w:hint="eastAsia"/>
          <w:color w:val="auto"/>
        </w:rPr>
        <w:t>调查区域鸟类区系组成</w:t>
      </w:r>
    </w:p>
    <w:p w14:paraId="0A5A5940">
      <w:pPr>
        <w:pStyle w:val="41"/>
        <w:bidi w:val="0"/>
        <w:rPr>
          <w:rFonts w:hint="eastAsia" w:cs="Times New Roman"/>
          <w:color w:val="auto"/>
        </w:rPr>
      </w:pPr>
      <w:r>
        <w:rPr>
          <w:rFonts w:cs="Times New Roman"/>
          <w:color w:val="auto"/>
        </w:rPr>
        <w:t>在调查区记录的</w:t>
      </w:r>
      <w:r>
        <w:rPr>
          <w:rFonts w:hint="eastAsia" w:cs="Times New Roman"/>
          <w:color w:val="auto"/>
        </w:rPr>
        <w:t>8</w:t>
      </w:r>
      <w:r>
        <w:rPr>
          <w:rFonts w:cs="Times New Roman"/>
          <w:color w:val="auto"/>
        </w:rPr>
        <w:t>8种鸟类中，留鸟有61种，占</w:t>
      </w:r>
      <w:r>
        <w:rPr>
          <w:rFonts w:hint="eastAsia" w:cs="Times New Roman"/>
          <w:color w:val="auto"/>
        </w:rPr>
        <w:t>记录鸟类种</w:t>
      </w:r>
      <w:r>
        <w:rPr>
          <w:rFonts w:cs="Times New Roman"/>
          <w:color w:val="auto"/>
        </w:rPr>
        <w:t>数的69.32%；夏候鸟</w:t>
      </w:r>
      <w:r>
        <w:rPr>
          <w:rFonts w:hint="eastAsia" w:cs="Times New Roman"/>
          <w:color w:val="auto"/>
        </w:rPr>
        <w:t>9</w:t>
      </w:r>
      <w:r>
        <w:rPr>
          <w:rFonts w:cs="Times New Roman"/>
          <w:color w:val="auto"/>
        </w:rPr>
        <w:t>种，占</w:t>
      </w:r>
      <w:r>
        <w:rPr>
          <w:rFonts w:hint="eastAsia" w:cs="Times New Roman"/>
          <w:color w:val="auto"/>
        </w:rPr>
        <w:t>记录鸟类种数</w:t>
      </w:r>
      <w:r>
        <w:rPr>
          <w:rFonts w:cs="Times New Roman"/>
          <w:color w:val="auto"/>
        </w:rPr>
        <w:t>10.23%；冬候鸟</w:t>
      </w:r>
      <w:r>
        <w:rPr>
          <w:rFonts w:hint="eastAsia" w:cs="Times New Roman"/>
          <w:color w:val="auto"/>
        </w:rPr>
        <w:t>3</w:t>
      </w:r>
      <w:r>
        <w:rPr>
          <w:rFonts w:cs="Times New Roman"/>
          <w:color w:val="auto"/>
        </w:rPr>
        <w:t>种，占</w:t>
      </w:r>
      <w:r>
        <w:rPr>
          <w:rFonts w:hint="eastAsia" w:cs="Times New Roman"/>
          <w:color w:val="auto"/>
        </w:rPr>
        <w:t>记录鸟类种数</w:t>
      </w:r>
      <w:r>
        <w:rPr>
          <w:rFonts w:cs="Times New Roman"/>
          <w:color w:val="auto"/>
        </w:rPr>
        <w:t>3.41%；旅鸟</w:t>
      </w:r>
      <w:r>
        <w:rPr>
          <w:rFonts w:hint="eastAsia" w:cs="Times New Roman"/>
          <w:color w:val="auto"/>
        </w:rPr>
        <w:t>1</w:t>
      </w:r>
      <w:r>
        <w:rPr>
          <w:rFonts w:cs="Times New Roman"/>
          <w:color w:val="auto"/>
        </w:rPr>
        <w:t>5种</w:t>
      </w:r>
      <w:r>
        <w:rPr>
          <w:rFonts w:hint="eastAsia" w:cs="Times New Roman"/>
          <w:color w:val="auto"/>
        </w:rPr>
        <w:t>，</w:t>
      </w:r>
      <w:r>
        <w:rPr>
          <w:rFonts w:cs="Times New Roman"/>
          <w:color w:val="auto"/>
        </w:rPr>
        <w:t>占</w:t>
      </w:r>
      <w:r>
        <w:rPr>
          <w:rFonts w:hint="eastAsia" w:cs="Times New Roman"/>
          <w:color w:val="auto"/>
        </w:rPr>
        <w:t>记录鸟类种数</w:t>
      </w:r>
      <w:r>
        <w:rPr>
          <w:rFonts w:cs="Times New Roman"/>
          <w:color w:val="auto"/>
        </w:rPr>
        <w:t>17.05%。调查区</w:t>
      </w:r>
      <w:r>
        <w:rPr>
          <w:rFonts w:hint="eastAsia" w:cs="Times New Roman"/>
          <w:color w:val="auto"/>
        </w:rPr>
        <w:t>留鸟和夏候鸟相加，共计7</w:t>
      </w:r>
      <w:r>
        <w:rPr>
          <w:rFonts w:cs="Times New Roman"/>
          <w:color w:val="auto"/>
        </w:rPr>
        <w:t>0</w:t>
      </w:r>
      <w:r>
        <w:rPr>
          <w:rFonts w:hint="eastAsia" w:cs="Times New Roman"/>
          <w:color w:val="auto"/>
        </w:rPr>
        <w:t>种</w:t>
      </w:r>
      <w:r>
        <w:rPr>
          <w:rFonts w:cs="Times New Roman"/>
          <w:color w:val="auto"/>
        </w:rPr>
        <w:t>繁殖鸟，其中东洋界鸟类有38种，占繁殖鸟的54.29%</w:t>
      </w:r>
      <w:r>
        <w:rPr>
          <w:rFonts w:hint="eastAsia" w:cs="Times New Roman"/>
          <w:color w:val="auto"/>
        </w:rPr>
        <w:t>，东洋界和古北界</w:t>
      </w:r>
      <w:r>
        <w:rPr>
          <w:rFonts w:cs="Times New Roman"/>
          <w:color w:val="auto"/>
        </w:rPr>
        <w:t>广布种有32种，占45.71%</w:t>
      </w:r>
      <w:r>
        <w:rPr>
          <w:rFonts w:hint="eastAsia" w:cs="Times New Roman"/>
          <w:color w:val="auto"/>
        </w:rPr>
        <w:t>，</w:t>
      </w:r>
      <w:r>
        <w:rPr>
          <w:rFonts w:cs="Times New Roman"/>
          <w:color w:val="auto"/>
        </w:rPr>
        <w:t>未记录到古北界鸟类。从区系组成来看，</w:t>
      </w:r>
      <w:r>
        <w:rPr>
          <w:rFonts w:hint="eastAsia" w:cs="Times New Roman"/>
          <w:color w:val="auto"/>
        </w:rPr>
        <w:t>调查区域鸟类区系组成以东洋界为主，但因宣威西泽风电场位置在云南北部，海拔较高，东洋界和古北界广布的种类比例相对较多。</w:t>
      </w:r>
    </w:p>
    <w:p w14:paraId="7F79E608">
      <w:pPr>
        <w:ind w:firstLine="0" w:firstLineChars="0"/>
        <w:rPr>
          <w:rFonts w:cs="Times New Roman"/>
          <w:color w:val="auto"/>
        </w:rPr>
      </w:pPr>
      <w:r>
        <w:rPr>
          <w:rFonts w:hint="eastAsia" w:cs="Times New Roman"/>
          <w:color w:val="auto"/>
          <w:lang w:val="en-US" w:eastAsia="zh-CN"/>
        </w:rPr>
        <w:t>①</w:t>
      </w:r>
      <w:r>
        <w:rPr>
          <w:rFonts w:hint="eastAsia" w:cs="Times New Roman"/>
          <w:color w:val="auto"/>
        </w:rPr>
        <w:t>留鸟</w:t>
      </w:r>
    </w:p>
    <w:p w14:paraId="3CBFBA86">
      <w:pPr>
        <w:pStyle w:val="41"/>
        <w:bidi w:val="0"/>
        <w:rPr>
          <w:rFonts w:hint="eastAsia" w:cs="Times New Roman"/>
          <w:color w:val="auto"/>
        </w:rPr>
      </w:pPr>
      <w:r>
        <w:rPr>
          <w:rFonts w:hint="eastAsia" w:cs="Times New Roman"/>
          <w:color w:val="auto"/>
        </w:rPr>
        <w:t>调查区终年留居鸟类共记录6</w:t>
      </w:r>
      <w:r>
        <w:rPr>
          <w:rFonts w:cs="Times New Roman"/>
          <w:color w:val="auto"/>
        </w:rPr>
        <w:t>1</w:t>
      </w:r>
      <w:r>
        <w:rPr>
          <w:rFonts w:hint="eastAsia" w:cs="Times New Roman"/>
          <w:color w:val="auto"/>
        </w:rPr>
        <w:t>种。以雀形目小型鸟类居多。主要在草地、耕地栖息活动的种类以小云雀、戴胜、灰林即、棕背伯劳、麻雀、山麻雀、</w:t>
      </w:r>
      <w:r>
        <w:rPr>
          <w:rFonts w:cs="Times New Roman"/>
          <w:bCs/>
          <w:color w:val="auto"/>
        </w:rPr>
        <w:t>西南灰眉岩鹀</w:t>
      </w:r>
      <w:r>
        <w:rPr>
          <w:rFonts w:hint="eastAsia" w:cs="Times New Roman"/>
          <w:bCs/>
          <w:color w:val="auto"/>
        </w:rPr>
        <w:t>、</w:t>
      </w:r>
      <w:r>
        <w:rPr>
          <w:rFonts w:hint="eastAsia" w:cs="Times New Roman"/>
          <w:color w:val="auto"/>
        </w:rPr>
        <w:t>黑喉石䳭、灰林䳭等为主。在林缘和森林栖息活动的鸟类以星鸦、红嘴蓝鹊、白颊噪鹛、黑头金翅雀、黄臀鹎、红头长尾山雀、山斑鸠、褐头雀鹛、红头穗鹛为主。这些鸟类大多数种类通常不会集群活动。但是在繁殖季节结束后的秋冬季节，黑头金翅雀、小云雀、凤头雀嘴鹎、黄臀鹎会集群活动。受到惊扰后飞行高度有所上升，可能会受风机影响。白腹锦鸡主要在森林林下和林缘活动，风电机对其影响极小。</w:t>
      </w:r>
    </w:p>
    <w:p w14:paraId="378640FE">
      <w:pPr>
        <w:pStyle w:val="41"/>
        <w:bidi w:val="0"/>
        <w:rPr>
          <w:color w:val="auto"/>
        </w:rPr>
      </w:pPr>
      <w:r>
        <w:rPr>
          <w:rFonts w:hint="eastAsia"/>
          <w:color w:val="auto"/>
          <w:lang w:val="en-US" w:eastAsia="zh-CN"/>
        </w:rPr>
        <w:t>②</w:t>
      </w:r>
      <w:r>
        <w:rPr>
          <w:rFonts w:hint="eastAsia"/>
          <w:color w:val="auto"/>
        </w:rPr>
        <w:t>候鸟</w:t>
      </w:r>
    </w:p>
    <w:p w14:paraId="6E4A4084">
      <w:pPr>
        <w:pStyle w:val="41"/>
        <w:bidi w:val="0"/>
        <w:rPr>
          <w:rFonts w:hint="eastAsia" w:cs="Times New Roman"/>
          <w:color w:val="auto"/>
        </w:rPr>
      </w:pPr>
      <w:r>
        <w:rPr>
          <w:rFonts w:hint="eastAsia"/>
          <w:color w:val="auto"/>
        </w:rPr>
        <w:t>候鸟又称</w:t>
      </w:r>
      <w:r>
        <w:rPr>
          <w:color w:val="auto"/>
        </w:rPr>
        <w:t>迁徙鸟类</w:t>
      </w:r>
      <w:r>
        <w:rPr>
          <w:rFonts w:hint="eastAsia"/>
          <w:color w:val="auto"/>
        </w:rPr>
        <w:t>，</w:t>
      </w:r>
      <w:r>
        <w:rPr>
          <w:color w:val="auto"/>
        </w:rPr>
        <w:t>包括夏候鸟、冬候鸟和旅鸟。调查区记录夏候鸟</w:t>
      </w:r>
      <w:r>
        <w:rPr>
          <w:rFonts w:hint="eastAsia"/>
          <w:color w:val="auto"/>
        </w:rPr>
        <w:t>9</w:t>
      </w:r>
      <w:r>
        <w:rPr>
          <w:color w:val="auto"/>
        </w:rPr>
        <w:t>种，</w:t>
      </w:r>
      <w:r>
        <w:rPr>
          <w:rFonts w:hint="eastAsia" w:cs="Times New Roman"/>
          <w:color w:val="auto"/>
        </w:rPr>
        <w:t>冬候鸟3种，</w:t>
      </w:r>
      <w:r>
        <w:rPr>
          <w:rFonts w:cs="Times New Roman"/>
          <w:color w:val="auto"/>
        </w:rPr>
        <w:t>旅鸟15种，</w:t>
      </w:r>
      <w:r>
        <w:rPr>
          <w:rFonts w:hint="eastAsia" w:cs="Times New Roman"/>
          <w:color w:val="auto"/>
        </w:rPr>
        <w:t>调查区域被归为旅鸟的猛禽，也可能在调查区越冬，成为冬候鸟。</w:t>
      </w:r>
      <w:r>
        <w:rPr>
          <w:rFonts w:hint="eastAsia" w:cs="Times New Roman"/>
          <w:color w:val="auto"/>
          <w:lang w:eastAsia="zh-CN"/>
        </w:rPr>
        <w:t>夏候鸟</w:t>
      </w:r>
      <w:r>
        <w:rPr>
          <w:rFonts w:hint="eastAsia" w:cs="Times New Roman"/>
          <w:color w:val="auto"/>
        </w:rPr>
        <w:t>中的普通夜鹰，小白腰雨燕、噪鹃、大鹰鹃、四声杜鹃、大杜鹃、家燕、金腰燕等鸟类，除小白腰雨燕、家燕和金腰燕有时会集小群飞行觅食，飞行高度较高时，可能受风机影响。杜鹃科的鸟类通常单独活动，隐蔽于树林中，基本不会受风电机影响。旅鸟中的普通鵟、白尾鹞等体型较大的猛禽，</w:t>
      </w:r>
      <w:r>
        <w:rPr>
          <w:rFonts w:cs="Times New Roman"/>
          <w:color w:val="auto"/>
        </w:rPr>
        <w:t>在调查区为迁徙过境，停留时间较短</w:t>
      </w:r>
      <w:r>
        <w:rPr>
          <w:rFonts w:hint="eastAsia" w:cs="Times New Roman"/>
          <w:color w:val="auto"/>
        </w:rPr>
        <w:t>，受风电机影响不明显。鸫科和鹟科的过境旅鸟，例如白眉鸫、白腹鸫、斑鸫、红尾斑鸫会集群迁飞，但主要在森林和林缘觅食活动，受风机影响较小。淡背地鸫主要在森林林下地面活动，不会受风机影响。鹟科的过境旅鸟如乌鹟、北灰鹟、红喉姬鹟，多单只活动，在森林和林缘活动觅食，飞行高度较低，风电机对其影响不大。</w:t>
      </w:r>
    </w:p>
    <w:p w14:paraId="6850C474">
      <w:pPr>
        <w:pStyle w:val="41"/>
        <w:bidi w:val="0"/>
        <w:rPr>
          <w:rFonts w:hint="eastAsia" w:cs="Times New Roman"/>
          <w:color w:val="auto"/>
          <w:lang w:val="en-US" w:eastAsia="zh-CN"/>
        </w:rPr>
      </w:pPr>
      <w:r>
        <w:rPr>
          <w:rFonts w:hint="eastAsia" w:cs="Times New Roman"/>
          <w:color w:val="auto"/>
          <w:lang w:val="en-US" w:eastAsia="zh-CN"/>
        </w:rPr>
        <w:t>（3）重要鸟类物种</w:t>
      </w:r>
    </w:p>
    <w:p w14:paraId="1ADF1C07">
      <w:pPr>
        <w:pStyle w:val="41"/>
        <w:bidi w:val="0"/>
        <w:rPr>
          <w:rFonts w:hint="eastAsia" w:cs="Times New Roman"/>
          <w:color w:val="auto"/>
          <w:lang w:val="en-US" w:eastAsia="zh-CN"/>
        </w:rPr>
      </w:pPr>
      <w:r>
        <w:rPr>
          <w:rFonts w:hint="eastAsia" w:cs="Times New Roman"/>
          <w:color w:val="auto"/>
          <w:lang w:val="en-US" w:eastAsia="zh-CN"/>
        </w:rPr>
        <w:t>重点保护鸟类</w:t>
      </w:r>
    </w:p>
    <w:p w14:paraId="0E318770">
      <w:pPr>
        <w:pStyle w:val="41"/>
        <w:bidi w:val="0"/>
        <w:rPr>
          <w:rFonts w:hint="eastAsia" w:cs="Times New Roman"/>
          <w:color w:val="auto"/>
          <w:lang w:val="en-US" w:eastAsia="zh-CN"/>
        </w:rPr>
      </w:pPr>
      <w:r>
        <w:rPr>
          <w:rFonts w:hint="eastAsia" w:cs="Times New Roman"/>
          <w:color w:val="auto"/>
          <w:lang w:val="en-US" w:eastAsia="zh-CN"/>
        </w:rPr>
        <w:t>根据《国家重点保护野生动物名录》（2021），调查区记录国家二级重点保护鸟类9种，依次为白腹锦鸡、领角鸮、斑头鸺鹠、凤头鹰、白尾鹞、普通鵟、红隼、游隼和红嘴相思鸟，未发现国家一级重点保护鸟类。</w:t>
      </w:r>
    </w:p>
    <w:p w14:paraId="580ABD77">
      <w:pPr>
        <w:pStyle w:val="41"/>
        <w:bidi w:val="0"/>
        <w:rPr>
          <w:rFonts w:hint="eastAsia" w:cs="Times New Roman"/>
          <w:color w:val="auto"/>
          <w:lang w:val="en-US" w:eastAsia="zh-CN"/>
        </w:rPr>
      </w:pPr>
      <w:r>
        <w:rPr>
          <w:rFonts w:hint="eastAsia" w:cs="Times New Roman"/>
          <w:color w:val="auto"/>
          <w:lang w:val="en-US" w:eastAsia="zh-CN"/>
        </w:rPr>
        <w:t>依据《云南省重点保护陆生野生动物名录》（2023），调查区内未发现云南省重点保护鸟类。</w:t>
      </w:r>
    </w:p>
    <w:p w14:paraId="1EAA73F9">
      <w:pPr>
        <w:pStyle w:val="41"/>
        <w:bidi w:val="0"/>
        <w:rPr>
          <w:rFonts w:hint="eastAsia"/>
          <w:color w:val="auto"/>
          <w:lang w:val="en-US" w:eastAsia="zh-CN"/>
        </w:rPr>
      </w:pPr>
      <w:r>
        <w:rPr>
          <w:rFonts w:hint="eastAsia"/>
          <w:color w:val="auto"/>
          <w:lang w:val="en-US" w:eastAsia="zh-CN"/>
        </w:rPr>
        <w:t>②受胁鸟类</w:t>
      </w:r>
    </w:p>
    <w:p w14:paraId="3DEFDF8F">
      <w:pPr>
        <w:pStyle w:val="41"/>
        <w:bidi w:val="0"/>
        <w:rPr>
          <w:color w:val="auto"/>
        </w:rPr>
      </w:pPr>
      <w:r>
        <w:rPr>
          <w:color w:val="auto"/>
        </w:rPr>
        <w:t>根据《中国生物多样性红色名录—脊椎动物卷（2020）》（2023），调查区内未发现极危（CR）、濒危（EN）和易危（VU）等级的鸟类。</w:t>
      </w:r>
    </w:p>
    <w:p w14:paraId="3C29CE15">
      <w:pPr>
        <w:pStyle w:val="41"/>
        <w:bidi w:val="0"/>
        <w:rPr>
          <w:color w:val="auto"/>
        </w:rPr>
      </w:pPr>
      <w:r>
        <w:rPr>
          <w:rFonts w:hint="eastAsia"/>
          <w:color w:val="auto"/>
          <w:lang w:val="en-US" w:eastAsia="zh-CN"/>
        </w:rPr>
        <w:t>③</w:t>
      </w:r>
      <w:r>
        <w:rPr>
          <w:rFonts w:hint="eastAsia"/>
          <w:color w:val="auto"/>
        </w:rPr>
        <w:t>特有鸟类</w:t>
      </w:r>
    </w:p>
    <w:p w14:paraId="328F885D">
      <w:pPr>
        <w:pStyle w:val="41"/>
        <w:bidi w:val="0"/>
        <w:rPr>
          <w:rFonts w:hint="eastAsia"/>
          <w:color w:val="auto"/>
        </w:rPr>
      </w:pPr>
      <w:r>
        <w:rPr>
          <w:color w:val="auto"/>
        </w:rPr>
        <w:t>根据《中国</w:t>
      </w:r>
      <w:r>
        <w:rPr>
          <w:rFonts w:hint="eastAsia"/>
          <w:color w:val="auto"/>
        </w:rPr>
        <w:t>鸟类特有种</w:t>
      </w:r>
      <w:r>
        <w:rPr>
          <w:color w:val="auto"/>
        </w:rPr>
        <w:t>》</w:t>
      </w:r>
      <w:r>
        <w:rPr>
          <w:rFonts w:hint="eastAsia"/>
          <w:color w:val="auto"/>
        </w:rPr>
        <w:t>（雷富民等，2</w:t>
      </w:r>
      <w:r>
        <w:rPr>
          <w:color w:val="auto"/>
        </w:rPr>
        <w:t>006</w:t>
      </w:r>
      <w:r>
        <w:rPr>
          <w:rFonts w:hint="eastAsia"/>
          <w:color w:val="auto"/>
        </w:rPr>
        <w:t>），</w:t>
      </w:r>
      <w:r>
        <w:rPr>
          <w:color w:val="auto"/>
        </w:rPr>
        <w:t>调查区记录</w:t>
      </w:r>
      <w:r>
        <w:rPr>
          <w:rFonts w:hint="eastAsia"/>
          <w:color w:val="auto"/>
        </w:rPr>
        <w:t>中国</w:t>
      </w:r>
      <w:r>
        <w:rPr>
          <w:color w:val="auto"/>
        </w:rPr>
        <w:t>特有鸟类</w:t>
      </w:r>
      <w:r>
        <w:rPr>
          <w:rFonts w:hint="eastAsia"/>
          <w:color w:val="auto"/>
        </w:rPr>
        <w:t>有1种</w:t>
      </w:r>
      <w:r>
        <w:rPr>
          <w:rFonts w:hint="eastAsia"/>
          <w:color w:val="auto"/>
          <w:lang w:eastAsia="zh-CN"/>
        </w:rPr>
        <w:t>，</w:t>
      </w:r>
      <w:r>
        <w:rPr>
          <w:rFonts w:hint="eastAsia"/>
          <w:color w:val="auto"/>
          <w:lang w:val="en-US" w:eastAsia="zh-CN"/>
        </w:rPr>
        <w:t>为</w:t>
      </w:r>
      <w:r>
        <w:rPr>
          <w:rFonts w:hint="eastAsia"/>
          <w:color w:val="auto"/>
        </w:rPr>
        <w:t>白领凤鹛</w:t>
      </w:r>
      <w:r>
        <w:rPr>
          <w:rFonts w:hint="eastAsia"/>
          <w:i/>
          <w:iCs/>
          <w:color w:val="auto"/>
        </w:rPr>
        <w:t>Parayuhinadiademata</w:t>
      </w:r>
      <w:r>
        <w:rPr>
          <w:rFonts w:hint="eastAsia"/>
          <w:color w:val="auto"/>
        </w:rPr>
        <w:t>。</w:t>
      </w:r>
    </w:p>
    <w:p w14:paraId="405B3BB6">
      <w:pPr>
        <w:pStyle w:val="41"/>
        <w:bidi w:val="0"/>
        <w:rPr>
          <w:rFonts w:hint="eastAsia"/>
          <w:color w:val="auto"/>
          <w:lang w:val="en-US" w:eastAsia="zh-CN"/>
        </w:rPr>
      </w:pPr>
      <w:r>
        <w:rPr>
          <w:rFonts w:hint="eastAsia"/>
          <w:color w:val="auto"/>
          <w:lang w:val="en-US" w:eastAsia="zh-CN"/>
        </w:rPr>
        <w:t>D极小种群</w:t>
      </w:r>
    </w:p>
    <w:p w14:paraId="648952AB">
      <w:pPr>
        <w:pStyle w:val="41"/>
        <w:bidi w:val="0"/>
        <w:rPr>
          <w:rFonts w:hint="eastAsia"/>
          <w:color w:val="auto"/>
          <w:lang w:val="en-US" w:eastAsia="zh-CN"/>
        </w:rPr>
      </w:pPr>
      <w:r>
        <w:rPr>
          <w:rFonts w:hint="eastAsia"/>
          <w:color w:val="auto"/>
          <w:lang w:val="en-US" w:eastAsia="zh-CN"/>
        </w:rPr>
        <w:t>调查区内未发现国家和云南省列入拯救保护的极小种群鸟类。</w:t>
      </w:r>
    </w:p>
    <w:p w14:paraId="13E1D5A1">
      <w:pPr>
        <w:pStyle w:val="41"/>
        <w:bidi w:val="0"/>
        <w:rPr>
          <w:rFonts w:hint="eastAsia"/>
          <w:color w:val="auto"/>
          <w:lang w:val="en-US" w:eastAsia="zh-CN"/>
        </w:rPr>
      </w:pPr>
      <w:r>
        <w:rPr>
          <w:rFonts w:hint="eastAsia"/>
          <w:color w:val="auto"/>
          <w:lang w:val="en-US" w:eastAsia="zh-CN"/>
        </w:rPr>
        <w:t>E重要鸟类统计</w:t>
      </w:r>
    </w:p>
    <w:p w14:paraId="519F2CF7">
      <w:pPr>
        <w:pStyle w:val="41"/>
        <w:bidi w:val="0"/>
        <w:rPr>
          <w:rFonts w:hint="eastAsia"/>
          <w:color w:val="auto"/>
          <w:lang w:val="en-US" w:eastAsia="zh-CN"/>
        </w:rPr>
      </w:pPr>
      <w:r>
        <w:rPr>
          <w:rFonts w:hint="eastAsia"/>
          <w:color w:val="auto"/>
          <w:lang w:val="en-US" w:eastAsia="zh-CN"/>
        </w:rPr>
        <w:t>根据《国家重点保护野生动物名录》（2021）、《云南省重点保护陆生野生动物名录》（2023）、《中国生物多样性红色名录—脊椎动物卷（2020）》以及《中国鸟类特有种》。调查区内共记录重要鸟类10种，9种为国家二级重点保护鸟类，1种为中国特有鸟种。重要鸟类的相关信息见表3所列。</w:t>
      </w:r>
    </w:p>
    <w:p w14:paraId="61B767FE">
      <w:pPr>
        <w:pStyle w:val="42"/>
        <w:bidi w:val="0"/>
        <w:rPr>
          <w:rFonts w:hint="eastAsia"/>
          <w:color w:val="auto"/>
        </w:rPr>
      </w:pPr>
      <w:r>
        <w:rPr>
          <w:color w:val="auto"/>
        </w:rPr>
        <w:t>表</w:t>
      </w:r>
      <w:r>
        <w:rPr>
          <w:rFonts w:hint="eastAsia"/>
          <w:color w:val="auto"/>
          <w:lang w:val="en-US" w:eastAsia="zh-CN"/>
        </w:rPr>
        <w:t xml:space="preserve">2-15  </w:t>
      </w:r>
      <w:r>
        <w:rPr>
          <w:rFonts w:hint="eastAsia"/>
          <w:color w:val="auto"/>
        </w:rPr>
        <w:t>调查区重要鸟类统计表</w:t>
      </w:r>
    </w:p>
    <w:tbl>
      <w:tblPr>
        <w:tblStyle w:val="20"/>
        <w:tblW w:w="4859"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447"/>
        <w:gridCol w:w="926"/>
        <w:gridCol w:w="1391"/>
        <w:gridCol w:w="520"/>
        <w:gridCol w:w="435"/>
        <w:gridCol w:w="734"/>
        <w:gridCol w:w="2832"/>
        <w:gridCol w:w="696"/>
        <w:gridCol w:w="714"/>
      </w:tblGrid>
      <w:tr w14:paraId="6453A2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8" w:hRule="atLeast"/>
          <w:tblHeader/>
          <w:jc w:val="center"/>
        </w:trPr>
        <w:tc>
          <w:tcPr>
            <w:tcW w:w="257" w:type="pct"/>
            <w:tcBorders>
              <w:tl2br w:val="nil"/>
              <w:tr2bl w:val="nil"/>
            </w:tcBorders>
            <w:noWrap/>
            <w:vAlign w:val="center"/>
          </w:tcPr>
          <w:p w14:paraId="032B6DCB">
            <w:pPr>
              <w:pStyle w:val="34"/>
              <w:tabs>
                <w:tab w:val="left" w:pos="1389"/>
              </w:tabs>
              <w:bidi w:val="0"/>
              <w:rPr>
                <w:color w:val="auto"/>
              </w:rPr>
            </w:pPr>
            <w:r>
              <w:rPr>
                <w:rFonts w:hint="eastAsia"/>
                <w:color w:val="auto"/>
              </w:rPr>
              <w:t>序号</w:t>
            </w:r>
          </w:p>
        </w:tc>
        <w:tc>
          <w:tcPr>
            <w:tcW w:w="532" w:type="pct"/>
            <w:tcBorders>
              <w:tl2br w:val="nil"/>
              <w:tr2bl w:val="nil"/>
            </w:tcBorders>
            <w:noWrap/>
            <w:vAlign w:val="center"/>
          </w:tcPr>
          <w:p w14:paraId="341FA591">
            <w:pPr>
              <w:pStyle w:val="34"/>
              <w:tabs>
                <w:tab w:val="left" w:pos="1389"/>
              </w:tabs>
              <w:bidi w:val="0"/>
              <w:rPr>
                <w:color w:val="auto"/>
              </w:rPr>
            </w:pPr>
            <w:r>
              <w:rPr>
                <w:rFonts w:hint="eastAsia"/>
                <w:color w:val="auto"/>
              </w:rPr>
              <w:t>中文名</w:t>
            </w:r>
          </w:p>
        </w:tc>
        <w:tc>
          <w:tcPr>
            <w:tcW w:w="799" w:type="pct"/>
            <w:tcBorders>
              <w:tl2br w:val="nil"/>
              <w:tr2bl w:val="nil"/>
            </w:tcBorders>
            <w:noWrap/>
            <w:vAlign w:val="center"/>
          </w:tcPr>
          <w:p w14:paraId="3D1F7495">
            <w:pPr>
              <w:pStyle w:val="34"/>
              <w:tabs>
                <w:tab w:val="left" w:pos="1389"/>
              </w:tabs>
              <w:bidi w:val="0"/>
              <w:rPr>
                <w:color w:val="auto"/>
              </w:rPr>
            </w:pPr>
            <w:r>
              <w:rPr>
                <w:rFonts w:hint="eastAsia"/>
                <w:color w:val="auto"/>
              </w:rPr>
              <w:t>拉丁名</w:t>
            </w:r>
          </w:p>
        </w:tc>
        <w:tc>
          <w:tcPr>
            <w:tcW w:w="299" w:type="pct"/>
            <w:tcBorders>
              <w:tl2br w:val="nil"/>
              <w:tr2bl w:val="nil"/>
            </w:tcBorders>
            <w:noWrap/>
            <w:vAlign w:val="center"/>
          </w:tcPr>
          <w:p w14:paraId="7AC85EDA">
            <w:pPr>
              <w:pStyle w:val="34"/>
              <w:tabs>
                <w:tab w:val="left" w:pos="1389"/>
              </w:tabs>
              <w:bidi w:val="0"/>
              <w:rPr>
                <w:color w:val="auto"/>
              </w:rPr>
            </w:pPr>
            <w:r>
              <w:rPr>
                <w:rFonts w:hint="eastAsia"/>
                <w:color w:val="auto"/>
              </w:rPr>
              <w:t>保护</w:t>
            </w:r>
          </w:p>
        </w:tc>
        <w:tc>
          <w:tcPr>
            <w:tcW w:w="250" w:type="pct"/>
            <w:tcBorders>
              <w:tl2br w:val="nil"/>
              <w:tr2bl w:val="nil"/>
            </w:tcBorders>
            <w:noWrap/>
            <w:vAlign w:val="center"/>
          </w:tcPr>
          <w:p w14:paraId="73EBD285">
            <w:pPr>
              <w:pStyle w:val="34"/>
              <w:tabs>
                <w:tab w:val="left" w:pos="1389"/>
              </w:tabs>
              <w:bidi w:val="0"/>
              <w:rPr>
                <w:color w:val="auto"/>
              </w:rPr>
            </w:pPr>
            <w:r>
              <w:rPr>
                <w:rFonts w:hint="eastAsia"/>
                <w:color w:val="auto"/>
              </w:rPr>
              <w:t>受胁</w:t>
            </w:r>
          </w:p>
        </w:tc>
        <w:tc>
          <w:tcPr>
            <w:tcW w:w="422" w:type="pct"/>
            <w:tcBorders>
              <w:tl2br w:val="nil"/>
              <w:tr2bl w:val="nil"/>
            </w:tcBorders>
            <w:noWrap/>
            <w:vAlign w:val="center"/>
          </w:tcPr>
          <w:p w14:paraId="38F825F0">
            <w:pPr>
              <w:pStyle w:val="34"/>
              <w:tabs>
                <w:tab w:val="left" w:pos="1389"/>
              </w:tabs>
              <w:bidi w:val="0"/>
              <w:rPr>
                <w:color w:val="auto"/>
              </w:rPr>
            </w:pPr>
            <w:r>
              <w:rPr>
                <w:rFonts w:hint="eastAsia"/>
                <w:color w:val="auto"/>
              </w:rPr>
              <w:t>特有</w:t>
            </w:r>
          </w:p>
        </w:tc>
        <w:tc>
          <w:tcPr>
            <w:tcW w:w="1628" w:type="pct"/>
            <w:tcBorders>
              <w:tl2br w:val="nil"/>
              <w:tr2bl w:val="nil"/>
            </w:tcBorders>
            <w:vAlign w:val="center"/>
          </w:tcPr>
          <w:p w14:paraId="22D43823">
            <w:pPr>
              <w:pStyle w:val="34"/>
              <w:tabs>
                <w:tab w:val="left" w:pos="1389"/>
              </w:tabs>
              <w:bidi w:val="0"/>
              <w:rPr>
                <w:color w:val="auto"/>
              </w:rPr>
            </w:pPr>
            <w:r>
              <w:rPr>
                <w:rFonts w:hint="eastAsia"/>
                <w:color w:val="auto"/>
              </w:rPr>
              <w:t>分布概况</w:t>
            </w:r>
          </w:p>
        </w:tc>
        <w:tc>
          <w:tcPr>
            <w:tcW w:w="400" w:type="pct"/>
            <w:tcBorders>
              <w:tl2br w:val="nil"/>
              <w:tr2bl w:val="nil"/>
            </w:tcBorders>
            <w:vAlign w:val="center"/>
          </w:tcPr>
          <w:p w14:paraId="427A6949">
            <w:pPr>
              <w:pStyle w:val="34"/>
              <w:tabs>
                <w:tab w:val="left" w:pos="1389"/>
              </w:tabs>
              <w:bidi w:val="0"/>
              <w:rPr>
                <w:color w:val="auto"/>
              </w:rPr>
            </w:pPr>
            <w:r>
              <w:rPr>
                <w:rFonts w:hint="eastAsia"/>
                <w:color w:val="auto"/>
              </w:rPr>
              <w:t>工程区</w:t>
            </w:r>
          </w:p>
        </w:tc>
        <w:tc>
          <w:tcPr>
            <w:tcW w:w="410" w:type="pct"/>
            <w:tcBorders>
              <w:tl2br w:val="nil"/>
              <w:tr2bl w:val="nil"/>
            </w:tcBorders>
            <w:noWrap/>
            <w:vAlign w:val="center"/>
          </w:tcPr>
          <w:p w14:paraId="6D25F5CD">
            <w:pPr>
              <w:pStyle w:val="34"/>
              <w:tabs>
                <w:tab w:val="left" w:pos="1389"/>
              </w:tabs>
              <w:bidi w:val="0"/>
              <w:rPr>
                <w:color w:val="auto"/>
              </w:rPr>
            </w:pPr>
            <w:r>
              <w:rPr>
                <w:rFonts w:hint="eastAsia"/>
                <w:color w:val="auto"/>
              </w:rPr>
              <w:t>数据来源</w:t>
            </w:r>
          </w:p>
        </w:tc>
      </w:tr>
      <w:tr w14:paraId="271730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257" w:type="pct"/>
            <w:tcBorders>
              <w:tl2br w:val="nil"/>
              <w:tr2bl w:val="nil"/>
            </w:tcBorders>
            <w:noWrap/>
            <w:vAlign w:val="center"/>
          </w:tcPr>
          <w:p w14:paraId="779FFAB4">
            <w:pPr>
              <w:pStyle w:val="34"/>
              <w:tabs>
                <w:tab w:val="left" w:pos="1389"/>
              </w:tabs>
              <w:bidi w:val="0"/>
              <w:rPr>
                <w:color w:val="auto"/>
              </w:rPr>
            </w:pPr>
            <w:r>
              <w:rPr>
                <w:color w:val="auto"/>
              </w:rPr>
              <w:t>1</w:t>
            </w:r>
          </w:p>
        </w:tc>
        <w:tc>
          <w:tcPr>
            <w:tcW w:w="532" w:type="pct"/>
            <w:tcBorders>
              <w:tl2br w:val="nil"/>
              <w:tr2bl w:val="nil"/>
            </w:tcBorders>
            <w:noWrap/>
            <w:vAlign w:val="center"/>
          </w:tcPr>
          <w:p w14:paraId="6462BB57">
            <w:pPr>
              <w:pStyle w:val="34"/>
              <w:tabs>
                <w:tab w:val="left" w:pos="1389"/>
              </w:tabs>
              <w:bidi w:val="0"/>
              <w:rPr>
                <w:color w:val="auto"/>
              </w:rPr>
            </w:pPr>
            <w:r>
              <w:rPr>
                <w:rFonts w:hint="eastAsia"/>
                <w:color w:val="auto"/>
              </w:rPr>
              <w:t>白腹</w:t>
            </w:r>
          </w:p>
          <w:p w14:paraId="4F61B9D6">
            <w:pPr>
              <w:pStyle w:val="34"/>
              <w:tabs>
                <w:tab w:val="left" w:pos="1389"/>
              </w:tabs>
              <w:bidi w:val="0"/>
              <w:rPr>
                <w:color w:val="auto"/>
              </w:rPr>
            </w:pPr>
            <w:r>
              <w:rPr>
                <w:rFonts w:hint="eastAsia"/>
                <w:color w:val="auto"/>
              </w:rPr>
              <w:t>锦鸡</w:t>
            </w:r>
          </w:p>
        </w:tc>
        <w:tc>
          <w:tcPr>
            <w:tcW w:w="799" w:type="pct"/>
            <w:tcBorders>
              <w:tl2br w:val="nil"/>
              <w:tr2bl w:val="nil"/>
            </w:tcBorders>
            <w:noWrap/>
            <w:vAlign w:val="center"/>
          </w:tcPr>
          <w:p w14:paraId="732316B0">
            <w:pPr>
              <w:pStyle w:val="34"/>
              <w:tabs>
                <w:tab w:val="left" w:pos="1389"/>
              </w:tabs>
              <w:bidi w:val="0"/>
              <w:rPr>
                <w:i/>
                <w:iCs/>
                <w:color w:val="auto"/>
              </w:rPr>
            </w:pPr>
            <w:r>
              <w:rPr>
                <w:i/>
                <w:iCs/>
                <w:color w:val="auto"/>
              </w:rPr>
              <w:t>Chrysolophusamherstiae</w:t>
            </w:r>
          </w:p>
        </w:tc>
        <w:tc>
          <w:tcPr>
            <w:tcW w:w="299" w:type="pct"/>
            <w:tcBorders>
              <w:tl2br w:val="nil"/>
              <w:tr2bl w:val="nil"/>
            </w:tcBorders>
            <w:noWrap/>
            <w:vAlign w:val="center"/>
          </w:tcPr>
          <w:p w14:paraId="242A56E0">
            <w:pPr>
              <w:pStyle w:val="34"/>
              <w:tabs>
                <w:tab w:val="left" w:pos="1389"/>
              </w:tabs>
              <w:bidi w:val="0"/>
              <w:rPr>
                <w:color w:val="auto"/>
              </w:rPr>
            </w:pPr>
            <w:r>
              <w:rPr>
                <w:rFonts w:hint="eastAsia"/>
                <w:color w:val="auto"/>
              </w:rPr>
              <w:t>二级</w:t>
            </w:r>
          </w:p>
        </w:tc>
        <w:tc>
          <w:tcPr>
            <w:tcW w:w="250" w:type="pct"/>
            <w:tcBorders>
              <w:tl2br w:val="nil"/>
              <w:tr2bl w:val="nil"/>
            </w:tcBorders>
            <w:noWrap/>
            <w:vAlign w:val="center"/>
          </w:tcPr>
          <w:p w14:paraId="07538973">
            <w:pPr>
              <w:pStyle w:val="34"/>
              <w:tabs>
                <w:tab w:val="left" w:pos="1389"/>
              </w:tabs>
              <w:bidi w:val="0"/>
              <w:rPr>
                <w:rFonts w:hint="eastAsia"/>
                <w:color w:val="auto"/>
              </w:rPr>
            </w:pPr>
            <w:r>
              <w:rPr>
                <w:rFonts w:hint="eastAsia"/>
                <w:color w:val="auto"/>
              </w:rPr>
              <w:t>NT</w:t>
            </w:r>
          </w:p>
        </w:tc>
        <w:tc>
          <w:tcPr>
            <w:tcW w:w="422" w:type="pct"/>
            <w:tcBorders>
              <w:tl2br w:val="nil"/>
              <w:tr2bl w:val="nil"/>
            </w:tcBorders>
            <w:noWrap/>
            <w:vAlign w:val="center"/>
          </w:tcPr>
          <w:p w14:paraId="2ACCAB7D">
            <w:pPr>
              <w:pStyle w:val="34"/>
              <w:tabs>
                <w:tab w:val="left" w:pos="1389"/>
              </w:tabs>
              <w:bidi w:val="0"/>
              <w:rPr>
                <w:color w:val="auto"/>
              </w:rPr>
            </w:pPr>
            <w:r>
              <w:rPr>
                <w:rFonts w:hint="eastAsia"/>
                <w:color w:val="auto"/>
              </w:rPr>
              <w:t>主要分布于中国西南。</w:t>
            </w:r>
          </w:p>
        </w:tc>
        <w:tc>
          <w:tcPr>
            <w:tcW w:w="1628" w:type="pct"/>
            <w:tcBorders>
              <w:tl2br w:val="nil"/>
              <w:tr2bl w:val="nil"/>
            </w:tcBorders>
            <w:vAlign w:val="center"/>
          </w:tcPr>
          <w:p w14:paraId="08DBA26C">
            <w:pPr>
              <w:pStyle w:val="34"/>
              <w:tabs>
                <w:tab w:val="left" w:pos="1389"/>
              </w:tabs>
              <w:bidi w:val="0"/>
              <w:rPr>
                <w:color w:val="auto"/>
              </w:rPr>
            </w:pPr>
            <w:r>
              <w:rPr>
                <w:rFonts w:hint="eastAsia"/>
                <w:color w:val="auto"/>
              </w:rPr>
              <w:t>留鸟。云南称箐鸡，分布较广。主要分布于调查区的森林、林缘和灌丛生境，也会到林缘农地觅食。</w:t>
            </w:r>
          </w:p>
        </w:tc>
        <w:tc>
          <w:tcPr>
            <w:tcW w:w="400" w:type="pct"/>
            <w:tcBorders>
              <w:tl2br w:val="nil"/>
              <w:tr2bl w:val="nil"/>
            </w:tcBorders>
            <w:vAlign w:val="center"/>
          </w:tcPr>
          <w:p w14:paraId="6CF2ABB3">
            <w:pPr>
              <w:pStyle w:val="34"/>
              <w:tabs>
                <w:tab w:val="left" w:pos="1389"/>
              </w:tabs>
              <w:bidi w:val="0"/>
              <w:rPr>
                <w:color w:val="auto"/>
              </w:rPr>
            </w:pPr>
            <w:r>
              <w:rPr>
                <w:rFonts w:hint="eastAsia"/>
                <w:color w:val="auto"/>
              </w:rPr>
              <w:t>可能出现</w:t>
            </w:r>
          </w:p>
        </w:tc>
        <w:tc>
          <w:tcPr>
            <w:tcW w:w="410" w:type="pct"/>
            <w:tcBorders>
              <w:tl2br w:val="nil"/>
              <w:tr2bl w:val="nil"/>
            </w:tcBorders>
            <w:noWrap/>
            <w:vAlign w:val="center"/>
          </w:tcPr>
          <w:p w14:paraId="34B1E126">
            <w:pPr>
              <w:pStyle w:val="34"/>
              <w:tabs>
                <w:tab w:val="left" w:pos="1389"/>
              </w:tabs>
              <w:bidi w:val="0"/>
              <w:rPr>
                <w:rFonts w:hint="eastAsia"/>
                <w:color w:val="auto"/>
              </w:rPr>
            </w:pPr>
            <w:r>
              <w:rPr>
                <w:rFonts w:hint="eastAsia"/>
                <w:color w:val="auto"/>
              </w:rPr>
              <w:t>文献记载访问调查</w:t>
            </w:r>
          </w:p>
        </w:tc>
      </w:tr>
      <w:tr w14:paraId="247B72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57" w:type="pct"/>
            <w:tcBorders>
              <w:tl2br w:val="nil"/>
              <w:tr2bl w:val="nil"/>
            </w:tcBorders>
            <w:noWrap/>
            <w:vAlign w:val="center"/>
          </w:tcPr>
          <w:p w14:paraId="3FB2DCFF">
            <w:pPr>
              <w:pStyle w:val="34"/>
              <w:tabs>
                <w:tab w:val="left" w:pos="1389"/>
              </w:tabs>
              <w:bidi w:val="0"/>
              <w:rPr>
                <w:color w:val="auto"/>
              </w:rPr>
            </w:pPr>
            <w:r>
              <w:rPr>
                <w:color w:val="auto"/>
              </w:rPr>
              <w:t>2</w:t>
            </w:r>
          </w:p>
        </w:tc>
        <w:tc>
          <w:tcPr>
            <w:tcW w:w="532" w:type="pct"/>
            <w:tcBorders>
              <w:tl2br w:val="nil"/>
              <w:tr2bl w:val="nil"/>
            </w:tcBorders>
            <w:noWrap/>
            <w:vAlign w:val="center"/>
          </w:tcPr>
          <w:p w14:paraId="3292F6D0">
            <w:pPr>
              <w:pStyle w:val="34"/>
              <w:tabs>
                <w:tab w:val="left" w:pos="1389"/>
              </w:tabs>
              <w:bidi w:val="0"/>
              <w:rPr>
                <w:color w:val="auto"/>
              </w:rPr>
            </w:pPr>
            <w:r>
              <w:rPr>
                <w:rFonts w:hint="eastAsia"/>
                <w:color w:val="auto"/>
              </w:rPr>
              <w:t>斑头</w:t>
            </w:r>
          </w:p>
          <w:p w14:paraId="4BD50A69">
            <w:pPr>
              <w:pStyle w:val="34"/>
              <w:tabs>
                <w:tab w:val="left" w:pos="1389"/>
              </w:tabs>
              <w:bidi w:val="0"/>
              <w:rPr>
                <w:color w:val="auto"/>
              </w:rPr>
            </w:pPr>
            <w:r>
              <w:rPr>
                <w:rFonts w:hint="eastAsia"/>
                <w:color w:val="auto"/>
              </w:rPr>
              <w:t>鸺鹠</w:t>
            </w:r>
          </w:p>
        </w:tc>
        <w:tc>
          <w:tcPr>
            <w:tcW w:w="799" w:type="pct"/>
            <w:tcBorders>
              <w:tl2br w:val="nil"/>
              <w:tr2bl w:val="nil"/>
            </w:tcBorders>
            <w:noWrap/>
            <w:vAlign w:val="center"/>
          </w:tcPr>
          <w:p w14:paraId="46FD4DF0">
            <w:pPr>
              <w:pStyle w:val="34"/>
              <w:tabs>
                <w:tab w:val="left" w:pos="1389"/>
              </w:tabs>
              <w:bidi w:val="0"/>
              <w:rPr>
                <w:i/>
                <w:iCs/>
                <w:color w:val="auto"/>
              </w:rPr>
            </w:pPr>
            <w:r>
              <w:rPr>
                <w:i/>
                <w:iCs/>
                <w:color w:val="auto"/>
              </w:rPr>
              <w:t>Glaucidium</w:t>
            </w:r>
            <w:r>
              <w:rPr>
                <w:rFonts w:hint="eastAsia"/>
                <w:i/>
                <w:iCs/>
                <w:color w:val="auto"/>
              </w:rPr>
              <w:t>cu</w:t>
            </w:r>
            <w:r>
              <w:rPr>
                <w:i/>
                <w:iCs/>
                <w:color w:val="auto"/>
              </w:rPr>
              <w:t>culoides</w:t>
            </w:r>
          </w:p>
        </w:tc>
        <w:tc>
          <w:tcPr>
            <w:tcW w:w="299" w:type="pct"/>
            <w:tcBorders>
              <w:tl2br w:val="nil"/>
              <w:tr2bl w:val="nil"/>
            </w:tcBorders>
            <w:noWrap/>
            <w:vAlign w:val="center"/>
          </w:tcPr>
          <w:p w14:paraId="7EA3CA53">
            <w:pPr>
              <w:pStyle w:val="34"/>
              <w:tabs>
                <w:tab w:val="left" w:pos="1389"/>
              </w:tabs>
              <w:bidi w:val="0"/>
              <w:rPr>
                <w:color w:val="auto"/>
              </w:rPr>
            </w:pPr>
            <w:r>
              <w:rPr>
                <w:rFonts w:hint="eastAsia"/>
                <w:color w:val="auto"/>
              </w:rPr>
              <w:t>二级</w:t>
            </w:r>
          </w:p>
        </w:tc>
        <w:tc>
          <w:tcPr>
            <w:tcW w:w="250" w:type="pct"/>
            <w:tcBorders>
              <w:tl2br w:val="nil"/>
              <w:tr2bl w:val="nil"/>
            </w:tcBorders>
            <w:noWrap/>
            <w:vAlign w:val="center"/>
          </w:tcPr>
          <w:p w14:paraId="6C95BFB2">
            <w:pPr>
              <w:pStyle w:val="34"/>
              <w:tabs>
                <w:tab w:val="left" w:pos="1389"/>
              </w:tabs>
              <w:bidi w:val="0"/>
              <w:rPr>
                <w:color w:val="auto"/>
              </w:rPr>
            </w:pPr>
            <w:r>
              <w:rPr>
                <w:rFonts w:hint="eastAsia"/>
                <w:color w:val="auto"/>
              </w:rPr>
              <w:t>LC</w:t>
            </w:r>
          </w:p>
        </w:tc>
        <w:tc>
          <w:tcPr>
            <w:tcW w:w="422" w:type="pct"/>
            <w:tcBorders>
              <w:tl2br w:val="nil"/>
              <w:tr2bl w:val="nil"/>
            </w:tcBorders>
            <w:noWrap/>
            <w:vAlign w:val="center"/>
          </w:tcPr>
          <w:p w14:paraId="47E7FF15">
            <w:pPr>
              <w:pStyle w:val="34"/>
              <w:tabs>
                <w:tab w:val="left" w:pos="1389"/>
              </w:tabs>
              <w:bidi w:val="0"/>
              <w:rPr>
                <w:color w:val="auto"/>
              </w:rPr>
            </w:pPr>
          </w:p>
        </w:tc>
        <w:tc>
          <w:tcPr>
            <w:tcW w:w="1628" w:type="pct"/>
            <w:tcBorders>
              <w:tl2br w:val="nil"/>
              <w:tr2bl w:val="nil"/>
            </w:tcBorders>
            <w:vAlign w:val="center"/>
          </w:tcPr>
          <w:p w14:paraId="2A31A65E">
            <w:pPr>
              <w:pStyle w:val="34"/>
              <w:tabs>
                <w:tab w:val="left" w:pos="1389"/>
              </w:tabs>
              <w:bidi w:val="0"/>
              <w:rPr>
                <w:color w:val="auto"/>
              </w:rPr>
            </w:pPr>
            <w:r>
              <w:rPr>
                <w:rFonts w:hint="eastAsia"/>
                <w:color w:val="auto"/>
              </w:rPr>
              <w:t>留鸟。栖息于森林、林缘生境。</w:t>
            </w:r>
          </w:p>
        </w:tc>
        <w:tc>
          <w:tcPr>
            <w:tcW w:w="400" w:type="pct"/>
            <w:tcBorders>
              <w:tl2br w:val="nil"/>
              <w:tr2bl w:val="nil"/>
            </w:tcBorders>
            <w:vAlign w:val="center"/>
          </w:tcPr>
          <w:p w14:paraId="4DC8208A">
            <w:pPr>
              <w:pStyle w:val="34"/>
              <w:tabs>
                <w:tab w:val="left" w:pos="1389"/>
              </w:tabs>
              <w:bidi w:val="0"/>
              <w:rPr>
                <w:color w:val="auto"/>
              </w:rPr>
            </w:pPr>
            <w:r>
              <w:rPr>
                <w:rFonts w:hint="eastAsia"/>
                <w:color w:val="auto"/>
              </w:rPr>
              <w:t>可能出现</w:t>
            </w:r>
          </w:p>
        </w:tc>
        <w:tc>
          <w:tcPr>
            <w:tcW w:w="410" w:type="pct"/>
            <w:tcBorders>
              <w:tl2br w:val="nil"/>
              <w:tr2bl w:val="nil"/>
            </w:tcBorders>
            <w:noWrap/>
            <w:vAlign w:val="center"/>
          </w:tcPr>
          <w:p w14:paraId="11953769">
            <w:pPr>
              <w:pStyle w:val="34"/>
              <w:tabs>
                <w:tab w:val="left" w:pos="1389"/>
              </w:tabs>
              <w:bidi w:val="0"/>
              <w:rPr>
                <w:color w:val="auto"/>
              </w:rPr>
            </w:pPr>
            <w:r>
              <w:rPr>
                <w:rFonts w:hint="eastAsia"/>
                <w:color w:val="auto"/>
              </w:rPr>
              <w:t>观察</w:t>
            </w:r>
          </w:p>
        </w:tc>
      </w:tr>
      <w:tr w14:paraId="000340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57" w:type="pct"/>
            <w:tcBorders>
              <w:tl2br w:val="nil"/>
              <w:tr2bl w:val="nil"/>
            </w:tcBorders>
            <w:noWrap/>
            <w:vAlign w:val="center"/>
          </w:tcPr>
          <w:p w14:paraId="2EE3F9DB">
            <w:pPr>
              <w:pStyle w:val="34"/>
              <w:tabs>
                <w:tab w:val="left" w:pos="1389"/>
              </w:tabs>
              <w:bidi w:val="0"/>
              <w:rPr>
                <w:color w:val="auto"/>
              </w:rPr>
            </w:pPr>
            <w:r>
              <w:rPr>
                <w:color w:val="auto"/>
              </w:rPr>
              <w:t>3</w:t>
            </w:r>
          </w:p>
        </w:tc>
        <w:tc>
          <w:tcPr>
            <w:tcW w:w="532" w:type="pct"/>
            <w:tcBorders>
              <w:tl2br w:val="nil"/>
              <w:tr2bl w:val="nil"/>
            </w:tcBorders>
            <w:noWrap/>
            <w:vAlign w:val="center"/>
          </w:tcPr>
          <w:p w14:paraId="7AF5153B">
            <w:pPr>
              <w:pStyle w:val="34"/>
              <w:tabs>
                <w:tab w:val="left" w:pos="1389"/>
              </w:tabs>
              <w:bidi w:val="0"/>
              <w:rPr>
                <w:color w:val="auto"/>
              </w:rPr>
            </w:pPr>
            <w:r>
              <w:rPr>
                <w:rFonts w:hint="eastAsia"/>
                <w:color w:val="auto"/>
              </w:rPr>
              <w:t>领角鸮</w:t>
            </w:r>
          </w:p>
        </w:tc>
        <w:tc>
          <w:tcPr>
            <w:tcW w:w="799" w:type="pct"/>
            <w:tcBorders>
              <w:tl2br w:val="nil"/>
              <w:tr2bl w:val="nil"/>
            </w:tcBorders>
            <w:noWrap/>
            <w:vAlign w:val="center"/>
          </w:tcPr>
          <w:p w14:paraId="273C6DFF">
            <w:pPr>
              <w:pStyle w:val="34"/>
              <w:tabs>
                <w:tab w:val="left" w:pos="1389"/>
              </w:tabs>
              <w:bidi w:val="0"/>
              <w:rPr>
                <w:i/>
                <w:iCs/>
                <w:color w:val="auto"/>
              </w:rPr>
            </w:pPr>
            <w:r>
              <w:rPr>
                <w:i/>
                <w:iCs/>
                <w:color w:val="auto"/>
              </w:rPr>
              <w:t>Otuslettia</w:t>
            </w:r>
          </w:p>
        </w:tc>
        <w:tc>
          <w:tcPr>
            <w:tcW w:w="299" w:type="pct"/>
            <w:tcBorders>
              <w:tl2br w:val="nil"/>
              <w:tr2bl w:val="nil"/>
            </w:tcBorders>
            <w:noWrap/>
            <w:vAlign w:val="center"/>
          </w:tcPr>
          <w:p w14:paraId="5454A953">
            <w:pPr>
              <w:pStyle w:val="34"/>
              <w:tabs>
                <w:tab w:val="left" w:pos="1389"/>
              </w:tabs>
              <w:bidi w:val="0"/>
              <w:rPr>
                <w:color w:val="auto"/>
              </w:rPr>
            </w:pPr>
            <w:r>
              <w:rPr>
                <w:rFonts w:hint="eastAsia"/>
                <w:color w:val="auto"/>
              </w:rPr>
              <w:t>二级</w:t>
            </w:r>
          </w:p>
        </w:tc>
        <w:tc>
          <w:tcPr>
            <w:tcW w:w="250" w:type="pct"/>
            <w:tcBorders>
              <w:tl2br w:val="nil"/>
              <w:tr2bl w:val="nil"/>
            </w:tcBorders>
            <w:noWrap/>
            <w:vAlign w:val="center"/>
          </w:tcPr>
          <w:p w14:paraId="4EF0BF40">
            <w:pPr>
              <w:pStyle w:val="34"/>
              <w:tabs>
                <w:tab w:val="left" w:pos="1389"/>
              </w:tabs>
              <w:bidi w:val="0"/>
              <w:rPr>
                <w:color w:val="auto"/>
              </w:rPr>
            </w:pPr>
            <w:r>
              <w:rPr>
                <w:rFonts w:hint="eastAsia"/>
                <w:color w:val="auto"/>
              </w:rPr>
              <w:t>LC</w:t>
            </w:r>
          </w:p>
        </w:tc>
        <w:tc>
          <w:tcPr>
            <w:tcW w:w="422" w:type="pct"/>
            <w:tcBorders>
              <w:tl2br w:val="nil"/>
              <w:tr2bl w:val="nil"/>
            </w:tcBorders>
            <w:noWrap/>
            <w:vAlign w:val="center"/>
          </w:tcPr>
          <w:p w14:paraId="04E5DBE3">
            <w:pPr>
              <w:pStyle w:val="34"/>
              <w:tabs>
                <w:tab w:val="left" w:pos="1389"/>
              </w:tabs>
              <w:bidi w:val="0"/>
              <w:rPr>
                <w:color w:val="auto"/>
              </w:rPr>
            </w:pPr>
          </w:p>
        </w:tc>
        <w:tc>
          <w:tcPr>
            <w:tcW w:w="1628" w:type="pct"/>
            <w:tcBorders>
              <w:tl2br w:val="nil"/>
              <w:tr2bl w:val="nil"/>
            </w:tcBorders>
            <w:vAlign w:val="center"/>
          </w:tcPr>
          <w:p w14:paraId="01313A95">
            <w:pPr>
              <w:pStyle w:val="34"/>
              <w:tabs>
                <w:tab w:val="left" w:pos="1389"/>
              </w:tabs>
              <w:bidi w:val="0"/>
              <w:rPr>
                <w:color w:val="auto"/>
              </w:rPr>
            </w:pPr>
            <w:r>
              <w:rPr>
                <w:rFonts w:hint="eastAsia"/>
                <w:color w:val="auto"/>
              </w:rPr>
              <w:t>留鸟。栖息于森林、林缘、村落。</w:t>
            </w:r>
          </w:p>
        </w:tc>
        <w:tc>
          <w:tcPr>
            <w:tcW w:w="400" w:type="pct"/>
            <w:tcBorders>
              <w:tl2br w:val="nil"/>
              <w:tr2bl w:val="nil"/>
            </w:tcBorders>
            <w:vAlign w:val="center"/>
          </w:tcPr>
          <w:p w14:paraId="58A1128F">
            <w:pPr>
              <w:pStyle w:val="34"/>
              <w:tabs>
                <w:tab w:val="left" w:pos="1389"/>
              </w:tabs>
              <w:bidi w:val="0"/>
              <w:rPr>
                <w:rFonts w:hint="eastAsia"/>
                <w:color w:val="auto"/>
              </w:rPr>
            </w:pPr>
            <w:r>
              <w:rPr>
                <w:rFonts w:hint="eastAsia"/>
                <w:color w:val="auto"/>
              </w:rPr>
              <w:t>可能出现</w:t>
            </w:r>
          </w:p>
        </w:tc>
        <w:tc>
          <w:tcPr>
            <w:tcW w:w="410" w:type="pct"/>
            <w:tcBorders>
              <w:tl2br w:val="nil"/>
              <w:tr2bl w:val="nil"/>
            </w:tcBorders>
            <w:noWrap/>
            <w:vAlign w:val="center"/>
          </w:tcPr>
          <w:p w14:paraId="3651ED24">
            <w:pPr>
              <w:pStyle w:val="34"/>
              <w:tabs>
                <w:tab w:val="left" w:pos="1389"/>
              </w:tabs>
              <w:bidi w:val="0"/>
              <w:rPr>
                <w:color w:val="auto"/>
              </w:rPr>
            </w:pPr>
            <w:r>
              <w:rPr>
                <w:rFonts w:hint="eastAsia"/>
                <w:color w:val="auto"/>
              </w:rPr>
              <w:t>文献记载访问调查</w:t>
            </w:r>
          </w:p>
        </w:tc>
      </w:tr>
      <w:tr w14:paraId="1A11A69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57" w:type="pct"/>
            <w:tcBorders>
              <w:tl2br w:val="nil"/>
              <w:tr2bl w:val="nil"/>
            </w:tcBorders>
            <w:noWrap/>
            <w:vAlign w:val="center"/>
          </w:tcPr>
          <w:p w14:paraId="17C72CC9">
            <w:pPr>
              <w:pStyle w:val="34"/>
              <w:tabs>
                <w:tab w:val="left" w:pos="1389"/>
              </w:tabs>
              <w:bidi w:val="0"/>
              <w:rPr>
                <w:color w:val="auto"/>
              </w:rPr>
            </w:pPr>
            <w:r>
              <w:rPr>
                <w:color w:val="auto"/>
              </w:rPr>
              <w:t>4</w:t>
            </w:r>
          </w:p>
        </w:tc>
        <w:tc>
          <w:tcPr>
            <w:tcW w:w="532" w:type="pct"/>
            <w:tcBorders>
              <w:tl2br w:val="nil"/>
              <w:tr2bl w:val="nil"/>
            </w:tcBorders>
            <w:noWrap/>
            <w:vAlign w:val="center"/>
          </w:tcPr>
          <w:p w14:paraId="4F0DC7D4">
            <w:pPr>
              <w:pStyle w:val="34"/>
              <w:tabs>
                <w:tab w:val="left" w:pos="1389"/>
              </w:tabs>
              <w:bidi w:val="0"/>
              <w:rPr>
                <w:color w:val="auto"/>
              </w:rPr>
            </w:pPr>
            <w:r>
              <w:rPr>
                <w:rFonts w:hint="eastAsia"/>
                <w:color w:val="auto"/>
              </w:rPr>
              <w:t>凤头</w:t>
            </w:r>
            <w:r>
              <w:rPr>
                <w:color w:val="auto"/>
              </w:rPr>
              <w:t>鹰</w:t>
            </w:r>
          </w:p>
        </w:tc>
        <w:tc>
          <w:tcPr>
            <w:tcW w:w="799" w:type="pct"/>
            <w:tcBorders>
              <w:tl2br w:val="nil"/>
              <w:tr2bl w:val="nil"/>
            </w:tcBorders>
            <w:noWrap/>
            <w:vAlign w:val="center"/>
          </w:tcPr>
          <w:p w14:paraId="5EB7E924">
            <w:pPr>
              <w:pStyle w:val="34"/>
              <w:tabs>
                <w:tab w:val="left" w:pos="1389"/>
              </w:tabs>
              <w:bidi w:val="0"/>
              <w:rPr>
                <w:i/>
                <w:iCs/>
                <w:color w:val="auto"/>
              </w:rPr>
            </w:pPr>
            <w:r>
              <w:rPr>
                <w:i/>
                <w:iCs/>
                <w:color w:val="auto"/>
              </w:rPr>
              <w:t>Accipiter</w:t>
            </w:r>
            <w:r>
              <w:rPr>
                <w:rFonts w:hint="eastAsia"/>
                <w:i/>
                <w:iCs/>
                <w:color w:val="auto"/>
              </w:rPr>
              <w:t>t</w:t>
            </w:r>
            <w:r>
              <w:rPr>
                <w:i/>
                <w:iCs/>
                <w:color w:val="auto"/>
              </w:rPr>
              <w:t>rivirgatus</w:t>
            </w:r>
          </w:p>
        </w:tc>
        <w:tc>
          <w:tcPr>
            <w:tcW w:w="299" w:type="pct"/>
            <w:tcBorders>
              <w:tl2br w:val="nil"/>
              <w:tr2bl w:val="nil"/>
            </w:tcBorders>
            <w:noWrap/>
            <w:vAlign w:val="center"/>
          </w:tcPr>
          <w:p w14:paraId="5077F96C">
            <w:pPr>
              <w:pStyle w:val="34"/>
              <w:tabs>
                <w:tab w:val="left" w:pos="1389"/>
              </w:tabs>
              <w:bidi w:val="0"/>
              <w:rPr>
                <w:color w:val="auto"/>
              </w:rPr>
            </w:pPr>
            <w:r>
              <w:rPr>
                <w:rFonts w:hint="eastAsia"/>
                <w:color w:val="auto"/>
              </w:rPr>
              <w:t>二级</w:t>
            </w:r>
          </w:p>
        </w:tc>
        <w:tc>
          <w:tcPr>
            <w:tcW w:w="250" w:type="pct"/>
            <w:tcBorders>
              <w:tl2br w:val="nil"/>
              <w:tr2bl w:val="nil"/>
            </w:tcBorders>
            <w:noWrap/>
            <w:vAlign w:val="center"/>
          </w:tcPr>
          <w:p w14:paraId="25A87AEE">
            <w:pPr>
              <w:pStyle w:val="34"/>
              <w:tabs>
                <w:tab w:val="left" w:pos="1389"/>
              </w:tabs>
              <w:bidi w:val="0"/>
              <w:rPr>
                <w:color w:val="auto"/>
              </w:rPr>
            </w:pPr>
            <w:r>
              <w:rPr>
                <w:rFonts w:hint="eastAsia"/>
                <w:color w:val="auto"/>
              </w:rPr>
              <w:t>NT</w:t>
            </w:r>
          </w:p>
        </w:tc>
        <w:tc>
          <w:tcPr>
            <w:tcW w:w="422" w:type="pct"/>
            <w:tcBorders>
              <w:tl2br w:val="nil"/>
              <w:tr2bl w:val="nil"/>
            </w:tcBorders>
            <w:noWrap/>
            <w:vAlign w:val="center"/>
          </w:tcPr>
          <w:p w14:paraId="4B80B601">
            <w:pPr>
              <w:pStyle w:val="34"/>
              <w:tabs>
                <w:tab w:val="left" w:pos="1389"/>
              </w:tabs>
              <w:bidi w:val="0"/>
              <w:rPr>
                <w:color w:val="auto"/>
              </w:rPr>
            </w:pPr>
          </w:p>
        </w:tc>
        <w:tc>
          <w:tcPr>
            <w:tcW w:w="1628" w:type="pct"/>
            <w:tcBorders>
              <w:tl2br w:val="nil"/>
              <w:tr2bl w:val="nil"/>
            </w:tcBorders>
            <w:vAlign w:val="center"/>
          </w:tcPr>
          <w:p w14:paraId="23D33163">
            <w:pPr>
              <w:pStyle w:val="34"/>
              <w:tabs>
                <w:tab w:val="left" w:pos="1389"/>
              </w:tabs>
              <w:bidi w:val="0"/>
              <w:rPr>
                <w:color w:val="auto"/>
              </w:rPr>
            </w:pPr>
            <w:r>
              <w:rPr>
                <w:rFonts w:hint="eastAsia"/>
                <w:color w:val="auto"/>
              </w:rPr>
              <w:t>留鸟。栖息于森林、林缘。</w:t>
            </w:r>
          </w:p>
        </w:tc>
        <w:tc>
          <w:tcPr>
            <w:tcW w:w="400" w:type="pct"/>
            <w:tcBorders>
              <w:tl2br w:val="nil"/>
              <w:tr2bl w:val="nil"/>
            </w:tcBorders>
            <w:vAlign w:val="center"/>
          </w:tcPr>
          <w:p w14:paraId="781A6174">
            <w:pPr>
              <w:pStyle w:val="34"/>
              <w:tabs>
                <w:tab w:val="left" w:pos="1389"/>
              </w:tabs>
              <w:bidi w:val="0"/>
              <w:rPr>
                <w:color w:val="auto"/>
              </w:rPr>
            </w:pPr>
            <w:r>
              <w:rPr>
                <w:rFonts w:hint="eastAsia"/>
                <w:color w:val="auto"/>
              </w:rPr>
              <w:t>可能出现</w:t>
            </w:r>
          </w:p>
        </w:tc>
        <w:tc>
          <w:tcPr>
            <w:tcW w:w="410" w:type="pct"/>
            <w:tcBorders>
              <w:tl2br w:val="nil"/>
              <w:tr2bl w:val="nil"/>
            </w:tcBorders>
            <w:noWrap/>
            <w:vAlign w:val="center"/>
          </w:tcPr>
          <w:p w14:paraId="27198BB7">
            <w:pPr>
              <w:pStyle w:val="34"/>
              <w:tabs>
                <w:tab w:val="left" w:pos="1389"/>
              </w:tabs>
              <w:bidi w:val="0"/>
              <w:rPr>
                <w:color w:val="auto"/>
              </w:rPr>
            </w:pPr>
            <w:r>
              <w:rPr>
                <w:rFonts w:hint="eastAsia"/>
                <w:color w:val="auto"/>
              </w:rPr>
              <w:t>观察</w:t>
            </w:r>
          </w:p>
        </w:tc>
      </w:tr>
      <w:tr w14:paraId="39B77D1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57" w:type="pct"/>
            <w:tcBorders>
              <w:tl2br w:val="nil"/>
              <w:tr2bl w:val="nil"/>
            </w:tcBorders>
            <w:noWrap/>
            <w:vAlign w:val="center"/>
          </w:tcPr>
          <w:p w14:paraId="3231217C">
            <w:pPr>
              <w:pStyle w:val="34"/>
              <w:tabs>
                <w:tab w:val="left" w:pos="1389"/>
              </w:tabs>
              <w:bidi w:val="0"/>
              <w:rPr>
                <w:color w:val="auto"/>
              </w:rPr>
            </w:pPr>
            <w:r>
              <w:rPr>
                <w:color w:val="auto"/>
              </w:rPr>
              <w:t>5</w:t>
            </w:r>
          </w:p>
        </w:tc>
        <w:tc>
          <w:tcPr>
            <w:tcW w:w="532" w:type="pct"/>
            <w:tcBorders>
              <w:tl2br w:val="nil"/>
              <w:tr2bl w:val="nil"/>
            </w:tcBorders>
            <w:noWrap/>
            <w:vAlign w:val="center"/>
          </w:tcPr>
          <w:p w14:paraId="21DE6D16">
            <w:pPr>
              <w:pStyle w:val="34"/>
              <w:tabs>
                <w:tab w:val="left" w:pos="1389"/>
              </w:tabs>
              <w:bidi w:val="0"/>
              <w:rPr>
                <w:color w:val="auto"/>
              </w:rPr>
            </w:pPr>
            <w:r>
              <w:rPr>
                <w:color w:val="auto"/>
              </w:rPr>
              <w:t>白尾鹞</w:t>
            </w:r>
          </w:p>
        </w:tc>
        <w:tc>
          <w:tcPr>
            <w:tcW w:w="799" w:type="pct"/>
            <w:tcBorders>
              <w:tl2br w:val="nil"/>
              <w:tr2bl w:val="nil"/>
            </w:tcBorders>
            <w:noWrap/>
            <w:vAlign w:val="center"/>
          </w:tcPr>
          <w:p w14:paraId="6D0BB311">
            <w:pPr>
              <w:pStyle w:val="34"/>
              <w:tabs>
                <w:tab w:val="left" w:pos="1389"/>
              </w:tabs>
              <w:bidi w:val="0"/>
              <w:rPr>
                <w:i/>
                <w:iCs/>
                <w:color w:val="auto"/>
              </w:rPr>
            </w:pPr>
            <w:r>
              <w:rPr>
                <w:i/>
                <w:iCs/>
                <w:color w:val="auto"/>
              </w:rPr>
              <w:t>Circuscyaneus</w:t>
            </w:r>
          </w:p>
        </w:tc>
        <w:tc>
          <w:tcPr>
            <w:tcW w:w="299" w:type="pct"/>
            <w:tcBorders>
              <w:tl2br w:val="nil"/>
              <w:tr2bl w:val="nil"/>
            </w:tcBorders>
            <w:noWrap/>
            <w:vAlign w:val="center"/>
          </w:tcPr>
          <w:p w14:paraId="74E1775A">
            <w:pPr>
              <w:pStyle w:val="34"/>
              <w:tabs>
                <w:tab w:val="left" w:pos="1389"/>
              </w:tabs>
              <w:bidi w:val="0"/>
              <w:rPr>
                <w:color w:val="auto"/>
              </w:rPr>
            </w:pPr>
            <w:r>
              <w:rPr>
                <w:rFonts w:hint="eastAsia"/>
                <w:color w:val="auto"/>
              </w:rPr>
              <w:t>二级</w:t>
            </w:r>
          </w:p>
        </w:tc>
        <w:tc>
          <w:tcPr>
            <w:tcW w:w="250" w:type="pct"/>
            <w:tcBorders>
              <w:tl2br w:val="nil"/>
              <w:tr2bl w:val="nil"/>
            </w:tcBorders>
            <w:noWrap/>
            <w:vAlign w:val="center"/>
          </w:tcPr>
          <w:p w14:paraId="08ACB25B">
            <w:pPr>
              <w:pStyle w:val="34"/>
              <w:tabs>
                <w:tab w:val="left" w:pos="1389"/>
              </w:tabs>
              <w:bidi w:val="0"/>
              <w:rPr>
                <w:color w:val="auto"/>
              </w:rPr>
            </w:pPr>
            <w:r>
              <w:rPr>
                <w:rFonts w:hint="eastAsia"/>
                <w:color w:val="auto"/>
              </w:rPr>
              <w:t>NT</w:t>
            </w:r>
          </w:p>
        </w:tc>
        <w:tc>
          <w:tcPr>
            <w:tcW w:w="422" w:type="pct"/>
            <w:tcBorders>
              <w:tl2br w:val="nil"/>
              <w:tr2bl w:val="nil"/>
            </w:tcBorders>
            <w:noWrap/>
            <w:vAlign w:val="center"/>
          </w:tcPr>
          <w:p w14:paraId="64430DDF">
            <w:pPr>
              <w:pStyle w:val="34"/>
              <w:tabs>
                <w:tab w:val="left" w:pos="1389"/>
              </w:tabs>
              <w:bidi w:val="0"/>
              <w:rPr>
                <w:color w:val="auto"/>
              </w:rPr>
            </w:pPr>
          </w:p>
        </w:tc>
        <w:tc>
          <w:tcPr>
            <w:tcW w:w="1628" w:type="pct"/>
            <w:tcBorders>
              <w:tl2br w:val="nil"/>
              <w:tr2bl w:val="nil"/>
            </w:tcBorders>
            <w:vAlign w:val="center"/>
          </w:tcPr>
          <w:p w14:paraId="7B78026B">
            <w:pPr>
              <w:pStyle w:val="34"/>
              <w:tabs>
                <w:tab w:val="left" w:pos="1389"/>
              </w:tabs>
              <w:bidi w:val="0"/>
              <w:rPr>
                <w:color w:val="auto"/>
              </w:rPr>
            </w:pPr>
            <w:r>
              <w:rPr>
                <w:rFonts w:hint="eastAsia"/>
                <w:color w:val="auto"/>
              </w:rPr>
              <w:t>旅鸟或冬候鸟。多在开阔农地及沼泽滩涂活动。生境利用类型较广。</w:t>
            </w:r>
          </w:p>
        </w:tc>
        <w:tc>
          <w:tcPr>
            <w:tcW w:w="400" w:type="pct"/>
            <w:tcBorders>
              <w:tl2br w:val="nil"/>
              <w:tr2bl w:val="nil"/>
            </w:tcBorders>
            <w:vAlign w:val="center"/>
          </w:tcPr>
          <w:p w14:paraId="4601BDFA">
            <w:pPr>
              <w:pStyle w:val="34"/>
              <w:tabs>
                <w:tab w:val="left" w:pos="1389"/>
              </w:tabs>
              <w:bidi w:val="0"/>
              <w:rPr>
                <w:color w:val="auto"/>
              </w:rPr>
            </w:pPr>
            <w:r>
              <w:rPr>
                <w:rFonts w:hint="eastAsia"/>
                <w:color w:val="auto"/>
              </w:rPr>
              <w:t>可能出现</w:t>
            </w:r>
          </w:p>
        </w:tc>
        <w:tc>
          <w:tcPr>
            <w:tcW w:w="410" w:type="pct"/>
            <w:tcBorders>
              <w:tl2br w:val="nil"/>
              <w:tr2bl w:val="nil"/>
            </w:tcBorders>
            <w:noWrap/>
            <w:vAlign w:val="center"/>
          </w:tcPr>
          <w:p w14:paraId="4BE20A71">
            <w:pPr>
              <w:pStyle w:val="34"/>
              <w:tabs>
                <w:tab w:val="left" w:pos="1389"/>
              </w:tabs>
              <w:bidi w:val="0"/>
              <w:rPr>
                <w:color w:val="auto"/>
              </w:rPr>
            </w:pPr>
            <w:r>
              <w:rPr>
                <w:rFonts w:hint="eastAsia"/>
                <w:color w:val="auto"/>
              </w:rPr>
              <w:t>文献记载访问调查</w:t>
            </w:r>
          </w:p>
        </w:tc>
      </w:tr>
      <w:tr w14:paraId="4786CB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57" w:type="pct"/>
            <w:tcBorders>
              <w:tl2br w:val="nil"/>
              <w:tr2bl w:val="nil"/>
            </w:tcBorders>
            <w:noWrap/>
            <w:vAlign w:val="center"/>
          </w:tcPr>
          <w:p w14:paraId="4F46FF13">
            <w:pPr>
              <w:pStyle w:val="34"/>
              <w:tabs>
                <w:tab w:val="left" w:pos="1389"/>
              </w:tabs>
              <w:bidi w:val="0"/>
              <w:rPr>
                <w:color w:val="auto"/>
              </w:rPr>
            </w:pPr>
            <w:r>
              <w:rPr>
                <w:color w:val="auto"/>
              </w:rPr>
              <w:t>6</w:t>
            </w:r>
          </w:p>
        </w:tc>
        <w:tc>
          <w:tcPr>
            <w:tcW w:w="532" w:type="pct"/>
            <w:tcBorders>
              <w:tl2br w:val="nil"/>
              <w:tr2bl w:val="nil"/>
            </w:tcBorders>
            <w:noWrap/>
            <w:vAlign w:val="center"/>
          </w:tcPr>
          <w:p w14:paraId="71B45151">
            <w:pPr>
              <w:pStyle w:val="34"/>
              <w:tabs>
                <w:tab w:val="left" w:pos="1389"/>
              </w:tabs>
              <w:bidi w:val="0"/>
              <w:rPr>
                <w:color w:val="auto"/>
              </w:rPr>
            </w:pPr>
            <w:r>
              <w:rPr>
                <w:rFonts w:hint="eastAsia"/>
                <w:color w:val="auto"/>
              </w:rPr>
              <w:t>普通鵟</w:t>
            </w:r>
          </w:p>
        </w:tc>
        <w:tc>
          <w:tcPr>
            <w:tcW w:w="799" w:type="pct"/>
            <w:tcBorders>
              <w:tl2br w:val="nil"/>
              <w:tr2bl w:val="nil"/>
            </w:tcBorders>
            <w:noWrap/>
            <w:vAlign w:val="center"/>
          </w:tcPr>
          <w:p w14:paraId="2DA09354">
            <w:pPr>
              <w:pStyle w:val="34"/>
              <w:tabs>
                <w:tab w:val="left" w:pos="1389"/>
              </w:tabs>
              <w:bidi w:val="0"/>
              <w:rPr>
                <w:i/>
                <w:iCs/>
                <w:color w:val="auto"/>
              </w:rPr>
            </w:pPr>
            <w:r>
              <w:rPr>
                <w:i/>
                <w:iCs/>
                <w:color w:val="auto"/>
              </w:rPr>
              <w:t>Buteojaponicus</w:t>
            </w:r>
          </w:p>
        </w:tc>
        <w:tc>
          <w:tcPr>
            <w:tcW w:w="299" w:type="pct"/>
            <w:tcBorders>
              <w:tl2br w:val="nil"/>
              <w:tr2bl w:val="nil"/>
            </w:tcBorders>
            <w:noWrap/>
            <w:vAlign w:val="center"/>
          </w:tcPr>
          <w:p w14:paraId="0440BD95">
            <w:pPr>
              <w:pStyle w:val="34"/>
              <w:tabs>
                <w:tab w:val="left" w:pos="1389"/>
              </w:tabs>
              <w:bidi w:val="0"/>
              <w:rPr>
                <w:color w:val="auto"/>
              </w:rPr>
            </w:pPr>
            <w:r>
              <w:rPr>
                <w:rFonts w:hint="eastAsia"/>
                <w:color w:val="auto"/>
              </w:rPr>
              <w:t>二级</w:t>
            </w:r>
          </w:p>
        </w:tc>
        <w:tc>
          <w:tcPr>
            <w:tcW w:w="250" w:type="pct"/>
            <w:tcBorders>
              <w:tl2br w:val="nil"/>
              <w:tr2bl w:val="nil"/>
            </w:tcBorders>
            <w:noWrap/>
            <w:vAlign w:val="center"/>
          </w:tcPr>
          <w:p w14:paraId="42B5BC38">
            <w:pPr>
              <w:pStyle w:val="34"/>
              <w:tabs>
                <w:tab w:val="left" w:pos="1389"/>
              </w:tabs>
              <w:bidi w:val="0"/>
              <w:rPr>
                <w:color w:val="auto"/>
              </w:rPr>
            </w:pPr>
            <w:r>
              <w:rPr>
                <w:rFonts w:hint="eastAsia"/>
                <w:color w:val="auto"/>
              </w:rPr>
              <w:t>LC</w:t>
            </w:r>
          </w:p>
        </w:tc>
        <w:tc>
          <w:tcPr>
            <w:tcW w:w="422" w:type="pct"/>
            <w:tcBorders>
              <w:tl2br w:val="nil"/>
              <w:tr2bl w:val="nil"/>
            </w:tcBorders>
            <w:noWrap/>
            <w:vAlign w:val="center"/>
          </w:tcPr>
          <w:p w14:paraId="510287EF">
            <w:pPr>
              <w:pStyle w:val="34"/>
              <w:tabs>
                <w:tab w:val="left" w:pos="1389"/>
              </w:tabs>
              <w:bidi w:val="0"/>
              <w:rPr>
                <w:color w:val="auto"/>
              </w:rPr>
            </w:pPr>
          </w:p>
        </w:tc>
        <w:tc>
          <w:tcPr>
            <w:tcW w:w="1628" w:type="pct"/>
            <w:tcBorders>
              <w:tl2br w:val="nil"/>
              <w:tr2bl w:val="nil"/>
            </w:tcBorders>
            <w:vAlign w:val="center"/>
          </w:tcPr>
          <w:p w14:paraId="6925C2A0">
            <w:pPr>
              <w:pStyle w:val="34"/>
              <w:tabs>
                <w:tab w:val="left" w:pos="1389"/>
              </w:tabs>
              <w:bidi w:val="0"/>
              <w:rPr>
                <w:color w:val="auto"/>
              </w:rPr>
            </w:pPr>
            <w:r>
              <w:rPr>
                <w:rFonts w:hint="eastAsia"/>
                <w:color w:val="auto"/>
              </w:rPr>
              <w:t>在项目区属冬候鸟或旅鸟。栖息于森林、林缘、农地。活动范围大，利用多种生境。</w:t>
            </w:r>
          </w:p>
        </w:tc>
        <w:tc>
          <w:tcPr>
            <w:tcW w:w="400" w:type="pct"/>
            <w:tcBorders>
              <w:tl2br w:val="nil"/>
              <w:tr2bl w:val="nil"/>
            </w:tcBorders>
            <w:vAlign w:val="center"/>
          </w:tcPr>
          <w:p w14:paraId="68A8560E">
            <w:pPr>
              <w:pStyle w:val="34"/>
              <w:tabs>
                <w:tab w:val="left" w:pos="1389"/>
              </w:tabs>
              <w:bidi w:val="0"/>
              <w:rPr>
                <w:color w:val="auto"/>
              </w:rPr>
            </w:pPr>
            <w:r>
              <w:rPr>
                <w:rFonts w:hint="eastAsia"/>
                <w:color w:val="auto"/>
              </w:rPr>
              <w:t>可能出现</w:t>
            </w:r>
          </w:p>
        </w:tc>
        <w:tc>
          <w:tcPr>
            <w:tcW w:w="410" w:type="pct"/>
            <w:tcBorders>
              <w:tl2br w:val="nil"/>
              <w:tr2bl w:val="nil"/>
            </w:tcBorders>
            <w:noWrap/>
            <w:vAlign w:val="center"/>
          </w:tcPr>
          <w:p w14:paraId="1CFA4070">
            <w:pPr>
              <w:pStyle w:val="34"/>
              <w:tabs>
                <w:tab w:val="left" w:pos="1389"/>
              </w:tabs>
              <w:bidi w:val="0"/>
              <w:rPr>
                <w:color w:val="auto"/>
              </w:rPr>
            </w:pPr>
            <w:r>
              <w:rPr>
                <w:rFonts w:hint="eastAsia"/>
                <w:color w:val="auto"/>
              </w:rPr>
              <w:t>观察</w:t>
            </w:r>
          </w:p>
        </w:tc>
      </w:tr>
      <w:tr w14:paraId="1E52AD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57" w:type="pct"/>
            <w:tcBorders>
              <w:tl2br w:val="nil"/>
              <w:tr2bl w:val="nil"/>
            </w:tcBorders>
            <w:noWrap/>
            <w:vAlign w:val="center"/>
          </w:tcPr>
          <w:p w14:paraId="19268F53">
            <w:pPr>
              <w:pStyle w:val="34"/>
              <w:tabs>
                <w:tab w:val="left" w:pos="1389"/>
              </w:tabs>
              <w:bidi w:val="0"/>
              <w:rPr>
                <w:color w:val="auto"/>
              </w:rPr>
            </w:pPr>
            <w:r>
              <w:rPr>
                <w:color w:val="auto"/>
              </w:rPr>
              <w:t>7</w:t>
            </w:r>
          </w:p>
        </w:tc>
        <w:tc>
          <w:tcPr>
            <w:tcW w:w="532" w:type="pct"/>
            <w:tcBorders>
              <w:tl2br w:val="nil"/>
              <w:tr2bl w:val="nil"/>
            </w:tcBorders>
            <w:noWrap/>
            <w:vAlign w:val="center"/>
          </w:tcPr>
          <w:p w14:paraId="77553233">
            <w:pPr>
              <w:pStyle w:val="34"/>
              <w:tabs>
                <w:tab w:val="left" w:pos="1389"/>
              </w:tabs>
              <w:bidi w:val="0"/>
              <w:rPr>
                <w:color w:val="auto"/>
              </w:rPr>
            </w:pPr>
            <w:r>
              <w:rPr>
                <w:rFonts w:hint="eastAsia"/>
                <w:color w:val="auto"/>
              </w:rPr>
              <w:t>红隼</w:t>
            </w:r>
          </w:p>
        </w:tc>
        <w:tc>
          <w:tcPr>
            <w:tcW w:w="799" w:type="pct"/>
            <w:tcBorders>
              <w:tl2br w:val="nil"/>
              <w:tr2bl w:val="nil"/>
            </w:tcBorders>
            <w:noWrap/>
            <w:vAlign w:val="center"/>
          </w:tcPr>
          <w:p w14:paraId="1A73C092">
            <w:pPr>
              <w:pStyle w:val="34"/>
              <w:tabs>
                <w:tab w:val="left" w:pos="1389"/>
              </w:tabs>
              <w:bidi w:val="0"/>
              <w:rPr>
                <w:i/>
                <w:iCs/>
                <w:color w:val="auto"/>
              </w:rPr>
            </w:pPr>
            <w:r>
              <w:rPr>
                <w:i/>
                <w:iCs/>
                <w:color w:val="auto"/>
              </w:rPr>
              <w:t>Falcotinnunculus</w:t>
            </w:r>
          </w:p>
        </w:tc>
        <w:tc>
          <w:tcPr>
            <w:tcW w:w="299" w:type="pct"/>
            <w:tcBorders>
              <w:tl2br w:val="nil"/>
              <w:tr2bl w:val="nil"/>
            </w:tcBorders>
            <w:noWrap/>
            <w:vAlign w:val="center"/>
          </w:tcPr>
          <w:p w14:paraId="65AF6632">
            <w:pPr>
              <w:pStyle w:val="34"/>
              <w:tabs>
                <w:tab w:val="left" w:pos="1389"/>
              </w:tabs>
              <w:bidi w:val="0"/>
              <w:rPr>
                <w:color w:val="auto"/>
              </w:rPr>
            </w:pPr>
            <w:r>
              <w:rPr>
                <w:rFonts w:hint="eastAsia"/>
                <w:color w:val="auto"/>
              </w:rPr>
              <w:t>二级</w:t>
            </w:r>
          </w:p>
        </w:tc>
        <w:tc>
          <w:tcPr>
            <w:tcW w:w="250" w:type="pct"/>
            <w:tcBorders>
              <w:tl2br w:val="nil"/>
              <w:tr2bl w:val="nil"/>
            </w:tcBorders>
            <w:noWrap/>
            <w:vAlign w:val="center"/>
          </w:tcPr>
          <w:p w14:paraId="14F07F1B">
            <w:pPr>
              <w:pStyle w:val="34"/>
              <w:tabs>
                <w:tab w:val="left" w:pos="1389"/>
              </w:tabs>
              <w:bidi w:val="0"/>
              <w:rPr>
                <w:color w:val="auto"/>
              </w:rPr>
            </w:pPr>
            <w:r>
              <w:rPr>
                <w:rFonts w:hint="eastAsia"/>
                <w:color w:val="auto"/>
              </w:rPr>
              <w:t>LC</w:t>
            </w:r>
          </w:p>
        </w:tc>
        <w:tc>
          <w:tcPr>
            <w:tcW w:w="422" w:type="pct"/>
            <w:tcBorders>
              <w:tl2br w:val="nil"/>
              <w:tr2bl w:val="nil"/>
            </w:tcBorders>
            <w:noWrap/>
            <w:vAlign w:val="center"/>
          </w:tcPr>
          <w:p w14:paraId="6948FAB5">
            <w:pPr>
              <w:pStyle w:val="34"/>
              <w:tabs>
                <w:tab w:val="left" w:pos="1389"/>
              </w:tabs>
              <w:bidi w:val="0"/>
              <w:rPr>
                <w:color w:val="auto"/>
              </w:rPr>
            </w:pPr>
          </w:p>
        </w:tc>
        <w:tc>
          <w:tcPr>
            <w:tcW w:w="1628" w:type="pct"/>
            <w:tcBorders>
              <w:tl2br w:val="nil"/>
              <w:tr2bl w:val="nil"/>
            </w:tcBorders>
            <w:vAlign w:val="center"/>
          </w:tcPr>
          <w:p w14:paraId="2FC6F208">
            <w:pPr>
              <w:pStyle w:val="34"/>
              <w:tabs>
                <w:tab w:val="left" w:pos="1389"/>
              </w:tabs>
              <w:bidi w:val="0"/>
              <w:rPr>
                <w:color w:val="auto"/>
              </w:rPr>
            </w:pPr>
            <w:r>
              <w:rPr>
                <w:rFonts w:hint="eastAsia"/>
                <w:color w:val="auto"/>
              </w:rPr>
              <w:t>留鸟。栖息于荒山、草坡、农地、林缘。调查区各类生境均能出现。</w:t>
            </w:r>
          </w:p>
        </w:tc>
        <w:tc>
          <w:tcPr>
            <w:tcW w:w="400" w:type="pct"/>
            <w:tcBorders>
              <w:tl2br w:val="nil"/>
              <w:tr2bl w:val="nil"/>
            </w:tcBorders>
            <w:vAlign w:val="center"/>
          </w:tcPr>
          <w:p w14:paraId="7E3FF58B">
            <w:pPr>
              <w:pStyle w:val="34"/>
              <w:tabs>
                <w:tab w:val="left" w:pos="1389"/>
              </w:tabs>
              <w:bidi w:val="0"/>
              <w:rPr>
                <w:color w:val="auto"/>
              </w:rPr>
            </w:pPr>
            <w:r>
              <w:rPr>
                <w:rFonts w:hint="eastAsia"/>
                <w:color w:val="auto"/>
              </w:rPr>
              <w:t>可能出现</w:t>
            </w:r>
          </w:p>
        </w:tc>
        <w:tc>
          <w:tcPr>
            <w:tcW w:w="410" w:type="pct"/>
            <w:tcBorders>
              <w:tl2br w:val="nil"/>
              <w:tr2bl w:val="nil"/>
            </w:tcBorders>
            <w:noWrap/>
            <w:vAlign w:val="center"/>
          </w:tcPr>
          <w:p w14:paraId="76BBD120">
            <w:pPr>
              <w:pStyle w:val="34"/>
              <w:tabs>
                <w:tab w:val="left" w:pos="1389"/>
              </w:tabs>
              <w:bidi w:val="0"/>
              <w:rPr>
                <w:color w:val="auto"/>
              </w:rPr>
            </w:pPr>
            <w:r>
              <w:rPr>
                <w:rFonts w:hint="eastAsia"/>
                <w:color w:val="auto"/>
              </w:rPr>
              <w:t>观察</w:t>
            </w:r>
          </w:p>
        </w:tc>
      </w:tr>
      <w:tr w14:paraId="37B97D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57" w:type="pct"/>
            <w:tcBorders>
              <w:tl2br w:val="nil"/>
              <w:tr2bl w:val="nil"/>
            </w:tcBorders>
            <w:noWrap/>
            <w:vAlign w:val="center"/>
          </w:tcPr>
          <w:p w14:paraId="64E001E7">
            <w:pPr>
              <w:pStyle w:val="34"/>
              <w:tabs>
                <w:tab w:val="left" w:pos="1389"/>
              </w:tabs>
              <w:bidi w:val="0"/>
              <w:rPr>
                <w:color w:val="auto"/>
              </w:rPr>
            </w:pPr>
            <w:r>
              <w:rPr>
                <w:color w:val="auto"/>
              </w:rPr>
              <w:t>8</w:t>
            </w:r>
          </w:p>
        </w:tc>
        <w:tc>
          <w:tcPr>
            <w:tcW w:w="532" w:type="pct"/>
            <w:tcBorders>
              <w:tl2br w:val="nil"/>
              <w:tr2bl w:val="nil"/>
            </w:tcBorders>
            <w:noWrap/>
            <w:vAlign w:val="center"/>
          </w:tcPr>
          <w:p w14:paraId="00B5D762">
            <w:pPr>
              <w:pStyle w:val="34"/>
              <w:tabs>
                <w:tab w:val="left" w:pos="1389"/>
              </w:tabs>
              <w:bidi w:val="0"/>
              <w:rPr>
                <w:color w:val="auto"/>
              </w:rPr>
            </w:pPr>
            <w:r>
              <w:rPr>
                <w:rFonts w:hint="eastAsia"/>
                <w:color w:val="auto"/>
              </w:rPr>
              <w:t>游</w:t>
            </w:r>
            <w:r>
              <w:rPr>
                <w:color w:val="auto"/>
              </w:rPr>
              <w:t>隼</w:t>
            </w:r>
          </w:p>
        </w:tc>
        <w:tc>
          <w:tcPr>
            <w:tcW w:w="799" w:type="pct"/>
            <w:tcBorders>
              <w:tl2br w:val="nil"/>
              <w:tr2bl w:val="nil"/>
            </w:tcBorders>
            <w:noWrap/>
            <w:vAlign w:val="center"/>
          </w:tcPr>
          <w:p w14:paraId="5B14839F">
            <w:pPr>
              <w:pStyle w:val="34"/>
              <w:tabs>
                <w:tab w:val="left" w:pos="1389"/>
              </w:tabs>
              <w:bidi w:val="0"/>
              <w:rPr>
                <w:i/>
                <w:iCs/>
                <w:color w:val="auto"/>
              </w:rPr>
            </w:pPr>
            <w:r>
              <w:rPr>
                <w:i/>
                <w:iCs/>
                <w:color w:val="auto"/>
              </w:rPr>
              <w:t>Falco</w:t>
            </w:r>
            <w:r>
              <w:rPr>
                <w:rFonts w:hint="eastAsia"/>
                <w:i/>
                <w:iCs/>
                <w:color w:val="auto"/>
              </w:rPr>
              <w:t>peregrinus</w:t>
            </w:r>
          </w:p>
        </w:tc>
        <w:tc>
          <w:tcPr>
            <w:tcW w:w="299" w:type="pct"/>
            <w:tcBorders>
              <w:tl2br w:val="nil"/>
              <w:tr2bl w:val="nil"/>
            </w:tcBorders>
            <w:noWrap/>
            <w:vAlign w:val="center"/>
          </w:tcPr>
          <w:p w14:paraId="3D0A4D5E">
            <w:pPr>
              <w:pStyle w:val="34"/>
              <w:tabs>
                <w:tab w:val="left" w:pos="1389"/>
              </w:tabs>
              <w:bidi w:val="0"/>
              <w:rPr>
                <w:color w:val="auto"/>
              </w:rPr>
            </w:pPr>
            <w:r>
              <w:rPr>
                <w:rFonts w:hint="eastAsia"/>
                <w:color w:val="auto"/>
              </w:rPr>
              <w:t>二级</w:t>
            </w:r>
          </w:p>
        </w:tc>
        <w:tc>
          <w:tcPr>
            <w:tcW w:w="250" w:type="pct"/>
            <w:tcBorders>
              <w:tl2br w:val="nil"/>
              <w:tr2bl w:val="nil"/>
            </w:tcBorders>
            <w:noWrap/>
            <w:vAlign w:val="center"/>
          </w:tcPr>
          <w:p w14:paraId="4F46F5F3">
            <w:pPr>
              <w:pStyle w:val="34"/>
              <w:tabs>
                <w:tab w:val="left" w:pos="1389"/>
              </w:tabs>
              <w:bidi w:val="0"/>
              <w:rPr>
                <w:color w:val="auto"/>
              </w:rPr>
            </w:pPr>
            <w:r>
              <w:rPr>
                <w:rFonts w:hint="eastAsia"/>
                <w:color w:val="auto"/>
              </w:rPr>
              <w:t>NT</w:t>
            </w:r>
          </w:p>
        </w:tc>
        <w:tc>
          <w:tcPr>
            <w:tcW w:w="422" w:type="pct"/>
            <w:tcBorders>
              <w:tl2br w:val="nil"/>
              <w:tr2bl w:val="nil"/>
            </w:tcBorders>
            <w:noWrap/>
            <w:vAlign w:val="center"/>
          </w:tcPr>
          <w:p w14:paraId="70564D35">
            <w:pPr>
              <w:pStyle w:val="34"/>
              <w:tabs>
                <w:tab w:val="left" w:pos="1389"/>
              </w:tabs>
              <w:bidi w:val="0"/>
              <w:rPr>
                <w:color w:val="auto"/>
              </w:rPr>
            </w:pPr>
          </w:p>
        </w:tc>
        <w:tc>
          <w:tcPr>
            <w:tcW w:w="1628" w:type="pct"/>
            <w:tcBorders>
              <w:tl2br w:val="nil"/>
              <w:tr2bl w:val="nil"/>
            </w:tcBorders>
            <w:vAlign w:val="center"/>
          </w:tcPr>
          <w:p w14:paraId="39DCD39B">
            <w:pPr>
              <w:pStyle w:val="34"/>
              <w:tabs>
                <w:tab w:val="left" w:pos="1389"/>
              </w:tabs>
              <w:bidi w:val="0"/>
              <w:rPr>
                <w:color w:val="auto"/>
              </w:rPr>
            </w:pPr>
            <w:r>
              <w:rPr>
                <w:rFonts w:hint="eastAsia"/>
                <w:color w:val="auto"/>
              </w:rPr>
              <w:t>留鸟。数量稀少，在调查区各类生境均有可能出现。</w:t>
            </w:r>
          </w:p>
        </w:tc>
        <w:tc>
          <w:tcPr>
            <w:tcW w:w="400" w:type="pct"/>
            <w:tcBorders>
              <w:tl2br w:val="nil"/>
              <w:tr2bl w:val="nil"/>
            </w:tcBorders>
            <w:vAlign w:val="center"/>
          </w:tcPr>
          <w:p w14:paraId="67AEA3C5">
            <w:pPr>
              <w:pStyle w:val="34"/>
              <w:tabs>
                <w:tab w:val="left" w:pos="1389"/>
              </w:tabs>
              <w:bidi w:val="0"/>
              <w:rPr>
                <w:color w:val="auto"/>
              </w:rPr>
            </w:pPr>
            <w:r>
              <w:rPr>
                <w:rFonts w:hint="eastAsia"/>
                <w:color w:val="auto"/>
              </w:rPr>
              <w:t>可能出现</w:t>
            </w:r>
          </w:p>
        </w:tc>
        <w:tc>
          <w:tcPr>
            <w:tcW w:w="410" w:type="pct"/>
            <w:tcBorders>
              <w:tl2br w:val="nil"/>
              <w:tr2bl w:val="nil"/>
            </w:tcBorders>
            <w:noWrap/>
            <w:vAlign w:val="center"/>
          </w:tcPr>
          <w:p w14:paraId="31CD9AD4">
            <w:pPr>
              <w:pStyle w:val="34"/>
              <w:tabs>
                <w:tab w:val="left" w:pos="1389"/>
              </w:tabs>
              <w:bidi w:val="0"/>
              <w:rPr>
                <w:color w:val="auto"/>
              </w:rPr>
            </w:pPr>
            <w:r>
              <w:rPr>
                <w:rFonts w:hint="eastAsia"/>
                <w:color w:val="auto"/>
              </w:rPr>
              <w:t>观察</w:t>
            </w:r>
          </w:p>
        </w:tc>
      </w:tr>
      <w:tr w14:paraId="09A1964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57" w:type="pct"/>
            <w:tcBorders>
              <w:tl2br w:val="nil"/>
              <w:tr2bl w:val="nil"/>
            </w:tcBorders>
            <w:noWrap/>
            <w:vAlign w:val="center"/>
          </w:tcPr>
          <w:p w14:paraId="621CD414">
            <w:pPr>
              <w:pStyle w:val="34"/>
              <w:tabs>
                <w:tab w:val="left" w:pos="1389"/>
              </w:tabs>
              <w:bidi w:val="0"/>
              <w:rPr>
                <w:color w:val="auto"/>
              </w:rPr>
            </w:pPr>
            <w:r>
              <w:rPr>
                <w:color w:val="auto"/>
              </w:rPr>
              <w:t>9</w:t>
            </w:r>
          </w:p>
        </w:tc>
        <w:tc>
          <w:tcPr>
            <w:tcW w:w="532" w:type="pct"/>
            <w:tcBorders>
              <w:tl2br w:val="nil"/>
              <w:tr2bl w:val="nil"/>
            </w:tcBorders>
            <w:noWrap/>
            <w:vAlign w:val="center"/>
          </w:tcPr>
          <w:p w14:paraId="0700E799">
            <w:pPr>
              <w:pStyle w:val="34"/>
              <w:tabs>
                <w:tab w:val="left" w:pos="1389"/>
              </w:tabs>
              <w:bidi w:val="0"/>
              <w:rPr>
                <w:color w:val="auto"/>
              </w:rPr>
            </w:pPr>
            <w:r>
              <w:rPr>
                <w:rFonts w:hint="eastAsia"/>
                <w:color w:val="auto"/>
              </w:rPr>
              <w:t>红嘴相思鸟</w:t>
            </w:r>
          </w:p>
        </w:tc>
        <w:tc>
          <w:tcPr>
            <w:tcW w:w="799" w:type="pct"/>
            <w:tcBorders>
              <w:tl2br w:val="nil"/>
              <w:tr2bl w:val="nil"/>
            </w:tcBorders>
            <w:noWrap/>
            <w:vAlign w:val="center"/>
          </w:tcPr>
          <w:p w14:paraId="48C19460">
            <w:pPr>
              <w:pStyle w:val="34"/>
              <w:tabs>
                <w:tab w:val="left" w:pos="1389"/>
              </w:tabs>
              <w:bidi w:val="0"/>
              <w:rPr>
                <w:i/>
                <w:iCs/>
                <w:color w:val="auto"/>
              </w:rPr>
            </w:pPr>
            <w:r>
              <w:rPr>
                <w:i/>
                <w:iCs/>
                <w:color w:val="auto"/>
              </w:rPr>
              <w:t>Leiothrixlutea</w:t>
            </w:r>
          </w:p>
        </w:tc>
        <w:tc>
          <w:tcPr>
            <w:tcW w:w="299" w:type="pct"/>
            <w:tcBorders>
              <w:tl2br w:val="nil"/>
              <w:tr2bl w:val="nil"/>
            </w:tcBorders>
            <w:noWrap/>
            <w:vAlign w:val="center"/>
          </w:tcPr>
          <w:p w14:paraId="4565FEC4">
            <w:pPr>
              <w:pStyle w:val="34"/>
              <w:tabs>
                <w:tab w:val="left" w:pos="1389"/>
              </w:tabs>
              <w:bidi w:val="0"/>
              <w:rPr>
                <w:color w:val="auto"/>
              </w:rPr>
            </w:pPr>
            <w:r>
              <w:rPr>
                <w:rFonts w:hint="eastAsia"/>
                <w:color w:val="auto"/>
              </w:rPr>
              <w:t>二级</w:t>
            </w:r>
          </w:p>
        </w:tc>
        <w:tc>
          <w:tcPr>
            <w:tcW w:w="250" w:type="pct"/>
            <w:tcBorders>
              <w:tl2br w:val="nil"/>
              <w:tr2bl w:val="nil"/>
            </w:tcBorders>
            <w:noWrap/>
            <w:vAlign w:val="center"/>
          </w:tcPr>
          <w:p w14:paraId="74EB8183">
            <w:pPr>
              <w:pStyle w:val="34"/>
              <w:tabs>
                <w:tab w:val="left" w:pos="1389"/>
              </w:tabs>
              <w:bidi w:val="0"/>
              <w:rPr>
                <w:color w:val="auto"/>
              </w:rPr>
            </w:pPr>
          </w:p>
        </w:tc>
        <w:tc>
          <w:tcPr>
            <w:tcW w:w="422" w:type="pct"/>
            <w:tcBorders>
              <w:tl2br w:val="nil"/>
              <w:tr2bl w:val="nil"/>
            </w:tcBorders>
            <w:noWrap/>
            <w:vAlign w:val="center"/>
          </w:tcPr>
          <w:p w14:paraId="09D47667">
            <w:pPr>
              <w:pStyle w:val="34"/>
              <w:tabs>
                <w:tab w:val="left" w:pos="1389"/>
              </w:tabs>
              <w:bidi w:val="0"/>
              <w:rPr>
                <w:color w:val="auto"/>
              </w:rPr>
            </w:pPr>
          </w:p>
        </w:tc>
        <w:tc>
          <w:tcPr>
            <w:tcW w:w="1628" w:type="pct"/>
            <w:tcBorders>
              <w:tl2br w:val="nil"/>
              <w:tr2bl w:val="nil"/>
            </w:tcBorders>
            <w:vAlign w:val="center"/>
          </w:tcPr>
          <w:p w14:paraId="36CF11FA">
            <w:pPr>
              <w:pStyle w:val="34"/>
              <w:tabs>
                <w:tab w:val="left" w:pos="1389"/>
              </w:tabs>
              <w:bidi w:val="0"/>
              <w:rPr>
                <w:color w:val="auto"/>
              </w:rPr>
            </w:pPr>
            <w:r>
              <w:rPr>
                <w:rFonts w:hint="eastAsia"/>
                <w:color w:val="auto"/>
              </w:rPr>
              <w:t>留鸟。主要活动于森林林下、灌丛生境。</w:t>
            </w:r>
          </w:p>
        </w:tc>
        <w:tc>
          <w:tcPr>
            <w:tcW w:w="400" w:type="pct"/>
            <w:tcBorders>
              <w:tl2br w:val="nil"/>
              <w:tr2bl w:val="nil"/>
            </w:tcBorders>
            <w:vAlign w:val="center"/>
          </w:tcPr>
          <w:p w14:paraId="40F18561">
            <w:pPr>
              <w:pStyle w:val="34"/>
              <w:tabs>
                <w:tab w:val="left" w:pos="1389"/>
              </w:tabs>
              <w:bidi w:val="0"/>
              <w:rPr>
                <w:color w:val="auto"/>
              </w:rPr>
            </w:pPr>
            <w:r>
              <w:rPr>
                <w:rFonts w:hint="eastAsia"/>
                <w:color w:val="auto"/>
              </w:rPr>
              <w:t>可能出现</w:t>
            </w:r>
          </w:p>
        </w:tc>
        <w:tc>
          <w:tcPr>
            <w:tcW w:w="410" w:type="pct"/>
            <w:tcBorders>
              <w:tl2br w:val="nil"/>
              <w:tr2bl w:val="nil"/>
            </w:tcBorders>
            <w:noWrap/>
            <w:vAlign w:val="center"/>
          </w:tcPr>
          <w:p w14:paraId="0C96A0C0">
            <w:pPr>
              <w:pStyle w:val="34"/>
              <w:tabs>
                <w:tab w:val="left" w:pos="1389"/>
              </w:tabs>
              <w:bidi w:val="0"/>
              <w:rPr>
                <w:color w:val="auto"/>
              </w:rPr>
            </w:pPr>
            <w:r>
              <w:rPr>
                <w:rFonts w:hint="eastAsia"/>
                <w:color w:val="auto"/>
              </w:rPr>
              <w:t>观察</w:t>
            </w:r>
          </w:p>
        </w:tc>
      </w:tr>
      <w:tr w14:paraId="1A43EC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80" w:hRule="atLeast"/>
          <w:jc w:val="center"/>
        </w:trPr>
        <w:tc>
          <w:tcPr>
            <w:tcW w:w="257" w:type="pct"/>
            <w:tcBorders>
              <w:tl2br w:val="nil"/>
              <w:tr2bl w:val="nil"/>
            </w:tcBorders>
            <w:noWrap/>
            <w:vAlign w:val="center"/>
          </w:tcPr>
          <w:p w14:paraId="170FFCCA">
            <w:pPr>
              <w:pStyle w:val="34"/>
              <w:tabs>
                <w:tab w:val="left" w:pos="1389"/>
              </w:tabs>
              <w:bidi w:val="0"/>
              <w:rPr>
                <w:color w:val="auto"/>
              </w:rPr>
            </w:pPr>
            <w:r>
              <w:rPr>
                <w:color w:val="auto"/>
              </w:rPr>
              <w:t>10</w:t>
            </w:r>
          </w:p>
        </w:tc>
        <w:tc>
          <w:tcPr>
            <w:tcW w:w="532" w:type="pct"/>
            <w:tcBorders>
              <w:tl2br w:val="nil"/>
              <w:tr2bl w:val="nil"/>
            </w:tcBorders>
            <w:noWrap/>
            <w:vAlign w:val="center"/>
          </w:tcPr>
          <w:p w14:paraId="7E682252">
            <w:pPr>
              <w:pStyle w:val="34"/>
              <w:tabs>
                <w:tab w:val="left" w:pos="1389"/>
              </w:tabs>
              <w:bidi w:val="0"/>
              <w:rPr>
                <w:color w:val="auto"/>
              </w:rPr>
            </w:pPr>
            <w:r>
              <w:rPr>
                <w:color w:val="auto"/>
              </w:rPr>
              <w:t>白领</w:t>
            </w:r>
          </w:p>
          <w:p w14:paraId="5B618BAD">
            <w:pPr>
              <w:pStyle w:val="34"/>
              <w:tabs>
                <w:tab w:val="left" w:pos="1389"/>
              </w:tabs>
              <w:bidi w:val="0"/>
              <w:rPr>
                <w:color w:val="auto"/>
              </w:rPr>
            </w:pPr>
            <w:r>
              <w:rPr>
                <w:color w:val="auto"/>
              </w:rPr>
              <w:t>凤鹛</w:t>
            </w:r>
          </w:p>
        </w:tc>
        <w:tc>
          <w:tcPr>
            <w:tcW w:w="799" w:type="pct"/>
            <w:tcBorders>
              <w:tl2br w:val="nil"/>
              <w:tr2bl w:val="nil"/>
            </w:tcBorders>
            <w:noWrap/>
            <w:vAlign w:val="center"/>
          </w:tcPr>
          <w:p w14:paraId="483851D3">
            <w:pPr>
              <w:pStyle w:val="34"/>
              <w:tabs>
                <w:tab w:val="left" w:pos="1389"/>
              </w:tabs>
              <w:bidi w:val="0"/>
              <w:rPr>
                <w:i/>
                <w:iCs/>
                <w:color w:val="auto"/>
              </w:rPr>
            </w:pPr>
            <w:r>
              <w:rPr>
                <w:i/>
                <w:iCs/>
                <w:color w:val="auto"/>
              </w:rPr>
              <w:t>Parayuhinadiademata</w:t>
            </w:r>
          </w:p>
        </w:tc>
        <w:tc>
          <w:tcPr>
            <w:tcW w:w="299" w:type="pct"/>
            <w:tcBorders>
              <w:tl2br w:val="nil"/>
              <w:tr2bl w:val="nil"/>
            </w:tcBorders>
            <w:noWrap/>
            <w:vAlign w:val="center"/>
          </w:tcPr>
          <w:p w14:paraId="33A7EDA9">
            <w:pPr>
              <w:pStyle w:val="34"/>
              <w:tabs>
                <w:tab w:val="left" w:pos="1389"/>
              </w:tabs>
              <w:bidi w:val="0"/>
              <w:rPr>
                <w:color w:val="auto"/>
              </w:rPr>
            </w:pPr>
          </w:p>
        </w:tc>
        <w:tc>
          <w:tcPr>
            <w:tcW w:w="250" w:type="pct"/>
            <w:tcBorders>
              <w:tl2br w:val="nil"/>
              <w:tr2bl w:val="nil"/>
            </w:tcBorders>
            <w:noWrap/>
            <w:vAlign w:val="center"/>
          </w:tcPr>
          <w:p w14:paraId="4C553659">
            <w:pPr>
              <w:pStyle w:val="34"/>
              <w:tabs>
                <w:tab w:val="left" w:pos="1389"/>
              </w:tabs>
              <w:bidi w:val="0"/>
              <w:rPr>
                <w:color w:val="auto"/>
              </w:rPr>
            </w:pPr>
          </w:p>
        </w:tc>
        <w:tc>
          <w:tcPr>
            <w:tcW w:w="422" w:type="pct"/>
            <w:tcBorders>
              <w:tl2br w:val="nil"/>
              <w:tr2bl w:val="nil"/>
            </w:tcBorders>
            <w:noWrap/>
            <w:vAlign w:val="center"/>
          </w:tcPr>
          <w:p w14:paraId="7C12D8E2">
            <w:pPr>
              <w:pStyle w:val="34"/>
              <w:tabs>
                <w:tab w:val="left" w:pos="1389"/>
              </w:tabs>
              <w:bidi w:val="0"/>
              <w:rPr>
                <w:color w:val="auto"/>
              </w:rPr>
            </w:pPr>
            <w:r>
              <w:rPr>
                <w:rFonts w:hint="eastAsia"/>
                <w:color w:val="auto"/>
              </w:rPr>
              <w:t>中国特有</w:t>
            </w:r>
          </w:p>
        </w:tc>
        <w:tc>
          <w:tcPr>
            <w:tcW w:w="1628" w:type="pct"/>
            <w:tcBorders>
              <w:tl2br w:val="nil"/>
              <w:tr2bl w:val="nil"/>
            </w:tcBorders>
            <w:vAlign w:val="center"/>
          </w:tcPr>
          <w:p w14:paraId="7A174D29">
            <w:pPr>
              <w:pStyle w:val="34"/>
              <w:tabs>
                <w:tab w:val="left" w:pos="1389"/>
              </w:tabs>
              <w:bidi w:val="0"/>
              <w:rPr>
                <w:color w:val="auto"/>
              </w:rPr>
            </w:pPr>
            <w:r>
              <w:rPr>
                <w:rFonts w:hint="eastAsia"/>
                <w:color w:val="auto"/>
              </w:rPr>
              <w:t>留鸟。主要活动于森林、林缘、灌丛生境。</w:t>
            </w:r>
          </w:p>
        </w:tc>
        <w:tc>
          <w:tcPr>
            <w:tcW w:w="400" w:type="pct"/>
            <w:tcBorders>
              <w:tl2br w:val="nil"/>
              <w:tr2bl w:val="nil"/>
            </w:tcBorders>
            <w:vAlign w:val="center"/>
          </w:tcPr>
          <w:p w14:paraId="6AF80FDC">
            <w:pPr>
              <w:pStyle w:val="34"/>
              <w:tabs>
                <w:tab w:val="left" w:pos="1389"/>
              </w:tabs>
              <w:bidi w:val="0"/>
              <w:rPr>
                <w:color w:val="auto"/>
              </w:rPr>
            </w:pPr>
            <w:r>
              <w:rPr>
                <w:rFonts w:hint="eastAsia"/>
                <w:color w:val="auto"/>
              </w:rPr>
              <w:t>可能出现</w:t>
            </w:r>
          </w:p>
        </w:tc>
        <w:tc>
          <w:tcPr>
            <w:tcW w:w="410" w:type="pct"/>
            <w:tcBorders>
              <w:tl2br w:val="nil"/>
              <w:tr2bl w:val="nil"/>
            </w:tcBorders>
            <w:noWrap/>
            <w:vAlign w:val="center"/>
          </w:tcPr>
          <w:p w14:paraId="49854F67">
            <w:pPr>
              <w:pStyle w:val="34"/>
              <w:tabs>
                <w:tab w:val="left" w:pos="1389"/>
              </w:tabs>
              <w:bidi w:val="0"/>
              <w:rPr>
                <w:color w:val="auto"/>
              </w:rPr>
            </w:pPr>
            <w:r>
              <w:rPr>
                <w:rFonts w:hint="eastAsia"/>
                <w:color w:val="auto"/>
              </w:rPr>
              <w:t>观察</w:t>
            </w:r>
          </w:p>
        </w:tc>
      </w:tr>
    </w:tbl>
    <w:p w14:paraId="78EE4D87">
      <w:pPr>
        <w:pStyle w:val="34"/>
        <w:tabs>
          <w:tab w:val="left" w:pos="1389"/>
        </w:tabs>
        <w:bidi w:val="0"/>
        <w:jc w:val="left"/>
        <w:rPr>
          <w:rFonts w:hint="eastAsia"/>
          <w:color w:val="auto"/>
          <w:lang w:val="en-US" w:eastAsia="zh-CN"/>
        </w:rPr>
      </w:pPr>
      <w:r>
        <w:rPr>
          <w:rFonts w:hint="eastAsia"/>
          <w:color w:val="auto"/>
          <w:lang w:val="en-US" w:eastAsia="zh-CN"/>
        </w:rPr>
        <w:t>说明：保护：二级=国家二级重点保护鸟类。受胁：LC=无危，NT=近危。</w:t>
      </w:r>
    </w:p>
    <w:p w14:paraId="644735CD">
      <w:pPr>
        <w:pStyle w:val="41"/>
        <w:bidi w:val="0"/>
        <w:rPr>
          <w:rFonts w:hint="eastAsia"/>
          <w:color w:val="auto"/>
          <w:lang w:val="en-US" w:eastAsia="zh-CN"/>
        </w:rPr>
      </w:pPr>
      <w:r>
        <w:rPr>
          <w:rFonts w:hint="eastAsia"/>
          <w:color w:val="auto"/>
          <w:lang w:val="en-US" w:eastAsia="zh-CN"/>
        </w:rPr>
        <w:t>（4）鸟类集中迁徙道</w:t>
      </w:r>
    </w:p>
    <w:p w14:paraId="335388EF">
      <w:pPr>
        <w:pStyle w:val="41"/>
        <w:bidi w:val="0"/>
        <w:rPr>
          <w:rFonts w:hint="eastAsia"/>
          <w:color w:val="auto"/>
          <w:lang w:val="en-US" w:eastAsia="zh-CN"/>
        </w:rPr>
      </w:pPr>
      <w:r>
        <w:rPr>
          <w:rFonts w:hint="eastAsia"/>
          <w:color w:val="auto"/>
          <w:lang w:val="en-US" w:eastAsia="zh-CN"/>
        </w:rPr>
        <w:t>查阅云南候鸟迁徙研究的相关文献，未有文献记录在宣威县境内发现候鸟集中迁徙通道。访问调查受访村民表示当地秋季夜间无人上山用火光或灯光诱捕鸟类。秋季夜间未发生鸟类飞入村民家中的情形。附近没有秋季捕捉老鹰的地点。</w:t>
      </w:r>
    </w:p>
    <w:p w14:paraId="74862EC9">
      <w:pPr>
        <w:pStyle w:val="41"/>
        <w:bidi w:val="0"/>
        <w:rPr>
          <w:rFonts w:hint="eastAsia"/>
          <w:color w:val="auto"/>
          <w:lang w:val="en-US" w:eastAsia="zh-CN"/>
        </w:rPr>
      </w:pPr>
      <w:r>
        <w:rPr>
          <w:rFonts w:hint="eastAsia"/>
          <w:color w:val="auto"/>
          <w:lang w:val="en-US" w:eastAsia="zh-CN"/>
        </w:rPr>
        <w:t>综合判断，调查区域基本不会出现秋季夜间候鸟集中迁徙的现象，不是候鸟集中迁徙通道。</w:t>
      </w:r>
    </w:p>
    <w:p w14:paraId="2BDCA53A">
      <w:pPr>
        <w:spacing w:line="360" w:lineRule="auto"/>
        <w:ind w:left="0" w:leftChars="0" w:firstLine="0" w:firstLineChars="0"/>
        <w:jc w:val="left"/>
        <w:rPr>
          <w:rFonts w:hint="eastAsia" w:ascii="Times New Roman" w:hAnsi="Times New Roman" w:eastAsia="宋体" w:cs="Times New Roman"/>
          <w:b/>
          <w:color w:val="auto"/>
          <w:sz w:val="21"/>
          <w:szCs w:val="21"/>
          <w:highlight w:val="none"/>
        </w:rPr>
      </w:pPr>
      <w:r>
        <w:rPr>
          <w:color w:val="auto"/>
          <w:sz w:val="24"/>
          <w:highlight w:val="none"/>
        </w:rPr>
        <mc:AlternateContent>
          <mc:Choice Requires="wps">
            <w:drawing>
              <wp:anchor distT="0" distB="0" distL="114300" distR="114300" simplePos="0" relativeHeight="251679744" behindDoc="0" locked="0" layoutInCell="1" allowOverlap="1">
                <wp:simplePos x="0" y="0"/>
                <wp:positionH relativeFrom="column">
                  <wp:posOffset>3185160</wp:posOffset>
                </wp:positionH>
                <wp:positionV relativeFrom="paragraph">
                  <wp:posOffset>1131570</wp:posOffset>
                </wp:positionV>
                <wp:extent cx="534035" cy="314325"/>
                <wp:effectExtent l="279400" t="6350" r="24765" b="117475"/>
                <wp:wrapNone/>
                <wp:docPr id="73" name="圆角矩形标注 73"/>
                <wp:cNvGraphicFramePr/>
                <a:graphic xmlns:a="http://schemas.openxmlformats.org/drawingml/2006/main">
                  <a:graphicData uri="http://schemas.microsoft.com/office/word/2010/wordprocessingShape">
                    <wps:wsp>
                      <wps:cNvSpPr/>
                      <wps:spPr>
                        <a:xfrm>
                          <a:off x="0" y="0"/>
                          <a:ext cx="534035" cy="314325"/>
                        </a:xfrm>
                        <a:prstGeom prst="wedgeRoundRectCallout">
                          <a:avLst>
                            <a:gd name="adj1" fmla="val -94506"/>
                            <a:gd name="adj2" fmla="val 75784"/>
                            <a:gd name="adj3" fmla="val 16667"/>
                          </a:avLst>
                        </a:prstGeom>
                        <a:solidFill>
                          <a:schemeClr val="bg1"/>
                        </a:solidFill>
                        <a:ln>
                          <a:solidFill>
                            <a:srgbClr val="FF0000"/>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37172126">
                            <w:pPr>
                              <w:spacing w:line="240" w:lineRule="auto"/>
                              <w:ind w:left="0" w:leftChars="0" w:firstLine="0" w:firstLineChars="0"/>
                              <w:jc w:val="both"/>
                              <w:rPr>
                                <w:rFonts w:hint="eastAsia" w:eastAsia="宋体"/>
                                <w:color w:val="000000" w:themeColor="text1"/>
                                <w:sz w:val="16"/>
                                <w:szCs w:val="16"/>
                                <w:lang w:val="en-US" w:eastAsia="zh-CN"/>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250.8pt;margin-top:89.1pt;height:24.75pt;width:42.05pt;z-index:251679744;v-text-anchor:middle;mso-width-relative:page;mso-height-relative:page;" fillcolor="#FFFFFF [3212]" filled="t" stroked="t" coordsize="21600,21600" o:gfxdata="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" adj="-9613,27169,14400">
                <v:fill on="t" focussize="0,0"/>
                <v:stroke weight="1pt" color="#FF0000 [2404]" miterlimit="8" joinstyle="miter"/>
                <v:imagedata o:title=""/>
                <o:lock v:ext="edit" aspectratio="f"/>
                <v:textbox>
                  <w:txbxContent>
                    <w:p w14:paraId="37172126">
                      <w:pPr>
                        <w:spacing w:line="240" w:lineRule="auto"/>
                        <w:ind w:left="0" w:leftChars="0" w:firstLine="0" w:firstLineChars="0"/>
                        <w:jc w:val="both"/>
                        <w:rPr>
                          <w:rFonts w:hint="eastAsia" w:eastAsia="宋体"/>
                          <w:color w:val="000000" w:themeColor="text1"/>
                          <w:sz w:val="16"/>
                          <w:szCs w:val="16"/>
                          <w:lang w:val="en-US" w:eastAsia="zh-CN"/>
                          <w14:textFill>
                            <w14:solidFill>
                              <w14:schemeClr w14:val="tx1"/>
                            </w14:solidFill>
                          </w14:textFill>
                        </w:rPr>
                      </w:pPr>
                      <w:r>
                        <w:rPr>
                          <w:rFonts w:hint="eastAsia"/>
                          <w:color w:val="000000" w:themeColor="text1"/>
                          <w:sz w:val="16"/>
                          <w:szCs w:val="16"/>
                          <w:lang w:val="en-US" w:eastAsia="zh-CN"/>
                          <w14:textFill>
                            <w14:solidFill>
                              <w14:schemeClr w14:val="tx1"/>
                            </w14:solidFill>
                          </w14:textFill>
                        </w:rPr>
                        <w:t>本项目</w:t>
                      </w:r>
                    </w:p>
                  </w:txbxContent>
                </v:textbox>
              </v:shape>
            </w:pict>
          </mc:Fallback>
        </mc:AlternateContent>
      </w:r>
      <w:r>
        <w:rPr>
          <w:rFonts w:hint="eastAsia" w:ascii="Times New Roman" w:hAnsi="Times New Roman" w:eastAsia="宋体" w:cs="Times New Roman"/>
          <w:b/>
          <w:color w:val="auto"/>
          <w:szCs w:val="21"/>
          <w:highlight w:val="none"/>
          <w:lang w:eastAsia="zh-CN"/>
        </w:rPr>
        <w:drawing>
          <wp:inline distT="0" distB="0" distL="114300" distR="114300">
            <wp:extent cx="5526405" cy="3855720"/>
            <wp:effectExtent l="0" t="0" r="17145" b="11430"/>
            <wp:docPr id="74" name="图片 74" descr="8043290b635d157fb472e630c19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8043290b635d157fb472e630c192698"/>
                    <pic:cNvPicPr>
                      <a:picLocks noChangeAspect="1"/>
                    </pic:cNvPicPr>
                  </pic:nvPicPr>
                  <pic:blipFill>
                    <a:blip r:embed="rId70"/>
                    <a:stretch>
                      <a:fillRect/>
                    </a:stretch>
                  </pic:blipFill>
                  <pic:spPr>
                    <a:xfrm>
                      <a:off x="0" y="0"/>
                      <a:ext cx="5526405" cy="3855720"/>
                    </a:xfrm>
                    <a:prstGeom prst="rect">
                      <a:avLst/>
                    </a:prstGeom>
                  </pic:spPr>
                </pic:pic>
              </a:graphicData>
            </a:graphic>
          </wp:inline>
        </w:drawing>
      </w:r>
    </w:p>
    <w:p w14:paraId="2A92F122">
      <w:pPr>
        <w:pStyle w:val="42"/>
        <w:bidi w:val="0"/>
        <w:rPr>
          <w:rFonts w:hint="eastAsia"/>
          <w:color w:val="auto"/>
        </w:rPr>
      </w:pPr>
      <w:r>
        <w:rPr>
          <w:rFonts w:hint="eastAsia"/>
          <w:color w:val="auto"/>
        </w:rPr>
        <w:t>图</w:t>
      </w:r>
      <w:r>
        <w:rPr>
          <w:rFonts w:hint="eastAsia"/>
          <w:color w:val="auto"/>
          <w:lang w:val="en-US" w:eastAsia="zh-CN"/>
        </w:rPr>
        <w:t xml:space="preserve">2-1  </w:t>
      </w:r>
      <w:r>
        <w:rPr>
          <w:rFonts w:hint="eastAsia"/>
          <w:color w:val="auto"/>
        </w:rPr>
        <w:t>工程位置与云南省鸟类迁徙通道位置关系图</w:t>
      </w:r>
    </w:p>
    <w:p w14:paraId="22B72F0A">
      <w:pPr>
        <w:pStyle w:val="4"/>
        <w:bidi w:val="0"/>
        <w:rPr>
          <w:rFonts w:hint="default"/>
          <w:color w:val="auto"/>
          <w:lang w:val="en-US" w:eastAsia="zh-CN"/>
        </w:rPr>
      </w:pPr>
      <w:r>
        <w:rPr>
          <w:rFonts w:hint="eastAsia"/>
          <w:color w:val="auto"/>
          <w:lang w:val="en-US" w:eastAsia="zh-CN"/>
        </w:rPr>
        <w:t>2.3.8小结</w:t>
      </w:r>
    </w:p>
    <w:p w14:paraId="42C4774E">
      <w:pPr>
        <w:pStyle w:val="41"/>
        <w:bidi w:val="0"/>
        <w:rPr>
          <w:rFonts w:hint="default"/>
          <w:color w:val="auto"/>
          <w:lang w:val="en-US" w:eastAsia="zh-CN"/>
        </w:rPr>
      </w:pPr>
      <w:r>
        <w:rPr>
          <w:rFonts w:hint="eastAsia"/>
          <w:color w:val="auto"/>
          <w:lang w:val="en-US" w:eastAsia="zh-CN"/>
        </w:rPr>
        <w:t>项目区域内的动物以宣威一带常见物种为主，区域海拔均在2000m以上且气候干燥，区域内两栖类和爬行类动物较为少见，项目区邻近村庄，且有乡村道路经过，人类活动较为频繁，哺乳动物以常见种类为主，仅有1种国家二级保护动物豹猫，在云南省广泛分布。区域内无鸟类集中迁徙通道，依据资料和现场调查结果分布有88种鸟类，国家二级保护鸟类9种，特有种1种。</w:t>
      </w:r>
    </w:p>
    <w:p w14:paraId="6F27D578">
      <w:pPr>
        <w:pStyle w:val="41"/>
        <w:bidi w:val="0"/>
        <w:rPr>
          <w:rFonts w:hint="default"/>
          <w:color w:val="auto"/>
          <w:lang w:val="en-US" w:eastAsia="zh-CN"/>
        </w:rPr>
      </w:pPr>
      <w:r>
        <w:rPr>
          <w:rFonts w:hint="eastAsia"/>
          <w:color w:val="auto"/>
          <w:lang w:val="en-US" w:eastAsia="zh-CN"/>
        </w:rPr>
        <w:t>架空集电线路和升压站区域与风机区属同一片区，区域内动物现状情况基本一致。</w:t>
      </w:r>
    </w:p>
    <w:p w14:paraId="3573B0EA">
      <w:pPr>
        <w:pStyle w:val="3"/>
        <w:bidi w:val="0"/>
        <w:rPr>
          <w:rFonts w:hint="eastAsia"/>
          <w:color w:val="auto"/>
          <w:lang w:val="en-US" w:eastAsia="zh-CN"/>
        </w:rPr>
      </w:pPr>
      <w:bookmarkStart w:id="64" w:name="_Toc9256"/>
      <w:r>
        <w:rPr>
          <w:rFonts w:hint="eastAsia"/>
          <w:color w:val="auto"/>
          <w:lang w:val="en-US" w:eastAsia="zh-CN"/>
        </w:rPr>
        <w:t>2.4生态系统现状分析</w:t>
      </w:r>
      <w:bookmarkEnd w:id="64"/>
    </w:p>
    <w:p w14:paraId="39C54ABA">
      <w:pPr>
        <w:pStyle w:val="41"/>
        <w:bidi w:val="0"/>
        <w:rPr>
          <w:rFonts w:hint="default"/>
          <w:color w:val="auto"/>
          <w:lang w:val="en-US" w:eastAsia="zh-CN"/>
        </w:rPr>
      </w:pPr>
      <w:r>
        <w:rPr>
          <w:rFonts w:hint="eastAsia"/>
          <w:color w:val="auto"/>
          <w:lang w:val="en-US" w:eastAsia="zh-CN"/>
        </w:rPr>
        <w:t>项目架空集电线路和升压站不新增用地，做好施工期间的环境管理和保护几乎不会对评价区生态系统造成不利影响，生态系统完整性现状分析以评价区为主。</w:t>
      </w:r>
    </w:p>
    <w:p w14:paraId="60B1A6BA">
      <w:pPr>
        <w:pStyle w:val="41"/>
        <w:bidi w:val="0"/>
        <w:rPr>
          <w:color w:val="auto"/>
        </w:rPr>
      </w:pPr>
      <w:r>
        <w:rPr>
          <w:color w:val="auto"/>
        </w:rPr>
        <w:t>参照</w:t>
      </w:r>
      <w:r>
        <w:rPr>
          <w:rFonts w:hint="eastAsia"/>
          <w:color w:val="auto"/>
          <w:lang w:eastAsia="zh-CN"/>
        </w:rPr>
        <w:t>《全国生态状况调查评估技术规范-生态系统遥感解译与野外核查》（HJ1166-2021）</w:t>
      </w:r>
      <w:r>
        <w:rPr>
          <w:color w:val="auto"/>
        </w:rPr>
        <w:t>，评价区的生态系统主要为</w:t>
      </w:r>
      <w:r>
        <w:rPr>
          <w:rFonts w:hint="eastAsia"/>
          <w:color w:val="auto"/>
          <w:lang w:val="en-US" w:eastAsia="zh-CN"/>
        </w:rPr>
        <w:t>阔叶林、</w:t>
      </w:r>
      <w:r>
        <w:rPr>
          <w:color w:val="auto"/>
        </w:rPr>
        <w:t>针叶林、</w:t>
      </w:r>
      <w:r>
        <w:rPr>
          <w:rFonts w:hint="eastAsia"/>
          <w:color w:val="auto"/>
        </w:rPr>
        <w:t>稀疏灌丛</w:t>
      </w:r>
      <w:r>
        <w:rPr>
          <w:color w:val="auto"/>
        </w:rPr>
        <w:t>、草地</w:t>
      </w:r>
      <w:r>
        <w:rPr>
          <w:rFonts w:hint="eastAsia"/>
          <w:color w:val="auto"/>
          <w:lang w:eastAsia="zh-CN"/>
        </w:rPr>
        <w:t>、</w:t>
      </w:r>
      <w:r>
        <w:rPr>
          <w:rFonts w:hint="eastAsia"/>
          <w:color w:val="auto"/>
          <w:lang w:val="en-US" w:eastAsia="zh-CN"/>
        </w:rPr>
        <w:t>水库</w:t>
      </w:r>
      <w:r>
        <w:rPr>
          <w:color w:val="auto"/>
        </w:rPr>
        <w:t>等。</w:t>
      </w:r>
    </w:p>
    <w:p w14:paraId="1AC5A891">
      <w:pPr>
        <w:pStyle w:val="41"/>
        <w:bidi w:val="0"/>
        <w:rPr>
          <w:color w:val="auto"/>
        </w:rPr>
      </w:pPr>
      <w:r>
        <w:rPr>
          <w:color w:val="auto"/>
        </w:rPr>
        <w:t>区域生态系统生产力的评价指标主要是其植被生产力。植被生产力指各类土地上的植被生长量，单位用“吨/年（t/a）”表示。而各植被生产量等于各植被类型的面积乘以其单位面积的年生产量，即净生产力，后者通常用“t（干重）/a.hm2”表示。参照目前惯用的Whittaker和Likens（1975）对全球各地带主要植被类型生产量的计算方法，计算本项目评价区内各植被类型（生态系统）生产量。评价区生态系统类型详见表4-</w:t>
      </w:r>
      <w:r>
        <w:rPr>
          <w:rFonts w:hint="eastAsia"/>
          <w:color w:val="auto"/>
          <w:lang w:val="en-US" w:eastAsia="zh-CN"/>
        </w:rPr>
        <w:t>9</w:t>
      </w:r>
      <w:r>
        <w:rPr>
          <w:color w:val="auto"/>
        </w:rPr>
        <w:t>。</w:t>
      </w:r>
    </w:p>
    <w:p w14:paraId="6A87FF0E">
      <w:pPr>
        <w:pStyle w:val="42"/>
        <w:bidi w:val="0"/>
        <w:rPr>
          <w:color w:val="auto"/>
        </w:rPr>
      </w:pPr>
      <w:r>
        <w:rPr>
          <w:rFonts w:hint="eastAsia"/>
          <w:color w:val="auto"/>
        </w:rPr>
        <w:t>表</w:t>
      </w:r>
      <w:r>
        <w:rPr>
          <w:rFonts w:hint="eastAsia"/>
          <w:color w:val="auto"/>
          <w:lang w:val="en-US" w:eastAsia="zh-CN"/>
        </w:rPr>
        <w:t xml:space="preserve">2-16  </w:t>
      </w:r>
      <w:r>
        <w:rPr>
          <w:color w:val="auto"/>
        </w:rPr>
        <w:t>评价区生态系统类型一览表</w:t>
      </w:r>
    </w:p>
    <w:tbl>
      <w:tblPr>
        <w:tblStyle w:val="20"/>
        <w:tblW w:w="451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177"/>
        <w:gridCol w:w="5892"/>
      </w:tblGrid>
      <w:tr w14:paraId="09B884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tcBorders>
              <w:tl2br w:val="nil"/>
              <w:tr2bl w:val="nil"/>
            </w:tcBorders>
            <w:noWrap w:val="0"/>
            <w:vAlign w:val="center"/>
          </w:tcPr>
          <w:p w14:paraId="71804F6A">
            <w:pPr>
              <w:pStyle w:val="34"/>
              <w:tabs>
                <w:tab w:val="left" w:pos="1389"/>
              </w:tabs>
              <w:bidi w:val="0"/>
              <w:rPr>
                <w:color w:val="auto"/>
              </w:rPr>
            </w:pPr>
            <w:r>
              <w:rPr>
                <w:rFonts w:hint="eastAsia"/>
                <w:color w:val="auto"/>
              </w:rPr>
              <w:t>序号</w:t>
            </w:r>
          </w:p>
        </w:tc>
        <w:tc>
          <w:tcPr>
            <w:tcW w:w="3650" w:type="pct"/>
            <w:tcBorders>
              <w:tl2br w:val="nil"/>
              <w:tr2bl w:val="nil"/>
            </w:tcBorders>
            <w:noWrap w:val="0"/>
            <w:vAlign w:val="center"/>
          </w:tcPr>
          <w:p w14:paraId="4033943F">
            <w:pPr>
              <w:pStyle w:val="34"/>
              <w:tabs>
                <w:tab w:val="left" w:pos="1389"/>
              </w:tabs>
              <w:bidi w:val="0"/>
              <w:rPr>
                <w:rFonts w:hint="eastAsia"/>
                <w:color w:val="auto"/>
              </w:rPr>
            </w:pPr>
            <w:r>
              <w:rPr>
                <w:rFonts w:hint="eastAsia"/>
                <w:color w:val="auto"/>
              </w:rPr>
              <w:t>生态系统类型</w:t>
            </w:r>
          </w:p>
        </w:tc>
      </w:tr>
      <w:tr w14:paraId="097190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tcBorders>
              <w:tl2br w:val="nil"/>
              <w:tr2bl w:val="nil"/>
            </w:tcBorders>
            <w:noWrap w:val="0"/>
            <w:vAlign w:val="center"/>
          </w:tcPr>
          <w:p w14:paraId="54B2D606">
            <w:pPr>
              <w:pStyle w:val="34"/>
              <w:tabs>
                <w:tab w:val="left" w:pos="1389"/>
              </w:tabs>
              <w:bidi w:val="0"/>
              <w:rPr>
                <w:rFonts w:hint="eastAsia"/>
                <w:color w:val="auto"/>
              </w:rPr>
            </w:pPr>
            <w:r>
              <w:rPr>
                <w:color w:val="auto"/>
              </w:rPr>
              <w:t>1</w:t>
            </w:r>
          </w:p>
        </w:tc>
        <w:tc>
          <w:tcPr>
            <w:tcW w:w="3650" w:type="pct"/>
            <w:tcBorders>
              <w:tl2br w:val="nil"/>
              <w:tr2bl w:val="nil"/>
            </w:tcBorders>
            <w:noWrap w:val="0"/>
            <w:vAlign w:val="center"/>
          </w:tcPr>
          <w:p w14:paraId="5764EB62">
            <w:pPr>
              <w:pStyle w:val="34"/>
              <w:tabs>
                <w:tab w:val="left" w:pos="1389"/>
              </w:tabs>
              <w:bidi w:val="0"/>
              <w:rPr>
                <w:rFonts w:hint="default" w:eastAsia="宋体"/>
                <w:color w:val="auto"/>
                <w:lang w:val="en-US" w:eastAsia="zh-CN"/>
              </w:rPr>
            </w:pPr>
            <w:r>
              <w:rPr>
                <w:rFonts w:hint="eastAsia"/>
                <w:color w:val="auto"/>
                <w:lang w:val="en-US" w:eastAsia="zh-CN"/>
              </w:rPr>
              <w:t>森林生态系统</w:t>
            </w:r>
          </w:p>
        </w:tc>
      </w:tr>
      <w:tr w14:paraId="4F0604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tcBorders>
              <w:tl2br w:val="nil"/>
              <w:tr2bl w:val="nil"/>
            </w:tcBorders>
            <w:noWrap w:val="0"/>
            <w:vAlign w:val="center"/>
          </w:tcPr>
          <w:p w14:paraId="076A7B20">
            <w:pPr>
              <w:pStyle w:val="34"/>
              <w:tabs>
                <w:tab w:val="left" w:pos="1389"/>
              </w:tabs>
              <w:bidi w:val="0"/>
              <w:rPr>
                <w:rFonts w:hint="eastAsia"/>
                <w:color w:val="auto"/>
              </w:rPr>
            </w:pPr>
            <w:r>
              <w:rPr>
                <w:color w:val="auto"/>
              </w:rPr>
              <w:t>2</w:t>
            </w:r>
          </w:p>
        </w:tc>
        <w:tc>
          <w:tcPr>
            <w:tcW w:w="3650" w:type="pct"/>
            <w:tcBorders>
              <w:tl2br w:val="nil"/>
              <w:tr2bl w:val="nil"/>
            </w:tcBorders>
            <w:shd w:val="clear" w:color="auto" w:fill="auto"/>
            <w:noWrap w:val="0"/>
            <w:vAlign w:val="center"/>
          </w:tcPr>
          <w:p w14:paraId="234D26CA">
            <w:pPr>
              <w:pStyle w:val="34"/>
              <w:tabs>
                <w:tab w:val="left" w:pos="1389"/>
              </w:tabs>
              <w:bidi w:val="0"/>
              <w:ind w:right="38" w:rightChars="16"/>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灌丛</w:t>
            </w:r>
            <w:r>
              <w:rPr>
                <w:rFonts w:hint="eastAsia"/>
                <w:color w:val="auto"/>
                <w:lang w:val="en-US" w:eastAsia="zh-CN"/>
              </w:rPr>
              <w:t>生态系统</w:t>
            </w:r>
          </w:p>
        </w:tc>
      </w:tr>
      <w:tr w14:paraId="4EE585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tcBorders>
              <w:tl2br w:val="nil"/>
              <w:tr2bl w:val="nil"/>
            </w:tcBorders>
            <w:noWrap w:val="0"/>
            <w:vAlign w:val="center"/>
          </w:tcPr>
          <w:p w14:paraId="1A5D4958">
            <w:pPr>
              <w:pStyle w:val="34"/>
              <w:tabs>
                <w:tab w:val="left" w:pos="1389"/>
              </w:tabs>
              <w:bidi w:val="0"/>
              <w:rPr>
                <w:rFonts w:hint="eastAsia"/>
                <w:color w:val="auto"/>
              </w:rPr>
            </w:pPr>
            <w:r>
              <w:rPr>
                <w:color w:val="auto"/>
              </w:rPr>
              <w:t>3</w:t>
            </w:r>
          </w:p>
        </w:tc>
        <w:tc>
          <w:tcPr>
            <w:tcW w:w="3650" w:type="pct"/>
            <w:tcBorders>
              <w:tl2br w:val="nil"/>
              <w:tr2bl w:val="nil"/>
            </w:tcBorders>
            <w:shd w:val="clear" w:color="auto" w:fill="auto"/>
            <w:noWrap w:val="0"/>
            <w:vAlign w:val="center"/>
          </w:tcPr>
          <w:p w14:paraId="3236558D">
            <w:pPr>
              <w:pStyle w:val="34"/>
              <w:tabs>
                <w:tab w:val="left" w:pos="1389"/>
              </w:tabs>
              <w:bidi w:val="0"/>
              <w:ind w:right="38" w:rightChars="16"/>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草地</w:t>
            </w:r>
            <w:r>
              <w:rPr>
                <w:rFonts w:hint="eastAsia"/>
                <w:color w:val="auto"/>
                <w:lang w:val="en-US" w:eastAsia="zh-CN"/>
              </w:rPr>
              <w:t>生态系统</w:t>
            </w:r>
          </w:p>
        </w:tc>
      </w:tr>
      <w:tr w14:paraId="249394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tcBorders>
              <w:tl2br w:val="nil"/>
              <w:tr2bl w:val="nil"/>
            </w:tcBorders>
            <w:noWrap w:val="0"/>
            <w:vAlign w:val="center"/>
          </w:tcPr>
          <w:p w14:paraId="6A569151">
            <w:pPr>
              <w:pStyle w:val="34"/>
              <w:tabs>
                <w:tab w:val="left" w:pos="1389"/>
              </w:tabs>
              <w:bidi w:val="0"/>
              <w:rPr>
                <w:rFonts w:hint="eastAsia"/>
                <w:color w:val="auto"/>
                <w:lang w:eastAsia="zh-CN"/>
              </w:rPr>
            </w:pPr>
            <w:r>
              <w:rPr>
                <w:rFonts w:hint="eastAsia"/>
                <w:color w:val="auto"/>
                <w:lang w:val="en-US" w:eastAsia="zh-CN"/>
              </w:rPr>
              <w:t>4</w:t>
            </w:r>
          </w:p>
        </w:tc>
        <w:tc>
          <w:tcPr>
            <w:tcW w:w="3650" w:type="pct"/>
            <w:tcBorders>
              <w:tl2br w:val="nil"/>
              <w:tr2bl w:val="nil"/>
            </w:tcBorders>
            <w:shd w:val="clear" w:color="auto" w:fill="auto"/>
            <w:noWrap w:val="0"/>
            <w:vAlign w:val="center"/>
          </w:tcPr>
          <w:p w14:paraId="43E5B3FD">
            <w:pPr>
              <w:pStyle w:val="34"/>
              <w:tabs>
                <w:tab w:val="left" w:pos="1389"/>
              </w:tabs>
              <w:bidi w:val="0"/>
              <w:ind w:right="38" w:rightChars="16"/>
              <w:rPr>
                <w:rFonts w:hint="default" w:ascii="Times New Roman" w:hAnsi="Times New Roman" w:eastAsia="宋体" w:cs="Times New Roman"/>
                <w:color w:val="auto"/>
                <w:kern w:val="0"/>
                <w:sz w:val="21"/>
                <w:szCs w:val="20"/>
                <w:lang w:val="en-US" w:eastAsia="zh-CN" w:bidi="ar-SA"/>
              </w:rPr>
            </w:pPr>
            <w:r>
              <w:rPr>
                <w:rFonts w:hint="eastAsia" w:cs="Times New Roman"/>
                <w:color w:val="auto"/>
                <w:kern w:val="0"/>
                <w:sz w:val="21"/>
                <w:szCs w:val="20"/>
                <w:lang w:val="en-US" w:eastAsia="zh-CN" w:bidi="ar-SA"/>
              </w:rPr>
              <w:t>耕地</w:t>
            </w:r>
            <w:r>
              <w:rPr>
                <w:rFonts w:hint="eastAsia"/>
                <w:color w:val="auto"/>
                <w:lang w:val="en-US" w:eastAsia="zh-CN"/>
              </w:rPr>
              <w:t>生态系统</w:t>
            </w:r>
          </w:p>
        </w:tc>
      </w:tr>
      <w:tr w14:paraId="5F4588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tcBorders>
              <w:tl2br w:val="nil"/>
              <w:tr2bl w:val="nil"/>
            </w:tcBorders>
            <w:noWrap w:val="0"/>
            <w:vAlign w:val="center"/>
          </w:tcPr>
          <w:p w14:paraId="678F2CB5">
            <w:pPr>
              <w:pStyle w:val="34"/>
              <w:tabs>
                <w:tab w:val="left" w:pos="1389"/>
              </w:tabs>
              <w:bidi w:val="0"/>
              <w:rPr>
                <w:rFonts w:hint="eastAsia"/>
                <w:color w:val="auto"/>
                <w:lang w:eastAsia="zh-CN"/>
              </w:rPr>
            </w:pPr>
            <w:r>
              <w:rPr>
                <w:rFonts w:hint="eastAsia"/>
                <w:color w:val="auto"/>
                <w:lang w:val="en-US" w:eastAsia="zh-CN"/>
              </w:rPr>
              <w:t>5</w:t>
            </w:r>
          </w:p>
        </w:tc>
        <w:tc>
          <w:tcPr>
            <w:tcW w:w="3650" w:type="pct"/>
            <w:tcBorders>
              <w:tl2br w:val="nil"/>
              <w:tr2bl w:val="nil"/>
            </w:tcBorders>
            <w:noWrap w:val="0"/>
            <w:vAlign w:val="center"/>
          </w:tcPr>
          <w:p w14:paraId="50661D7F">
            <w:pPr>
              <w:pStyle w:val="34"/>
              <w:tabs>
                <w:tab w:val="left" w:pos="1389"/>
              </w:tabs>
              <w:bidi w:val="0"/>
              <w:rPr>
                <w:rFonts w:hint="eastAsia" w:eastAsia="宋体"/>
                <w:color w:val="auto"/>
                <w:lang w:val="en-US" w:eastAsia="zh-CN"/>
              </w:rPr>
            </w:pPr>
            <w:r>
              <w:rPr>
                <w:rFonts w:hint="eastAsia"/>
                <w:color w:val="auto"/>
                <w:lang w:val="en-US" w:eastAsia="zh-CN"/>
              </w:rPr>
              <w:t>村庄生态系统</w:t>
            </w:r>
          </w:p>
        </w:tc>
      </w:tr>
      <w:tr w14:paraId="14BA920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349" w:type="pct"/>
            <w:tcBorders>
              <w:tl2br w:val="nil"/>
              <w:tr2bl w:val="nil"/>
            </w:tcBorders>
            <w:noWrap w:val="0"/>
            <w:vAlign w:val="center"/>
          </w:tcPr>
          <w:p w14:paraId="43D729EC">
            <w:pPr>
              <w:pStyle w:val="34"/>
              <w:tabs>
                <w:tab w:val="left" w:pos="1389"/>
              </w:tabs>
              <w:bidi w:val="0"/>
              <w:rPr>
                <w:rFonts w:hint="eastAsia"/>
                <w:color w:val="auto"/>
                <w:lang w:eastAsia="zh-CN"/>
              </w:rPr>
            </w:pPr>
            <w:r>
              <w:rPr>
                <w:rFonts w:hint="eastAsia"/>
                <w:color w:val="auto"/>
                <w:lang w:val="en-US" w:eastAsia="zh-CN"/>
              </w:rPr>
              <w:t>6</w:t>
            </w:r>
          </w:p>
        </w:tc>
        <w:tc>
          <w:tcPr>
            <w:tcW w:w="3650" w:type="pct"/>
            <w:tcBorders>
              <w:tl2br w:val="nil"/>
              <w:tr2bl w:val="nil"/>
            </w:tcBorders>
            <w:noWrap w:val="0"/>
            <w:vAlign w:val="center"/>
          </w:tcPr>
          <w:p w14:paraId="09514F94">
            <w:pPr>
              <w:pStyle w:val="34"/>
              <w:tabs>
                <w:tab w:val="left" w:pos="1389"/>
              </w:tabs>
              <w:bidi w:val="0"/>
              <w:rPr>
                <w:rFonts w:hint="eastAsia" w:eastAsia="宋体"/>
                <w:color w:val="auto"/>
                <w:lang w:val="en-US" w:eastAsia="zh-CN"/>
              </w:rPr>
            </w:pPr>
            <w:r>
              <w:rPr>
                <w:rFonts w:hint="eastAsia"/>
                <w:color w:val="auto"/>
                <w:lang w:val="en-US" w:eastAsia="zh-CN"/>
              </w:rPr>
              <w:t>水域生态系统</w:t>
            </w:r>
          </w:p>
        </w:tc>
      </w:tr>
    </w:tbl>
    <w:p w14:paraId="0647B3B7">
      <w:pPr>
        <w:pStyle w:val="4"/>
        <w:bidi w:val="0"/>
        <w:rPr>
          <w:color w:val="auto"/>
        </w:rPr>
      </w:pPr>
      <w:r>
        <w:rPr>
          <w:rFonts w:hint="eastAsia"/>
          <w:color w:val="auto"/>
          <w:lang w:val="en-US" w:eastAsia="zh-CN"/>
        </w:rPr>
        <w:t>2.5</w:t>
      </w:r>
      <w:r>
        <w:rPr>
          <w:rFonts w:hint="eastAsia"/>
          <w:color w:val="auto"/>
        </w:rPr>
        <w:t>生态系统的生物量现状</w:t>
      </w:r>
    </w:p>
    <w:p w14:paraId="3B591957">
      <w:pPr>
        <w:pStyle w:val="41"/>
        <w:bidi w:val="0"/>
        <w:rPr>
          <w:color w:val="auto"/>
        </w:rPr>
      </w:pPr>
      <w:r>
        <w:rPr>
          <w:rFonts w:hint="eastAsia"/>
          <w:color w:val="auto"/>
        </w:rPr>
        <w:t>①</w:t>
      </w:r>
      <w:r>
        <w:rPr>
          <w:color w:val="auto"/>
        </w:rPr>
        <w:t>评价区生态系统的生物量</w:t>
      </w:r>
    </w:p>
    <w:p w14:paraId="2D436FC8">
      <w:pPr>
        <w:pStyle w:val="41"/>
        <w:bidi w:val="0"/>
        <w:rPr>
          <w:color w:val="auto"/>
        </w:rPr>
      </w:pPr>
      <w:r>
        <w:rPr>
          <w:color w:val="auto"/>
        </w:rPr>
        <w:t>区域生态系统生产力的评价指标主要是其植被生产力。植被生产力指各类土地上的植被生长量，单位用“吨/年（t/a）”表示。而各植被生产量等于各植被类型的面积乘以其单位面积的年生产量，即净生产力，后者通常用“t（干重）/a.hm</w:t>
      </w:r>
      <w:r>
        <w:rPr>
          <w:color w:val="auto"/>
          <w:vertAlign w:val="superscript"/>
        </w:rPr>
        <w:t>2</w:t>
      </w:r>
      <w:r>
        <w:rPr>
          <w:color w:val="auto"/>
        </w:rPr>
        <w:t>”表示。参照目前惯用的Whittaker和Likens（1975）对全球各地带主要植被类型生产量的计算方法，计算本项目评价区内各植被类型（生态系统）生产量。</w:t>
      </w:r>
    </w:p>
    <w:p w14:paraId="5BC233E5">
      <w:pPr>
        <w:pStyle w:val="41"/>
        <w:bidi w:val="0"/>
        <w:rPr>
          <w:color w:val="auto"/>
        </w:rPr>
      </w:pPr>
      <w:r>
        <w:rPr>
          <w:rFonts w:hint="eastAsia"/>
          <w:color w:val="auto"/>
        </w:rPr>
        <w:t>②</w:t>
      </w:r>
      <w:r>
        <w:rPr>
          <w:color w:val="auto"/>
        </w:rPr>
        <w:t>评价区生态系统的生物量</w:t>
      </w:r>
    </w:p>
    <w:p w14:paraId="5673B6A5">
      <w:pPr>
        <w:pStyle w:val="41"/>
        <w:bidi w:val="0"/>
        <w:rPr>
          <w:color w:val="auto"/>
        </w:rPr>
      </w:pPr>
      <w:r>
        <w:rPr>
          <w:color w:val="auto"/>
        </w:rPr>
        <w:t>计算表明，在本项目评价区总面积</w:t>
      </w:r>
      <w:r>
        <w:rPr>
          <w:rFonts w:hint="eastAsia"/>
          <w:color w:val="auto"/>
          <w:lang w:val="en-US" w:eastAsia="zh-CN"/>
        </w:rPr>
        <w:t>1135.3951</w:t>
      </w:r>
      <w:r>
        <w:rPr>
          <w:color w:val="auto"/>
        </w:rPr>
        <w:t>hm</w:t>
      </w:r>
      <w:r>
        <w:rPr>
          <w:color w:val="auto"/>
          <w:vertAlign w:val="superscript"/>
        </w:rPr>
        <w:t>2</w:t>
      </w:r>
      <w:r>
        <w:rPr>
          <w:color w:val="auto"/>
        </w:rPr>
        <w:t>范围内，其生态系统累积的生物量大约是</w:t>
      </w:r>
      <w:r>
        <w:rPr>
          <w:rFonts w:hint="eastAsia"/>
          <w:color w:val="auto"/>
          <w:lang w:val="en-US" w:eastAsia="zh-CN"/>
        </w:rPr>
        <w:t>10.876</w:t>
      </w:r>
      <w:r>
        <w:rPr>
          <w:color w:val="auto"/>
        </w:rPr>
        <w:t>万t（干重），平均每hm</w:t>
      </w:r>
      <w:r>
        <w:rPr>
          <w:color w:val="auto"/>
          <w:vertAlign w:val="superscript"/>
        </w:rPr>
        <w:t>2</w:t>
      </w:r>
      <w:r>
        <w:rPr>
          <w:color w:val="auto"/>
        </w:rPr>
        <w:t>达到</w:t>
      </w:r>
      <w:r>
        <w:rPr>
          <w:rFonts w:hint="eastAsia"/>
          <w:color w:val="auto"/>
          <w:lang w:val="en-US" w:eastAsia="zh-CN"/>
        </w:rPr>
        <w:t>95.79</w:t>
      </w:r>
      <w:r>
        <w:rPr>
          <w:color w:val="auto"/>
        </w:rPr>
        <w:t>t（干重）。其中，</w:t>
      </w:r>
      <w:r>
        <w:rPr>
          <w:rFonts w:hint="eastAsia"/>
          <w:color w:val="auto"/>
        </w:rPr>
        <w:t>针叶林</w:t>
      </w:r>
      <w:r>
        <w:rPr>
          <w:color w:val="auto"/>
        </w:rPr>
        <w:t>的生物量最多，占评价区总生物量的</w:t>
      </w:r>
      <w:r>
        <w:rPr>
          <w:rFonts w:hint="eastAsia"/>
          <w:color w:val="auto"/>
          <w:lang w:val="en-US" w:eastAsia="zh-CN"/>
        </w:rPr>
        <w:t>81.7</w:t>
      </w:r>
      <w:r>
        <w:rPr>
          <w:color w:val="auto"/>
        </w:rPr>
        <w:t>%。</w:t>
      </w:r>
    </w:p>
    <w:p w14:paraId="46706CF7">
      <w:pPr>
        <w:pStyle w:val="42"/>
        <w:bidi w:val="0"/>
        <w:rPr>
          <w:color w:val="auto"/>
        </w:rPr>
      </w:pPr>
      <w:r>
        <w:rPr>
          <w:rFonts w:hint="eastAsia"/>
          <w:color w:val="auto"/>
        </w:rPr>
        <w:t>表</w:t>
      </w:r>
      <w:r>
        <w:rPr>
          <w:rFonts w:hint="eastAsia"/>
          <w:color w:val="auto"/>
          <w:lang w:val="en-US" w:eastAsia="zh-CN"/>
        </w:rPr>
        <w:t xml:space="preserve">2-17  </w:t>
      </w:r>
      <w:r>
        <w:rPr>
          <w:rFonts w:hint="eastAsia"/>
          <w:color w:val="auto"/>
        </w:rPr>
        <w:t>评价区生态系统的生物量一览表</w:t>
      </w:r>
    </w:p>
    <w:tbl>
      <w:tblPr>
        <w:tblStyle w:val="20"/>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210"/>
        <w:gridCol w:w="1592"/>
        <w:gridCol w:w="1476"/>
        <w:gridCol w:w="1199"/>
        <w:gridCol w:w="1698"/>
        <w:gridCol w:w="1766"/>
      </w:tblGrid>
      <w:tr w14:paraId="2D8DE3F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95" w:hRule="atLeast"/>
        </w:trPr>
        <w:tc>
          <w:tcPr>
            <w:tcW w:w="677" w:type="pct"/>
            <w:tcBorders>
              <w:tl2br w:val="nil"/>
              <w:tr2bl w:val="nil"/>
            </w:tcBorders>
            <w:shd w:val="clear" w:color="auto" w:fill="auto"/>
            <w:noWrap/>
            <w:vAlign w:val="center"/>
          </w:tcPr>
          <w:p w14:paraId="2F0308B8">
            <w:pPr>
              <w:pStyle w:val="34"/>
              <w:tabs>
                <w:tab w:val="left" w:pos="1389"/>
              </w:tabs>
              <w:bidi w:val="0"/>
              <w:rPr>
                <w:rFonts w:hint="eastAsia"/>
                <w:color w:val="auto"/>
              </w:rPr>
            </w:pPr>
            <w:r>
              <w:rPr>
                <w:rFonts w:hint="eastAsia"/>
                <w:color w:val="auto"/>
                <w:lang w:val="en-US" w:eastAsia="zh-CN"/>
              </w:rPr>
              <w:t>属性</w:t>
            </w:r>
          </w:p>
        </w:tc>
        <w:tc>
          <w:tcPr>
            <w:tcW w:w="889" w:type="pct"/>
            <w:tcBorders>
              <w:tl2br w:val="nil"/>
              <w:tr2bl w:val="nil"/>
            </w:tcBorders>
            <w:shd w:val="clear" w:color="auto" w:fill="auto"/>
            <w:vAlign w:val="center"/>
          </w:tcPr>
          <w:p w14:paraId="6907BACE">
            <w:pPr>
              <w:pStyle w:val="34"/>
              <w:tabs>
                <w:tab w:val="left" w:pos="1389"/>
              </w:tabs>
              <w:bidi w:val="0"/>
              <w:rPr>
                <w:rFonts w:hint="eastAsia"/>
                <w:color w:val="auto"/>
              </w:rPr>
            </w:pPr>
            <w:r>
              <w:rPr>
                <w:rFonts w:hint="eastAsia"/>
                <w:color w:val="auto"/>
                <w:lang w:val="en-US" w:eastAsia="zh-CN"/>
              </w:rPr>
              <w:t>生态系统</w:t>
            </w:r>
          </w:p>
        </w:tc>
        <w:tc>
          <w:tcPr>
            <w:tcW w:w="825" w:type="pct"/>
            <w:tcBorders>
              <w:tl2br w:val="nil"/>
              <w:tr2bl w:val="nil"/>
            </w:tcBorders>
            <w:shd w:val="clear" w:color="auto" w:fill="auto"/>
            <w:vAlign w:val="center"/>
          </w:tcPr>
          <w:p w14:paraId="1AC6784F">
            <w:pPr>
              <w:pStyle w:val="34"/>
              <w:tabs>
                <w:tab w:val="left" w:pos="1389"/>
              </w:tabs>
              <w:bidi w:val="0"/>
              <w:rPr>
                <w:rFonts w:hint="eastAsia"/>
                <w:color w:val="auto"/>
              </w:rPr>
            </w:pPr>
            <w:r>
              <w:rPr>
                <w:rFonts w:hint="eastAsia"/>
                <w:color w:val="auto"/>
                <w:lang w:val="en-US" w:eastAsia="zh-CN"/>
              </w:rPr>
              <w:t>评价区面积（</w:t>
            </w:r>
            <w:r>
              <w:rPr>
                <w:rFonts w:hint="default"/>
                <w:color w:val="auto"/>
                <w:lang w:val="en-US" w:eastAsia="zh-CN"/>
              </w:rPr>
              <w:t>hm</w:t>
            </w:r>
            <w:r>
              <w:rPr>
                <w:rFonts w:hint="default"/>
                <w:color w:val="auto"/>
                <w:vertAlign w:val="superscript"/>
                <w:lang w:val="en-US" w:eastAsia="zh-CN"/>
              </w:rPr>
              <w:t>2</w:t>
            </w:r>
            <w:r>
              <w:rPr>
                <w:rFonts w:hint="eastAsia"/>
                <w:color w:val="auto"/>
                <w:lang w:val="en-US" w:eastAsia="zh-CN"/>
              </w:rPr>
              <w:t>）</w:t>
            </w:r>
          </w:p>
        </w:tc>
        <w:tc>
          <w:tcPr>
            <w:tcW w:w="670" w:type="pct"/>
            <w:tcBorders>
              <w:tl2br w:val="nil"/>
              <w:tr2bl w:val="nil"/>
            </w:tcBorders>
            <w:shd w:val="clear" w:color="auto" w:fill="auto"/>
            <w:vAlign w:val="center"/>
          </w:tcPr>
          <w:p w14:paraId="16CE4B64">
            <w:pPr>
              <w:pStyle w:val="34"/>
              <w:tabs>
                <w:tab w:val="left" w:pos="1389"/>
              </w:tabs>
              <w:bidi w:val="0"/>
              <w:rPr>
                <w:rFonts w:hint="eastAsia"/>
                <w:color w:val="auto"/>
              </w:rPr>
            </w:pPr>
            <w:r>
              <w:rPr>
                <w:rFonts w:hint="eastAsia"/>
                <w:color w:val="auto"/>
                <w:lang w:val="en-US" w:eastAsia="zh-CN"/>
              </w:rPr>
              <w:t>单位生物量（</w:t>
            </w:r>
            <w:r>
              <w:rPr>
                <w:rFonts w:hint="default"/>
                <w:color w:val="auto"/>
                <w:lang w:val="en-US" w:eastAsia="zh-CN"/>
              </w:rPr>
              <w:t>t/hm</w:t>
            </w:r>
            <w:r>
              <w:rPr>
                <w:rFonts w:hint="default"/>
                <w:color w:val="auto"/>
                <w:vertAlign w:val="superscript"/>
                <w:lang w:val="en-US" w:eastAsia="zh-CN"/>
              </w:rPr>
              <w:t>2</w:t>
            </w:r>
            <w:r>
              <w:rPr>
                <w:rFonts w:hint="default"/>
                <w:color w:val="auto"/>
                <w:lang w:val="en-US" w:eastAsia="zh-CN"/>
              </w:rPr>
              <w:t>)</w:t>
            </w:r>
          </w:p>
        </w:tc>
        <w:tc>
          <w:tcPr>
            <w:tcW w:w="949" w:type="pct"/>
            <w:tcBorders>
              <w:tl2br w:val="nil"/>
              <w:tr2bl w:val="nil"/>
            </w:tcBorders>
            <w:shd w:val="clear" w:color="auto" w:fill="auto"/>
            <w:vAlign w:val="center"/>
          </w:tcPr>
          <w:p w14:paraId="2B13A42F">
            <w:pPr>
              <w:pStyle w:val="34"/>
              <w:tabs>
                <w:tab w:val="left" w:pos="1389"/>
              </w:tabs>
              <w:bidi w:val="0"/>
              <w:rPr>
                <w:rFonts w:hint="eastAsia"/>
                <w:color w:val="auto"/>
              </w:rPr>
            </w:pPr>
            <w:r>
              <w:rPr>
                <w:rFonts w:hint="eastAsia"/>
                <w:color w:val="auto"/>
                <w:lang w:val="en-US" w:eastAsia="zh-CN"/>
              </w:rPr>
              <w:t>评价区生物量（</w:t>
            </w:r>
            <w:r>
              <w:rPr>
                <w:rFonts w:hint="default"/>
                <w:color w:val="auto"/>
                <w:lang w:val="en-US" w:eastAsia="zh-CN"/>
              </w:rPr>
              <w:t>t</w:t>
            </w:r>
            <w:r>
              <w:rPr>
                <w:rFonts w:hint="eastAsia"/>
                <w:color w:val="auto"/>
                <w:lang w:val="en-US" w:eastAsia="zh-CN"/>
              </w:rPr>
              <w:t>）</w:t>
            </w:r>
          </w:p>
        </w:tc>
        <w:tc>
          <w:tcPr>
            <w:tcW w:w="987" w:type="pct"/>
            <w:tcBorders>
              <w:tl2br w:val="nil"/>
              <w:tr2bl w:val="nil"/>
            </w:tcBorders>
            <w:shd w:val="clear" w:color="auto" w:fill="auto"/>
            <w:vAlign w:val="center"/>
          </w:tcPr>
          <w:p w14:paraId="2BABB61B">
            <w:pPr>
              <w:pStyle w:val="34"/>
              <w:tabs>
                <w:tab w:val="left" w:pos="1389"/>
              </w:tabs>
              <w:bidi w:val="0"/>
              <w:rPr>
                <w:rFonts w:hint="eastAsia"/>
                <w:color w:val="auto"/>
              </w:rPr>
            </w:pPr>
            <w:r>
              <w:rPr>
                <w:rFonts w:hint="eastAsia"/>
                <w:color w:val="auto"/>
                <w:lang w:val="en-US" w:eastAsia="zh-CN"/>
              </w:rPr>
              <w:t>占评价区总生物量比例（%）</w:t>
            </w:r>
          </w:p>
        </w:tc>
      </w:tr>
      <w:tr w14:paraId="6722D3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77" w:type="pct"/>
            <w:vMerge w:val="restart"/>
            <w:tcBorders>
              <w:tl2br w:val="nil"/>
              <w:tr2bl w:val="nil"/>
            </w:tcBorders>
            <w:shd w:val="clear" w:color="auto" w:fill="auto"/>
            <w:noWrap/>
            <w:vAlign w:val="center"/>
          </w:tcPr>
          <w:p w14:paraId="4297159B">
            <w:pPr>
              <w:pStyle w:val="34"/>
              <w:tabs>
                <w:tab w:val="left" w:pos="1389"/>
              </w:tabs>
              <w:bidi w:val="0"/>
              <w:rPr>
                <w:rFonts w:hint="eastAsia"/>
                <w:color w:val="auto"/>
              </w:rPr>
            </w:pPr>
            <w:r>
              <w:rPr>
                <w:rFonts w:hint="eastAsia"/>
                <w:color w:val="auto"/>
                <w:lang w:val="en-US" w:eastAsia="zh-CN"/>
              </w:rPr>
              <w:t>自然植被</w:t>
            </w:r>
          </w:p>
        </w:tc>
        <w:tc>
          <w:tcPr>
            <w:tcW w:w="889" w:type="pct"/>
            <w:tcBorders>
              <w:tl2br w:val="nil"/>
              <w:tr2bl w:val="nil"/>
            </w:tcBorders>
            <w:shd w:val="clear" w:color="auto" w:fill="auto"/>
            <w:vAlign w:val="center"/>
          </w:tcPr>
          <w:p w14:paraId="3D464D79">
            <w:pPr>
              <w:pStyle w:val="34"/>
              <w:tabs>
                <w:tab w:val="left" w:pos="1389"/>
              </w:tabs>
              <w:bidi w:val="0"/>
              <w:rPr>
                <w:rFonts w:hint="eastAsia"/>
                <w:color w:val="auto"/>
              </w:rPr>
            </w:pPr>
            <w:r>
              <w:rPr>
                <w:rFonts w:hint="eastAsia"/>
                <w:color w:val="auto"/>
                <w:lang w:val="en-US" w:eastAsia="zh-CN"/>
              </w:rPr>
              <w:t>阔叶林</w:t>
            </w:r>
          </w:p>
        </w:tc>
        <w:tc>
          <w:tcPr>
            <w:tcW w:w="1476" w:type="dxa"/>
            <w:tcBorders>
              <w:tl2br w:val="nil"/>
              <w:tr2bl w:val="nil"/>
            </w:tcBorders>
            <w:shd w:val="clear" w:color="auto" w:fill="auto"/>
            <w:vAlign w:val="center"/>
          </w:tcPr>
          <w:p w14:paraId="7024D5D1">
            <w:pPr>
              <w:pStyle w:val="34"/>
              <w:tabs>
                <w:tab w:val="left" w:pos="1389"/>
              </w:tabs>
              <w:bidi w:val="0"/>
              <w:rPr>
                <w:rFonts w:hint="eastAsia"/>
                <w:color w:val="auto"/>
              </w:rPr>
            </w:pPr>
            <w:r>
              <w:rPr>
                <w:rFonts w:hint="eastAsia"/>
                <w:color w:val="auto"/>
                <w:lang w:val="en-US" w:eastAsia="zh-CN"/>
              </w:rPr>
              <w:t>55.4841</w:t>
            </w:r>
          </w:p>
        </w:tc>
        <w:tc>
          <w:tcPr>
            <w:tcW w:w="1199" w:type="dxa"/>
            <w:tcBorders>
              <w:tl2br w:val="nil"/>
              <w:tr2bl w:val="nil"/>
            </w:tcBorders>
            <w:shd w:val="clear" w:color="auto" w:fill="auto"/>
            <w:noWrap/>
            <w:vAlign w:val="center"/>
          </w:tcPr>
          <w:p w14:paraId="19D67F21">
            <w:pPr>
              <w:pStyle w:val="34"/>
              <w:tabs>
                <w:tab w:val="left" w:pos="1389"/>
              </w:tabs>
              <w:bidi w:val="0"/>
              <w:rPr>
                <w:rFonts w:hint="eastAsia"/>
                <w:color w:val="auto"/>
              </w:rPr>
            </w:pPr>
            <w:r>
              <w:rPr>
                <w:rFonts w:hint="eastAsia"/>
                <w:color w:val="auto"/>
                <w:lang w:val="en-US" w:eastAsia="zh-CN"/>
              </w:rPr>
              <w:t>180</w:t>
            </w:r>
          </w:p>
        </w:tc>
        <w:tc>
          <w:tcPr>
            <w:tcW w:w="1698" w:type="dxa"/>
            <w:tcBorders>
              <w:tl2br w:val="nil"/>
              <w:tr2bl w:val="nil"/>
            </w:tcBorders>
            <w:shd w:val="clear" w:color="auto" w:fill="auto"/>
            <w:vAlign w:val="center"/>
          </w:tcPr>
          <w:p w14:paraId="7FB547CF">
            <w:pPr>
              <w:pStyle w:val="34"/>
              <w:tabs>
                <w:tab w:val="left" w:pos="1389"/>
              </w:tabs>
              <w:bidi w:val="0"/>
              <w:rPr>
                <w:rFonts w:hint="eastAsia"/>
                <w:color w:val="auto"/>
              </w:rPr>
            </w:pPr>
            <w:r>
              <w:rPr>
                <w:rFonts w:hint="eastAsia"/>
                <w:color w:val="auto"/>
                <w:lang w:val="en-US" w:eastAsia="zh-CN"/>
              </w:rPr>
              <w:t>9987.15</w:t>
            </w:r>
          </w:p>
        </w:tc>
        <w:tc>
          <w:tcPr>
            <w:tcW w:w="1766" w:type="dxa"/>
            <w:tcBorders>
              <w:tl2br w:val="nil"/>
              <w:tr2bl w:val="nil"/>
            </w:tcBorders>
            <w:shd w:val="clear" w:color="auto" w:fill="auto"/>
            <w:vAlign w:val="center"/>
          </w:tcPr>
          <w:p w14:paraId="04F1352E">
            <w:pPr>
              <w:pStyle w:val="34"/>
              <w:tabs>
                <w:tab w:val="left" w:pos="1389"/>
              </w:tabs>
              <w:bidi w:val="0"/>
              <w:rPr>
                <w:rFonts w:hint="eastAsia"/>
                <w:color w:val="auto"/>
              </w:rPr>
            </w:pPr>
            <w:r>
              <w:rPr>
                <w:rFonts w:hint="eastAsia"/>
                <w:color w:val="auto"/>
                <w:lang w:val="en-US" w:eastAsia="zh-CN"/>
              </w:rPr>
              <w:t>9.2%</w:t>
            </w:r>
          </w:p>
        </w:tc>
      </w:tr>
      <w:tr w14:paraId="55E080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677" w:type="pct"/>
            <w:vMerge w:val="continue"/>
            <w:tcBorders>
              <w:tl2br w:val="nil"/>
              <w:tr2bl w:val="nil"/>
            </w:tcBorders>
            <w:shd w:val="clear" w:color="auto" w:fill="auto"/>
            <w:noWrap/>
            <w:vAlign w:val="center"/>
          </w:tcPr>
          <w:p w14:paraId="750A3CD9">
            <w:pPr>
              <w:pStyle w:val="34"/>
              <w:tabs>
                <w:tab w:val="left" w:pos="1389"/>
              </w:tabs>
              <w:bidi w:val="0"/>
              <w:rPr>
                <w:rFonts w:hint="eastAsia"/>
                <w:color w:val="auto"/>
              </w:rPr>
            </w:pPr>
          </w:p>
        </w:tc>
        <w:tc>
          <w:tcPr>
            <w:tcW w:w="889" w:type="pct"/>
            <w:tcBorders>
              <w:tl2br w:val="nil"/>
              <w:tr2bl w:val="nil"/>
            </w:tcBorders>
            <w:shd w:val="clear" w:color="auto" w:fill="auto"/>
            <w:vAlign w:val="center"/>
          </w:tcPr>
          <w:p w14:paraId="6C281A10">
            <w:pPr>
              <w:pStyle w:val="34"/>
              <w:tabs>
                <w:tab w:val="left" w:pos="1389"/>
              </w:tabs>
              <w:bidi w:val="0"/>
              <w:rPr>
                <w:rFonts w:hint="eastAsia"/>
                <w:color w:val="auto"/>
              </w:rPr>
            </w:pPr>
            <w:r>
              <w:rPr>
                <w:rFonts w:hint="eastAsia"/>
                <w:color w:val="auto"/>
                <w:lang w:val="en-US" w:eastAsia="zh-CN"/>
              </w:rPr>
              <w:t>落叶阔叶林</w:t>
            </w:r>
          </w:p>
        </w:tc>
        <w:tc>
          <w:tcPr>
            <w:tcW w:w="1476" w:type="dxa"/>
            <w:tcBorders>
              <w:tl2br w:val="nil"/>
              <w:tr2bl w:val="nil"/>
            </w:tcBorders>
            <w:shd w:val="clear" w:color="auto" w:fill="auto"/>
            <w:vAlign w:val="center"/>
          </w:tcPr>
          <w:p w14:paraId="623CD0A7">
            <w:pPr>
              <w:pStyle w:val="34"/>
              <w:tabs>
                <w:tab w:val="left" w:pos="1389"/>
              </w:tabs>
              <w:bidi w:val="0"/>
              <w:rPr>
                <w:rFonts w:hint="eastAsia"/>
                <w:color w:val="auto"/>
              </w:rPr>
            </w:pPr>
            <w:r>
              <w:rPr>
                <w:rFonts w:hint="eastAsia"/>
                <w:color w:val="auto"/>
                <w:lang w:val="en-US" w:eastAsia="zh-CN"/>
              </w:rPr>
              <w:t>17.5925</w:t>
            </w:r>
          </w:p>
        </w:tc>
        <w:tc>
          <w:tcPr>
            <w:tcW w:w="1199" w:type="dxa"/>
            <w:tcBorders>
              <w:tl2br w:val="nil"/>
              <w:tr2bl w:val="nil"/>
            </w:tcBorders>
            <w:shd w:val="clear" w:color="auto" w:fill="auto"/>
            <w:noWrap/>
            <w:vAlign w:val="center"/>
          </w:tcPr>
          <w:p w14:paraId="07F1E5F3">
            <w:pPr>
              <w:pStyle w:val="34"/>
              <w:tabs>
                <w:tab w:val="left" w:pos="1389"/>
              </w:tabs>
              <w:bidi w:val="0"/>
              <w:rPr>
                <w:rFonts w:hint="eastAsia"/>
                <w:color w:val="auto"/>
              </w:rPr>
            </w:pPr>
            <w:r>
              <w:rPr>
                <w:rFonts w:hint="eastAsia"/>
                <w:color w:val="auto"/>
                <w:lang w:val="en-US" w:eastAsia="zh-CN"/>
              </w:rPr>
              <w:t>150</w:t>
            </w:r>
          </w:p>
        </w:tc>
        <w:tc>
          <w:tcPr>
            <w:tcW w:w="1698" w:type="dxa"/>
            <w:tcBorders>
              <w:tl2br w:val="nil"/>
              <w:tr2bl w:val="nil"/>
            </w:tcBorders>
            <w:shd w:val="clear" w:color="auto" w:fill="auto"/>
            <w:vAlign w:val="center"/>
          </w:tcPr>
          <w:p w14:paraId="6D033029">
            <w:pPr>
              <w:pStyle w:val="34"/>
              <w:tabs>
                <w:tab w:val="left" w:pos="1389"/>
              </w:tabs>
              <w:bidi w:val="0"/>
              <w:rPr>
                <w:rFonts w:hint="eastAsia"/>
                <w:color w:val="auto"/>
              </w:rPr>
            </w:pPr>
            <w:r>
              <w:rPr>
                <w:rFonts w:hint="eastAsia"/>
                <w:color w:val="auto"/>
                <w:lang w:val="en-US" w:eastAsia="zh-CN"/>
              </w:rPr>
              <w:t>2638.88</w:t>
            </w:r>
          </w:p>
        </w:tc>
        <w:tc>
          <w:tcPr>
            <w:tcW w:w="1766" w:type="dxa"/>
            <w:tcBorders>
              <w:tl2br w:val="nil"/>
              <w:tr2bl w:val="nil"/>
            </w:tcBorders>
            <w:shd w:val="clear" w:color="auto" w:fill="auto"/>
            <w:vAlign w:val="center"/>
          </w:tcPr>
          <w:p w14:paraId="0DC58198">
            <w:pPr>
              <w:pStyle w:val="34"/>
              <w:tabs>
                <w:tab w:val="left" w:pos="1389"/>
              </w:tabs>
              <w:bidi w:val="0"/>
              <w:rPr>
                <w:rFonts w:hint="eastAsia"/>
                <w:color w:val="auto"/>
              </w:rPr>
            </w:pPr>
            <w:r>
              <w:rPr>
                <w:rFonts w:hint="eastAsia"/>
                <w:color w:val="auto"/>
                <w:lang w:val="en-US" w:eastAsia="zh-CN"/>
              </w:rPr>
              <w:t>2.4%</w:t>
            </w:r>
          </w:p>
        </w:tc>
      </w:tr>
      <w:tr w14:paraId="141345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677" w:type="pct"/>
            <w:vMerge w:val="continue"/>
            <w:tcBorders>
              <w:tl2br w:val="nil"/>
              <w:tr2bl w:val="nil"/>
            </w:tcBorders>
            <w:shd w:val="clear" w:color="auto" w:fill="auto"/>
            <w:noWrap/>
            <w:vAlign w:val="center"/>
          </w:tcPr>
          <w:p w14:paraId="34986F4B">
            <w:pPr>
              <w:pStyle w:val="34"/>
              <w:tabs>
                <w:tab w:val="left" w:pos="1389"/>
              </w:tabs>
              <w:bidi w:val="0"/>
              <w:rPr>
                <w:rFonts w:hint="eastAsia"/>
                <w:color w:val="auto"/>
              </w:rPr>
            </w:pPr>
          </w:p>
        </w:tc>
        <w:tc>
          <w:tcPr>
            <w:tcW w:w="889" w:type="pct"/>
            <w:tcBorders>
              <w:tl2br w:val="nil"/>
              <w:tr2bl w:val="nil"/>
            </w:tcBorders>
            <w:shd w:val="clear" w:color="auto" w:fill="auto"/>
            <w:noWrap/>
            <w:vAlign w:val="center"/>
          </w:tcPr>
          <w:p w14:paraId="43D0D628">
            <w:pPr>
              <w:pStyle w:val="34"/>
              <w:tabs>
                <w:tab w:val="left" w:pos="1389"/>
              </w:tabs>
              <w:bidi w:val="0"/>
              <w:rPr>
                <w:rFonts w:hint="eastAsia"/>
                <w:color w:val="auto"/>
              </w:rPr>
            </w:pPr>
            <w:r>
              <w:rPr>
                <w:rFonts w:hint="eastAsia"/>
                <w:color w:val="auto"/>
                <w:lang w:val="en-US" w:eastAsia="zh-CN"/>
              </w:rPr>
              <w:t>针叶林</w:t>
            </w:r>
          </w:p>
        </w:tc>
        <w:tc>
          <w:tcPr>
            <w:tcW w:w="1476" w:type="dxa"/>
            <w:tcBorders>
              <w:tl2br w:val="nil"/>
              <w:tr2bl w:val="nil"/>
            </w:tcBorders>
            <w:shd w:val="clear" w:color="auto" w:fill="auto"/>
            <w:noWrap/>
            <w:vAlign w:val="center"/>
          </w:tcPr>
          <w:p w14:paraId="09222EE8">
            <w:pPr>
              <w:pStyle w:val="34"/>
              <w:tabs>
                <w:tab w:val="left" w:pos="1389"/>
              </w:tabs>
              <w:bidi w:val="0"/>
              <w:rPr>
                <w:rFonts w:hint="eastAsia"/>
                <w:color w:val="auto"/>
              </w:rPr>
            </w:pPr>
            <w:r>
              <w:rPr>
                <w:rFonts w:hint="eastAsia"/>
                <w:color w:val="auto"/>
                <w:lang w:val="en-US" w:eastAsia="zh-CN"/>
              </w:rPr>
              <w:t>683.4023</w:t>
            </w:r>
          </w:p>
        </w:tc>
        <w:tc>
          <w:tcPr>
            <w:tcW w:w="1199" w:type="dxa"/>
            <w:tcBorders>
              <w:tl2br w:val="nil"/>
              <w:tr2bl w:val="nil"/>
            </w:tcBorders>
            <w:shd w:val="clear" w:color="auto" w:fill="auto"/>
            <w:vAlign w:val="center"/>
          </w:tcPr>
          <w:p w14:paraId="1CD2BB38">
            <w:pPr>
              <w:pStyle w:val="34"/>
              <w:tabs>
                <w:tab w:val="left" w:pos="1389"/>
              </w:tabs>
              <w:bidi w:val="0"/>
              <w:rPr>
                <w:rFonts w:hint="eastAsia"/>
                <w:color w:val="auto"/>
              </w:rPr>
            </w:pPr>
            <w:r>
              <w:rPr>
                <w:rFonts w:hint="eastAsia"/>
                <w:color w:val="auto"/>
                <w:lang w:val="en-US" w:eastAsia="zh-CN"/>
              </w:rPr>
              <w:t>130</w:t>
            </w:r>
          </w:p>
        </w:tc>
        <w:tc>
          <w:tcPr>
            <w:tcW w:w="1698" w:type="dxa"/>
            <w:tcBorders>
              <w:tl2br w:val="nil"/>
              <w:tr2bl w:val="nil"/>
            </w:tcBorders>
            <w:shd w:val="clear" w:color="auto" w:fill="auto"/>
            <w:vAlign w:val="center"/>
          </w:tcPr>
          <w:p w14:paraId="31183174">
            <w:pPr>
              <w:pStyle w:val="34"/>
              <w:tabs>
                <w:tab w:val="left" w:pos="1389"/>
              </w:tabs>
              <w:bidi w:val="0"/>
              <w:rPr>
                <w:rFonts w:hint="eastAsia"/>
                <w:color w:val="auto"/>
              </w:rPr>
            </w:pPr>
            <w:r>
              <w:rPr>
                <w:rFonts w:hint="eastAsia"/>
                <w:color w:val="auto"/>
                <w:lang w:val="en-US" w:eastAsia="zh-CN"/>
              </w:rPr>
              <w:t>88842.30</w:t>
            </w:r>
          </w:p>
        </w:tc>
        <w:tc>
          <w:tcPr>
            <w:tcW w:w="1766" w:type="dxa"/>
            <w:tcBorders>
              <w:tl2br w:val="nil"/>
              <w:tr2bl w:val="nil"/>
            </w:tcBorders>
            <w:shd w:val="clear" w:color="auto" w:fill="auto"/>
            <w:vAlign w:val="center"/>
          </w:tcPr>
          <w:p w14:paraId="41F47C24">
            <w:pPr>
              <w:pStyle w:val="34"/>
              <w:tabs>
                <w:tab w:val="left" w:pos="1389"/>
              </w:tabs>
              <w:bidi w:val="0"/>
              <w:rPr>
                <w:rFonts w:hint="eastAsia"/>
                <w:color w:val="auto"/>
              </w:rPr>
            </w:pPr>
            <w:r>
              <w:rPr>
                <w:rFonts w:hint="eastAsia"/>
                <w:color w:val="auto"/>
                <w:lang w:val="en-US" w:eastAsia="zh-CN"/>
              </w:rPr>
              <w:t>81.7%</w:t>
            </w:r>
          </w:p>
        </w:tc>
      </w:tr>
      <w:tr w14:paraId="78C887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677" w:type="pct"/>
            <w:vMerge w:val="continue"/>
            <w:tcBorders>
              <w:tl2br w:val="nil"/>
              <w:tr2bl w:val="nil"/>
            </w:tcBorders>
            <w:shd w:val="clear" w:color="auto" w:fill="auto"/>
            <w:noWrap/>
            <w:vAlign w:val="center"/>
          </w:tcPr>
          <w:p w14:paraId="7196C40C">
            <w:pPr>
              <w:pStyle w:val="34"/>
              <w:tabs>
                <w:tab w:val="left" w:pos="1389"/>
              </w:tabs>
              <w:bidi w:val="0"/>
              <w:rPr>
                <w:rFonts w:hint="eastAsia"/>
                <w:color w:val="auto"/>
              </w:rPr>
            </w:pPr>
          </w:p>
        </w:tc>
        <w:tc>
          <w:tcPr>
            <w:tcW w:w="889" w:type="pct"/>
            <w:tcBorders>
              <w:tl2br w:val="nil"/>
              <w:tr2bl w:val="nil"/>
            </w:tcBorders>
            <w:shd w:val="clear" w:color="auto" w:fill="auto"/>
            <w:noWrap/>
            <w:vAlign w:val="center"/>
          </w:tcPr>
          <w:p w14:paraId="2E751717">
            <w:pPr>
              <w:pStyle w:val="34"/>
              <w:tabs>
                <w:tab w:val="left" w:pos="1389"/>
              </w:tabs>
              <w:bidi w:val="0"/>
              <w:rPr>
                <w:rFonts w:hint="eastAsia"/>
                <w:color w:val="auto"/>
              </w:rPr>
            </w:pPr>
            <w:r>
              <w:rPr>
                <w:rFonts w:hint="eastAsia"/>
                <w:color w:val="auto"/>
                <w:lang w:val="en-US" w:eastAsia="zh-CN"/>
              </w:rPr>
              <w:t>灌丛</w:t>
            </w:r>
          </w:p>
        </w:tc>
        <w:tc>
          <w:tcPr>
            <w:tcW w:w="1476" w:type="dxa"/>
            <w:tcBorders>
              <w:tl2br w:val="nil"/>
              <w:tr2bl w:val="nil"/>
            </w:tcBorders>
            <w:shd w:val="clear" w:color="auto" w:fill="auto"/>
            <w:noWrap/>
            <w:vAlign w:val="center"/>
          </w:tcPr>
          <w:p w14:paraId="53A63F28">
            <w:pPr>
              <w:pStyle w:val="34"/>
              <w:tabs>
                <w:tab w:val="left" w:pos="1389"/>
              </w:tabs>
              <w:bidi w:val="0"/>
              <w:rPr>
                <w:rFonts w:hint="eastAsia"/>
                <w:color w:val="auto"/>
              </w:rPr>
            </w:pPr>
            <w:r>
              <w:rPr>
                <w:rFonts w:hint="eastAsia"/>
                <w:color w:val="auto"/>
                <w:lang w:val="en-US" w:eastAsia="zh-CN"/>
              </w:rPr>
              <w:t>17.5925</w:t>
            </w:r>
          </w:p>
        </w:tc>
        <w:tc>
          <w:tcPr>
            <w:tcW w:w="1199" w:type="dxa"/>
            <w:tcBorders>
              <w:tl2br w:val="nil"/>
              <w:tr2bl w:val="nil"/>
            </w:tcBorders>
            <w:shd w:val="clear" w:color="auto" w:fill="auto"/>
            <w:noWrap/>
            <w:vAlign w:val="center"/>
          </w:tcPr>
          <w:p w14:paraId="2053BD63">
            <w:pPr>
              <w:pStyle w:val="34"/>
              <w:tabs>
                <w:tab w:val="left" w:pos="1389"/>
              </w:tabs>
              <w:bidi w:val="0"/>
              <w:rPr>
                <w:rFonts w:hint="eastAsia"/>
                <w:color w:val="auto"/>
              </w:rPr>
            </w:pPr>
            <w:r>
              <w:rPr>
                <w:rFonts w:hint="eastAsia"/>
                <w:color w:val="auto"/>
                <w:lang w:val="en-US" w:eastAsia="zh-CN"/>
              </w:rPr>
              <w:t>45</w:t>
            </w:r>
          </w:p>
        </w:tc>
        <w:tc>
          <w:tcPr>
            <w:tcW w:w="1698" w:type="dxa"/>
            <w:tcBorders>
              <w:tl2br w:val="nil"/>
              <w:tr2bl w:val="nil"/>
            </w:tcBorders>
            <w:shd w:val="clear" w:color="auto" w:fill="auto"/>
            <w:vAlign w:val="center"/>
          </w:tcPr>
          <w:p w14:paraId="068D335C">
            <w:pPr>
              <w:pStyle w:val="34"/>
              <w:tabs>
                <w:tab w:val="left" w:pos="1389"/>
              </w:tabs>
              <w:bidi w:val="0"/>
              <w:rPr>
                <w:rFonts w:hint="eastAsia"/>
                <w:color w:val="auto"/>
              </w:rPr>
            </w:pPr>
            <w:r>
              <w:rPr>
                <w:rFonts w:hint="eastAsia"/>
                <w:color w:val="auto"/>
                <w:lang w:val="en-US" w:eastAsia="zh-CN"/>
              </w:rPr>
              <w:t>791.66</w:t>
            </w:r>
          </w:p>
        </w:tc>
        <w:tc>
          <w:tcPr>
            <w:tcW w:w="1766" w:type="dxa"/>
            <w:tcBorders>
              <w:tl2br w:val="nil"/>
              <w:tr2bl w:val="nil"/>
            </w:tcBorders>
            <w:shd w:val="clear" w:color="auto" w:fill="auto"/>
            <w:vAlign w:val="center"/>
          </w:tcPr>
          <w:p w14:paraId="2C40C5EE">
            <w:pPr>
              <w:pStyle w:val="34"/>
              <w:tabs>
                <w:tab w:val="left" w:pos="1389"/>
              </w:tabs>
              <w:bidi w:val="0"/>
              <w:rPr>
                <w:rFonts w:hint="eastAsia"/>
                <w:color w:val="auto"/>
              </w:rPr>
            </w:pPr>
            <w:r>
              <w:rPr>
                <w:rFonts w:hint="eastAsia"/>
                <w:color w:val="auto"/>
                <w:lang w:val="en-US" w:eastAsia="zh-CN"/>
              </w:rPr>
              <w:t>0.7%</w:t>
            </w:r>
          </w:p>
        </w:tc>
      </w:tr>
      <w:tr w14:paraId="7C920F2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77" w:type="pct"/>
            <w:vMerge w:val="continue"/>
            <w:tcBorders>
              <w:tl2br w:val="nil"/>
              <w:tr2bl w:val="nil"/>
            </w:tcBorders>
            <w:shd w:val="clear" w:color="auto" w:fill="auto"/>
            <w:noWrap/>
            <w:vAlign w:val="center"/>
          </w:tcPr>
          <w:p w14:paraId="40A397A5">
            <w:pPr>
              <w:pStyle w:val="34"/>
              <w:tabs>
                <w:tab w:val="left" w:pos="1389"/>
              </w:tabs>
              <w:bidi w:val="0"/>
              <w:rPr>
                <w:rFonts w:hint="eastAsia"/>
                <w:color w:val="auto"/>
              </w:rPr>
            </w:pPr>
          </w:p>
        </w:tc>
        <w:tc>
          <w:tcPr>
            <w:tcW w:w="889" w:type="pct"/>
            <w:tcBorders>
              <w:tl2br w:val="nil"/>
              <w:tr2bl w:val="nil"/>
            </w:tcBorders>
            <w:shd w:val="clear" w:color="auto" w:fill="auto"/>
            <w:noWrap/>
            <w:vAlign w:val="center"/>
          </w:tcPr>
          <w:p w14:paraId="4320F3F9">
            <w:pPr>
              <w:pStyle w:val="34"/>
              <w:tabs>
                <w:tab w:val="left" w:pos="1389"/>
              </w:tabs>
              <w:bidi w:val="0"/>
              <w:rPr>
                <w:rFonts w:hint="eastAsia"/>
                <w:color w:val="auto"/>
              </w:rPr>
            </w:pPr>
            <w:r>
              <w:rPr>
                <w:rFonts w:hint="eastAsia"/>
                <w:color w:val="auto"/>
                <w:lang w:val="en-US" w:eastAsia="zh-CN"/>
              </w:rPr>
              <w:t>草地</w:t>
            </w:r>
          </w:p>
        </w:tc>
        <w:tc>
          <w:tcPr>
            <w:tcW w:w="1476" w:type="dxa"/>
            <w:tcBorders>
              <w:tl2br w:val="nil"/>
              <w:tr2bl w:val="nil"/>
            </w:tcBorders>
            <w:shd w:val="clear" w:color="auto" w:fill="auto"/>
            <w:noWrap/>
            <w:vAlign w:val="center"/>
          </w:tcPr>
          <w:p w14:paraId="53A084D0">
            <w:pPr>
              <w:pStyle w:val="34"/>
              <w:tabs>
                <w:tab w:val="left" w:pos="1389"/>
              </w:tabs>
              <w:bidi w:val="0"/>
              <w:rPr>
                <w:rFonts w:hint="eastAsia"/>
                <w:color w:val="auto"/>
              </w:rPr>
            </w:pPr>
            <w:r>
              <w:rPr>
                <w:rFonts w:hint="eastAsia"/>
                <w:color w:val="auto"/>
                <w:lang w:val="en-US" w:eastAsia="zh-CN"/>
              </w:rPr>
              <w:t>120.4412</w:t>
            </w:r>
          </w:p>
        </w:tc>
        <w:tc>
          <w:tcPr>
            <w:tcW w:w="1199" w:type="dxa"/>
            <w:tcBorders>
              <w:tl2br w:val="nil"/>
              <w:tr2bl w:val="nil"/>
            </w:tcBorders>
            <w:shd w:val="clear" w:color="auto" w:fill="auto"/>
            <w:noWrap/>
            <w:vAlign w:val="center"/>
          </w:tcPr>
          <w:p w14:paraId="0C7C11FE">
            <w:pPr>
              <w:pStyle w:val="34"/>
              <w:tabs>
                <w:tab w:val="left" w:pos="1389"/>
              </w:tabs>
              <w:bidi w:val="0"/>
              <w:rPr>
                <w:rFonts w:hint="eastAsia"/>
                <w:color w:val="auto"/>
              </w:rPr>
            </w:pPr>
            <w:r>
              <w:rPr>
                <w:rFonts w:hint="eastAsia"/>
                <w:color w:val="auto"/>
                <w:lang w:val="en-US" w:eastAsia="zh-CN"/>
              </w:rPr>
              <w:t>20</w:t>
            </w:r>
          </w:p>
        </w:tc>
        <w:tc>
          <w:tcPr>
            <w:tcW w:w="1698" w:type="dxa"/>
            <w:tcBorders>
              <w:tl2br w:val="nil"/>
              <w:tr2bl w:val="nil"/>
            </w:tcBorders>
            <w:shd w:val="clear" w:color="auto" w:fill="auto"/>
            <w:vAlign w:val="center"/>
          </w:tcPr>
          <w:p w14:paraId="6086A7A8">
            <w:pPr>
              <w:pStyle w:val="34"/>
              <w:tabs>
                <w:tab w:val="left" w:pos="1389"/>
              </w:tabs>
              <w:bidi w:val="0"/>
              <w:rPr>
                <w:rFonts w:hint="eastAsia"/>
                <w:color w:val="auto"/>
              </w:rPr>
            </w:pPr>
            <w:r>
              <w:rPr>
                <w:rFonts w:hint="eastAsia"/>
                <w:color w:val="auto"/>
                <w:lang w:val="en-US" w:eastAsia="zh-CN"/>
              </w:rPr>
              <w:t>2408.82</w:t>
            </w:r>
          </w:p>
        </w:tc>
        <w:tc>
          <w:tcPr>
            <w:tcW w:w="1766" w:type="dxa"/>
            <w:tcBorders>
              <w:tl2br w:val="nil"/>
              <w:tr2bl w:val="nil"/>
            </w:tcBorders>
            <w:shd w:val="clear" w:color="auto" w:fill="auto"/>
            <w:vAlign w:val="center"/>
          </w:tcPr>
          <w:p w14:paraId="4EEE237E">
            <w:pPr>
              <w:pStyle w:val="34"/>
              <w:tabs>
                <w:tab w:val="left" w:pos="1389"/>
              </w:tabs>
              <w:bidi w:val="0"/>
              <w:rPr>
                <w:rFonts w:hint="eastAsia"/>
                <w:color w:val="auto"/>
              </w:rPr>
            </w:pPr>
            <w:r>
              <w:rPr>
                <w:rFonts w:hint="eastAsia"/>
                <w:color w:val="auto"/>
                <w:lang w:val="en-US" w:eastAsia="zh-CN"/>
              </w:rPr>
              <w:t>2.2%</w:t>
            </w:r>
          </w:p>
        </w:tc>
      </w:tr>
      <w:tr w14:paraId="60E5517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677" w:type="pct"/>
            <w:tcBorders>
              <w:tl2br w:val="nil"/>
              <w:tr2bl w:val="nil"/>
            </w:tcBorders>
            <w:shd w:val="clear" w:color="auto" w:fill="auto"/>
            <w:vAlign w:val="center"/>
          </w:tcPr>
          <w:p w14:paraId="7E17DD80">
            <w:pPr>
              <w:pStyle w:val="34"/>
              <w:tabs>
                <w:tab w:val="left" w:pos="1389"/>
              </w:tabs>
              <w:bidi w:val="0"/>
              <w:rPr>
                <w:rFonts w:hint="eastAsia"/>
                <w:color w:val="auto"/>
              </w:rPr>
            </w:pPr>
            <w:r>
              <w:rPr>
                <w:rFonts w:hint="eastAsia"/>
                <w:color w:val="auto"/>
                <w:lang w:val="en-US" w:eastAsia="zh-CN"/>
              </w:rPr>
              <w:t>人工植被</w:t>
            </w:r>
          </w:p>
        </w:tc>
        <w:tc>
          <w:tcPr>
            <w:tcW w:w="889" w:type="pct"/>
            <w:tcBorders>
              <w:tl2br w:val="nil"/>
              <w:tr2bl w:val="nil"/>
            </w:tcBorders>
            <w:shd w:val="clear" w:color="auto" w:fill="auto"/>
            <w:noWrap/>
            <w:vAlign w:val="center"/>
          </w:tcPr>
          <w:p w14:paraId="537611FF">
            <w:pPr>
              <w:pStyle w:val="34"/>
              <w:tabs>
                <w:tab w:val="left" w:pos="1389"/>
              </w:tabs>
              <w:bidi w:val="0"/>
              <w:rPr>
                <w:rFonts w:hint="eastAsia"/>
                <w:color w:val="auto"/>
              </w:rPr>
            </w:pPr>
            <w:r>
              <w:rPr>
                <w:rFonts w:hint="eastAsia"/>
                <w:color w:val="auto"/>
                <w:lang w:val="en-US" w:eastAsia="zh-CN"/>
              </w:rPr>
              <w:t>耕地</w:t>
            </w:r>
          </w:p>
        </w:tc>
        <w:tc>
          <w:tcPr>
            <w:tcW w:w="1476" w:type="dxa"/>
            <w:tcBorders>
              <w:tl2br w:val="nil"/>
              <w:tr2bl w:val="nil"/>
            </w:tcBorders>
            <w:shd w:val="clear" w:color="auto" w:fill="auto"/>
            <w:noWrap/>
            <w:vAlign w:val="center"/>
          </w:tcPr>
          <w:p w14:paraId="1E3CD778">
            <w:pPr>
              <w:pStyle w:val="34"/>
              <w:tabs>
                <w:tab w:val="left" w:pos="1389"/>
              </w:tabs>
              <w:bidi w:val="0"/>
              <w:rPr>
                <w:rFonts w:hint="eastAsia"/>
                <w:color w:val="auto"/>
              </w:rPr>
            </w:pPr>
            <w:r>
              <w:rPr>
                <w:rFonts w:hint="eastAsia"/>
                <w:color w:val="auto"/>
                <w:lang w:val="en-US" w:eastAsia="zh-CN"/>
              </w:rPr>
              <w:t>202.9908</w:t>
            </w:r>
          </w:p>
        </w:tc>
        <w:tc>
          <w:tcPr>
            <w:tcW w:w="1199" w:type="dxa"/>
            <w:tcBorders>
              <w:tl2br w:val="nil"/>
              <w:tr2bl w:val="nil"/>
            </w:tcBorders>
            <w:shd w:val="clear" w:color="auto" w:fill="auto"/>
            <w:noWrap/>
            <w:vAlign w:val="center"/>
          </w:tcPr>
          <w:p w14:paraId="08C7492F">
            <w:pPr>
              <w:pStyle w:val="34"/>
              <w:tabs>
                <w:tab w:val="left" w:pos="1389"/>
              </w:tabs>
              <w:bidi w:val="0"/>
              <w:rPr>
                <w:rFonts w:hint="eastAsia"/>
                <w:color w:val="auto"/>
              </w:rPr>
            </w:pPr>
            <w:r>
              <w:rPr>
                <w:rFonts w:hint="eastAsia"/>
                <w:color w:val="auto"/>
                <w:lang w:val="en-US" w:eastAsia="zh-CN"/>
              </w:rPr>
              <w:t>20</w:t>
            </w:r>
          </w:p>
        </w:tc>
        <w:tc>
          <w:tcPr>
            <w:tcW w:w="1698" w:type="dxa"/>
            <w:tcBorders>
              <w:tl2br w:val="nil"/>
              <w:tr2bl w:val="nil"/>
            </w:tcBorders>
            <w:shd w:val="clear" w:color="auto" w:fill="auto"/>
            <w:vAlign w:val="center"/>
          </w:tcPr>
          <w:p w14:paraId="4ED6F8CD">
            <w:pPr>
              <w:pStyle w:val="34"/>
              <w:tabs>
                <w:tab w:val="left" w:pos="1389"/>
              </w:tabs>
              <w:bidi w:val="0"/>
              <w:rPr>
                <w:rFonts w:hint="eastAsia"/>
                <w:color w:val="auto"/>
              </w:rPr>
            </w:pPr>
            <w:r>
              <w:rPr>
                <w:rFonts w:hint="eastAsia"/>
                <w:color w:val="auto"/>
                <w:lang w:val="en-US" w:eastAsia="zh-CN"/>
              </w:rPr>
              <w:t>4059.82</w:t>
            </w:r>
          </w:p>
        </w:tc>
        <w:tc>
          <w:tcPr>
            <w:tcW w:w="1766" w:type="dxa"/>
            <w:tcBorders>
              <w:tl2br w:val="nil"/>
              <w:tr2bl w:val="nil"/>
            </w:tcBorders>
            <w:shd w:val="clear" w:color="auto" w:fill="auto"/>
            <w:vAlign w:val="center"/>
          </w:tcPr>
          <w:p w14:paraId="6E414152">
            <w:pPr>
              <w:pStyle w:val="34"/>
              <w:tabs>
                <w:tab w:val="left" w:pos="1389"/>
              </w:tabs>
              <w:bidi w:val="0"/>
              <w:rPr>
                <w:rFonts w:hint="eastAsia"/>
                <w:color w:val="auto"/>
              </w:rPr>
            </w:pPr>
            <w:r>
              <w:rPr>
                <w:rFonts w:hint="eastAsia"/>
                <w:color w:val="auto"/>
                <w:lang w:val="en-US" w:eastAsia="zh-CN"/>
              </w:rPr>
              <w:t>3.7%</w:t>
            </w:r>
          </w:p>
        </w:tc>
      </w:tr>
      <w:tr w14:paraId="71A1DB9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677" w:type="pct"/>
            <w:vMerge w:val="restart"/>
            <w:tcBorders>
              <w:tl2br w:val="nil"/>
              <w:tr2bl w:val="nil"/>
            </w:tcBorders>
            <w:shd w:val="clear" w:color="auto" w:fill="auto"/>
            <w:noWrap/>
            <w:vAlign w:val="center"/>
          </w:tcPr>
          <w:p w14:paraId="76954C48">
            <w:pPr>
              <w:pStyle w:val="34"/>
              <w:tabs>
                <w:tab w:val="left" w:pos="1389"/>
              </w:tabs>
              <w:bidi w:val="0"/>
              <w:rPr>
                <w:rFonts w:hint="eastAsia"/>
                <w:color w:val="auto"/>
              </w:rPr>
            </w:pPr>
            <w:r>
              <w:rPr>
                <w:rFonts w:hint="eastAsia"/>
                <w:color w:val="auto"/>
                <w:lang w:val="en-US" w:eastAsia="zh-CN"/>
              </w:rPr>
              <w:t>其他</w:t>
            </w:r>
          </w:p>
        </w:tc>
        <w:tc>
          <w:tcPr>
            <w:tcW w:w="889" w:type="pct"/>
            <w:tcBorders>
              <w:tl2br w:val="nil"/>
              <w:tr2bl w:val="nil"/>
            </w:tcBorders>
            <w:shd w:val="clear" w:color="auto" w:fill="auto"/>
            <w:noWrap/>
            <w:vAlign w:val="center"/>
          </w:tcPr>
          <w:p w14:paraId="0E0BA6B8">
            <w:pPr>
              <w:pStyle w:val="34"/>
              <w:tabs>
                <w:tab w:val="left" w:pos="1389"/>
              </w:tabs>
              <w:bidi w:val="0"/>
              <w:rPr>
                <w:rFonts w:hint="eastAsia"/>
                <w:color w:val="auto"/>
              </w:rPr>
            </w:pPr>
            <w:r>
              <w:rPr>
                <w:rFonts w:hint="eastAsia"/>
                <w:color w:val="auto"/>
                <w:lang w:val="en-US" w:eastAsia="zh-CN"/>
              </w:rPr>
              <w:t>水库</w:t>
            </w:r>
          </w:p>
        </w:tc>
        <w:tc>
          <w:tcPr>
            <w:tcW w:w="1476" w:type="dxa"/>
            <w:tcBorders>
              <w:tl2br w:val="nil"/>
              <w:tr2bl w:val="nil"/>
            </w:tcBorders>
            <w:shd w:val="clear" w:color="auto" w:fill="auto"/>
            <w:noWrap/>
            <w:vAlign w:val="center"/>
          </w:tcPr>
          <w:p w14:paraId="11CA1F66">
            <w:pPr>
              <w:pStyle w:val="34"/>
              <w:tabs>
                <w:tab w:val="left" w:pos="1389"/>
              </w:tabs>
              <w:bidi w:val="0"/>
              <w:rPr>
                <w:rFonts w:hint="eastAsia"/>
                <w:color w:val="auto"/>
              </w:rPr>
            </w:pPr>
            <w:r>
              <w:rPr>
                <w:rFonts w:hint="eastAsia"/>
                <w:color w:val="auto"/>
                <w:lang w:val="en-US" w:eastAsia="zh-CN"/>
              </w:rPr>
              <w:t>2.7065</w:t>
            </w:r>
          </w:p>
        </w:tc>
        <w:tc>
          <w:tcPr>
            <w:tcW w:w="1199" w:type="dxa"/>
            <w:tcBorders>
              <w:tl2br w:val="nil"/>
              <w:tr2bl w:val="nil"/>
            </w:tcBorders>
            <w:shd w:val="clear" w:color="auto" w:fill="auto"/>
            <w:noWrap/>
            <w:vAlign w:val="center"/>
          </w:tcPr>
          <w:p w14:paraId="73FA9212">
            <w:pPr>
              <w:pStyle w:val="34"/>
              <w:tabs>
                <w:tab w:val="left" w:pos="1389"/>
              </w:tabs>
              <w:bidi w:val="0"/>
              <w:rPr>
                <w:rFonts w:hint="eastAsia"/>
                <w:color w:val="auto"/>
              </w:rPr>
            </w:pPr>
            <w:r>
              <w:rPr>
                <w:rFonts w:hint="eastAsia"/>
                <w:color w:val="auto"/>
                <w:lang w:val="en-US" w:eastAsia="zh-CN"/>
              </w:rPr>
              <w:t>10</w:t>
            </w:r>
          </w:p>
        </w:tc>
        <w:tc>
          <w:tcPr>
            <w:tcW w:w="1698" w:type="dxa"/>
            <w:tcBorders>
              <w:tl2br w:val="nil"/>
              <w:tr2bl w:val="nil"/>
            </w:tcBorders>
            <w:shd w:val="clear" w:color="auto" w:fill="auto"/>
            <w:vAlign w:val="center"/>
          </w:tcPr>
          <w:p w14:paraId="77288F68">
            <w:pPr>
              <w:pStyle w:val="34"/>
              <w:tabs>
                <w:tab w:val="left" w:pos="1389"/>
              </w:tabs>
              <w:bidi w:val="0"/>
              <w:rPr>
                <w:rFonts w:hint="eastAsia"/>
                <w:color w:val="auto"/>
              </w:rPr>
            </w:pPr>
            <w:r>
              <w:rPr>
                <w:rFonts w:hint="eastAsia"/>
                <w:color w:val="auto"/>
                <w:lang w:val="en-US" w:eastAsia="zh-CN"/>
              </w:rPr>
              <w:t>27.07</w:t>
            </w:r>
          </w:p>
        </w:tc>
        <w:tc>
          <w:tcPr>
            <w:tcW w:w="1766" w:type="dxa"/>
            <w:tcBorders>
              <w:tl2br w:val="nil"/>
              <w:tr2bl w:val="nil"/>
            </w:tcBorders>
            <w:shd w:val="clear" w:color="auto" w:fill="auto"/>
            <w:vAlign w:val="center"/>
          </w:tcPr>
          <w:p w14:paraId="5E294E9E">
            <w:pPr>
              <w:pStyle w:val="34"/>
              <w:tabs>
                <w:tab w:val="left" w:pos="1389"/>
              </w:tabs>
              <w:bidi w:val="0"/>
              <w:rPr>
                <w:rFonts w:hint="eastAsia"/>
                <w:color w:val="auto"/>
              </w:rPr>
            </w:pPr>
            <w:r>
              <w:rPr>
                <w:rFonts w:hint="eastAsia"/>
                <w:color w:val="auto"/>
                <w:lang w:val="en-US" w:eastAsia="zh-CN"/>
              </w:rPr>
              <w:t>0.0%</w:t>
            </w:r>
          </w:p>
        </w:tc>
      </w:tr>
      <w:tr w14:paraId="163002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677" w:type="pct"/>
            <w:vMerge w:val="continue"/>
            <w:tcBorders>
              <w:tl2br w:val="nil"/>
              <w:tr2bl w:val="nil"/>
            </w:tcBorders>
            <w:shd w:val="clear" w:color="auto" w:fill="auto"/>
            <w:noWrap/>
            <w:vAlign w:val="center"/>
          </w:tcPr>
          <w:p w14:paraId="5824F555">
            <w:pPr>
              <w:pStyle w:val="34"/>
              <w:tabs>
                <w:tab w:val="left" w:pos="1389"/>
              </w:tabs>
              <w:bidi w:val="0"/>
              <w:rPr>
                <w:rFonts w:hint="eastAsia"/>
                <w:color w:val="auto"/>
              </w:rPr>
            </w:pPr>
          </w:p>
        </w:tc>
        <w:tc>
          <w:tcPr>
            <w:tcW w:w="889" w:type="pct"/>
            <w:tcBorders>
              <w:tl2br w:val="nil"/>
              <w:tr2bl w:val="nil"/>
            </w:tcBorders>
            <w:shd w:val="clear" w:color="auto" w:fill="auto"/>
            <w:noWrap/>
            <w:vAlign w:val="center"/>
          </w:tcPr>
          <w:p w14:paraId="55D2B29E">
            <w:pPr>
              <w:pStyle w:val="34"/>
              <w:tabs>
                <w:tab w:val="left" w:pos="1389"/>
              </w:tabs>
              <w:bidi w:val="0"/>
              <w:rPr>
                <w:rFonts w:hint="eastAsia"/>
                <w:color w:val="auto"/>
              </w:rPr>
            </w:pPr>
            <w:r>
              <w:rPr>
                <w:rFonts w:hint="eastAsia"/>
                <w:color w:val="auto"/>
                <w:lang w:val="en-US" w:eastAsia="zh-CN"/>
              </w:rPr>
              <w:t>其他无植被区</w:t>
            </w:r>
          </w:p>
        </w:tc>
        <w:tc>
          <w:tcPr>
            <w:tcW w:w="1476" w:type="dxa"/>
            <w:tcBorders>
              <w:tl2br w:val="nil"/>
              <w:tr2bl w:val="nil"/>
            </w:tcBorders>
            <w:shd w:val="clear" w:color="auto" w:fill="auto"/>
            <w:noWrap/>
            <w:vAlign w:val="center"/>
          </w:tcPr>
          <w:p w14:paraId="237A0D4E">
            <w:pPr>
              <w:pStyle w:val="34"/>
              <w:tabs>
                <w:tab w:val="left" w:pos="1389"/>
              </w:tabs>
              <w:bidi w:val="0"/>
              <w:rPr>
                <w:rFonts w:hint="eastAsia"/>
                <w:color w:val="auto"/>
              </w:rPr>
            </w:pPr>
            <w:r>
              <w:rPr>
                <w:rFonts w:hint="eastAsia"/>
                <w:color w:val="auto"/>
                <w:lang w:val="en-US" w:eastAsia="zh-CN"/>
              </w:rPr>
              <w:t>35.1851</w:t>
            </w:r>
          </w:p>
        </w:tc>
        <w:tc>
          <w:tcPr>
            <w:tcW w:w="1199" w:type="dxa"/>
            <w:tcBorders>
              <w:tl2br w:val="nil"/>
              <w:tr2bl w:val="nil"/>
            </w:tcBorders>
            <w:shd w:val="clear" w:color="auto" w:fill="auto"/>
            <w:noWrap/>
            <w:vAlign w:val="center"/>
          </w:tcPr>
          <w:p w14:paraId="292F9953">
            <w:pPr>
              <w:pStyle w:val="34"/>
              <w:tabs>
                <w:tab w:val="left" w:pos="1389"/>
              </w:tabs>
              <w:bidi w:val="0"/>
              <w:rPr>
                <w:rFonts w:hint="eastAsia"/>
                <w:color w:val="auto"/>
              </w:rPr>
            </w:pPr>
            <w:r>
              <w:rPr>
                <w:rFonts w:hint="eastAsia"/>
                <w:color w:val="auto"/>
                <w:lang w:val="en-US" w:eastAsia="zh-CN"/>
              </w:rPr>
              <w:t>0</w:t>
            </w:r>
          </w:p>
        </w:tc>
        <w:tc>
          <w:tcPr>
            <w:tcW w:w="1698" w:type="dxa"/>
            <w:tcBorders>
              <w:tl2br w:val="nil"/>
              <w:tr2bl w:val="nil"/>
            </w:tcBorders>
            <w:shd w:val="clear" w:color="auto" w:fill="auto"/>
            <w:vAlign w:val="center"/>
          </w:tcPr>
          <w:p w14:paraId="52747BBB">
            <w:pPr>
              <w:pStyle w:val="34"/>
              <w:tabs>
                <w:tab w:val="left" w:pos="1389"/>
              </w:tabs>
              <w:bidi w:val="0"/>
              <w:rPr>
                <w:rFonts w:hint="eastAsia"/>
                <w:color w:val="auto"/>
              </w:rPr>
            </w:pPr>
            <w:r>
              <w:rPr>
                <w:rFonts w:hint="eastAsia"/>
                <w:color w:val="auto"/>
                <w:lang w:val="en-US" w:eastAsia="zh-CN"/>
              </w:rPr>
              <w:t>0.00</w:t>
            </w:r>
          </w:p>
        </w:tc>
        <w:tc>
          <w:tcPr>
            <w:tcW w:w="1766" w:type="dxa"/>
            <w:tcBorders>
              <w:tl2br w:val="nil"/>
              <w:tr2bl w:val="nil"/>
            </w:tcBorders>
            <w:shd w:val="clear" w:color="auto" w:fill="auto"/>
            <w:vAlign w:val="center"/>
          </w:tcPr>
          <w:p w14:paraId="6BDAFC61">
            <w:pPr>
              <w:pStyle w:val="34"/>
              <w:tabs>
                <w:tab w:val="left" w:pos="1389"/>
              </w:tabs>
              <w:bidi w:val="0"/>
              <w:rPr>
                <w:rFonts w:hint="eastAsia"/>
                <w:color w:val="auto"/>
              </w:rPr>
            </w:pPr>
            <w:r>
              <w:rPr>
                <w:rFonts w:hint="eastAsia"/>
                <w:color w:val="auto"/>
                <w:lang w:val="en-US" w:eastAsia="zh-CN"/>
              </w:rPr>
              <w:t>0.0%</w:t>
            </w:r>
          </w:p>
        </w:tc>
      </w:tr>
      <w:tr w14:paraId="77A4C4A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567" w:type="pct"/>
            <w:gridSpan w:val="2"/>
            <w:tcBorders>
              <w:tl2br w:val="nil"/>
              <w:tr2bl w:val="nil"/>
            </w:tcBorders>
            <w:shd w:val="clear" w:color="auto" w:fill="auto"/>
            <w:noWrap/>
            <w:vAlign w:val="center"/>
          </w:tcPr>
          <w:p w14:paraId="5E268617">
            <w:pPr>
              <w:pStyle w:val="34"/>
              <w:tabs>
                <w:tab w:val="left" w:pos="1389"/>
              </w:tabs>
              <w:bidi w:val="0"/>
              <w:rPr>
                <w:rFonts w:hint="eastAsia"/>
                <w:color w:val="auto"/>
              </w:rPr>
            </w:pPr>
            <w:r>
              <w:rPr>
                <w:rFonts w:hint="eastAsia"/>
                <w:color w:val="auto"/>
                <w:lang w:val="en-US" w:eastAsia="zh-CN"/>
              </w:rPr>
              <w:t>合计</w:t>
            </w:r>
          </w:p>
        </w:tc>
        <w:tc>
          <w:tcPr>
            <w:tcW w:w="1476" w:type="dxa"/>
            <w:tcBorders>
              <w:tl2br w:val="nil"/>
              <w:tr2bl w:val="nil"/>
            </w:tcBorders>
            <w:shd w:val="clear" w:color="auto" w:fill="auto"/>
            <w:noWrap/>
            <w:vAlign w:val="center"/>
          </w:tcPr>
          <w:p w14:paraId="52DE5AFE">
            <w:pPr>
              <w:pStyle w:val="34"/>
              <w:tabs>
                <w:tab w:val="left" w:pos="1389"/>
              </w:tabs>
              <w:bidi w:val="0"/>
              <w:rPr>
                <w:rFonts w:hint="eastAsia"/>
                <w:color w:val="auto"/>
              </w:rPr>
            </w:pPr>
            <w:r>
              <w:rPr>
                <w:rFonts w:hint="eastAsia"/>
                <w:color w:val="auto"/>
                <w:lang w:val="en-US" w:eastAsia="zh-CN"/>
              </w:rPr>
              <w:t>1135.3951</w:t>
            </w:r>
          </w:p>
        </w:tc>
        <w:tc>
          <w:tcPr>
            <w:tcW w:w="1199" w:type="dxa"/>
            <w:tcBorders>
              <w:tl2br w:val="nil"/>
              <w:tr2bl w:val="nil"/>
            </w:tcBorders>
            <w:shd w:val="clear" w:color="auto" w:fill="auto"/>
            <w:noWrap/>
            <w:vAlign w:val="center"/>
          </w:tcPr>
          <w:p w14:paraId="2BCF472C">
            <w:pPr>
              <w:pStyle w:val="34"/>
              <w:tabs>
                <w:tab w:val="left" w:pos="1389"/>
              </w:tabs>
              <w:bidi w:val="0"/>
              <w:rPr>
                <w:rFonts w:hint="eastAsia"/>
                <w:color w:val="auto"/>
              </w:rPr>
            </w:pPr>
          </w:p>
        </w:tc>
        <w:tc>
          <w:tcPr>
            <w:tcW w:w="1698" w:type="dxa"/>
            <w:tcBorders>
              <w:tl2br w:val="nil"/>
              <w:tr2bl w:val="nil"/>
            </w:tcBorders>
            <w:shd w:val="clear" w:color="auto" w:fill="auto"/>
            <w:noWrap/>
            <w:vAlign w:val="center"/>
          </w:tcPr>
          <w:p w14:paraId="2EBE7275">
            <w:pPr>
              <w:pStyle w:val="34"/>
              <w:tabs>
                <w:tab w:val="left" w:pos="1389"/>
              </w:tabs>
              <w:bidi w:val="0"/>
              <w:rPr>
                <w:rFonts w:hint="eastAsia"/>
                <w:color w:val="auto"/>
              </w:rPr>
            </w:pPr>
            <w:r>
              <w:rPr>
                <w:rFonts w:hint="eastAsia"/>
                <w:color w:val="auto"/>
                <w:lang w:val="en-US" w:eastAsia="zh-CN"/>
              </w:rPr>
              <w:t>108755.69</w:t>
            </w:r>
          </w:p>
        </w:tc>
        <w:tc>
          <w:tcPr>
            <w:tcW w:w="1766" w:type="dxa"/>
            <w:tcBorders>
              <w:tl2br w:val="nil"/>
              <w:tr2bl w:val="nil"/>
            </w:tcBorders>
            <w:shd w:val="clear" w:color="auto" w:fill="auto"/>
            <w:vAlign w:val="center"/>
          </w:tcPr>
          <w:p w14:paraId="03D884DA">
            <w:pPr>
              <w:pStyle w:val="34"/>
              <w:tabs>
                <w:tab w:val="left" w:pos="1389"/>
              </w:tabs>
              <w:bidi w:val="0"/>
              <w:rPr>
                <w:rFonts w:hint="eastAsia"/>
                <w:color w:val="auto"/>
              </w:rPr>
            </w:pPr>
            <w:r>
              <w:rPr>
                <w:rFonts w:hint="eastAsia"/>
                <w:color w:val="auto"/>
                <w:lang w:val="en-US" w:eastAsia="zh-CN"/>
              </w:rPr>
              <w:t>100.0%</w:t>
            </w:r>
          </w:p>
        </w:tc>
      </w:tr>
    </w:tbl>
    <w:p w14:paraId="25954DA6">
      <w:pPr>
        <w:pStyle w:val="4"/>
        <w:bidi w:val="0"/>
        <w:rPr>
          <w:color w:val="auto"/>
        </w:rPr>
      </w:pPr>
      <w:r>
        <w:rPr>
          <w:rFonts w:hint="eastAsia"/>
          <w:color w:val="auto"/>
          <w:lang w:val="en-US" w:eastAsia="zh-CN"/>
        </w:rPr>
        <w:t>2.6</w:t>
      </w:r>
      <w:r>
        <w:rPr>
          <w:rFonts w:hint="eastAsia"/>
          <w:color w:val="auto"/>
        </w:rPr>
        <w:t>生态系统的生产力现状</w:t>
      </w:r>
    </w:p>
    <w:p w14:paraId="6DCD2C30">
      <w:pPr>
        <w:pStyle w:val="41"/>
        <w:bidi w:val="0"/>
        <w:rPr>
          <w:color w:val="auto"/>
        </w:rPr>
      </w:pPr>
      <w:r>
        <w:rPr>
          <w:color w:val="auto"/>
        </w:rPr>
        <w:t>根据评价区内各种植被类型的面积，以及各植被类型生态系统的净生产力</w:t>
      </w:r>
      <w:r>
        <w:rPr>
          <w:rFonts w:hint="eastAsia"/>
          <w:color w:val="auto"/>
          <w:lang w:eastAsia="zh-CN"/>
        </w:rPr>
        <w:t>（</w:t>
      </w:r>
      <w:r>
        <w:rPr>
          <w:color w:val="auto"/>
        </w:rPr>
        <w:t>t/a.hm</w:t>
      </w:r>
      <w:r>
        <w:rPr>
          <w:color w:val="auto"/>
          <w:vertAlign w:val="superscript"/>
        </w:rPr>
        <w:t>2</w:t>
      </w:r>
      <w:r>
        <w:rPr>
          <w:color w:val="auto"/>
        </w:rPr>
        <w:t>)，（Whittaker，Likens，1975</w:t>
      </w:r>
      <w:r>
        <w:rPr>
          <w:rFonts w:hint="eastAsia"/>
          <w:color w:val="auto"/>
        </w:rPr>
        <w:t>）</w:t>
      </w:r>
      <w:r>
        <w:rPr>
          <w:color w:val="auto"/>
        </w:rPr>
        <w:t>，计算得到评价区生态系统的年生产力及其总和</w:t>
      </w:r>
      <w:r>
        <w:rPr>
          <w:rFonts w:hint="eastAsia"/>
          <w:color w:val="auto"/>
        </w:rPr>
        <w:t>。</w:t>
      </w:r>
    </w:p>
    <w:p w14:paraId="5E3A23E8">
      <w:pPr>
        <w:pStyle w:val="42"/>
        <w:bidi w:val="0"/>
        <w:rPr>
          <w:color w:val="auto"/>
        </w:rPr>
      </w:pPr>
      <w:r>
        <w:rPr>
          <w:rFonts w:hint="eastAsia"/>
          <w:color w:val="auto"/>
        </w:rPr>
        <w:t>表</w:t>
      </w:r>
      <w:r>
        <w:rPr>
          <w:rFonts w:hint="eastAsia"/>
          <w:color w:val="auto"/>
          <w:lang w:val="en-US" w:eastAsia="zh-CN"/>
        </w:rPr>
        <w:t xml:space="preserve">2-18  </w:t>
      </w:r>
      <w:r>
        <w:rPr>
          <w:rFonts w:hint="eastAsia"/>
          <w:color w:val="auto"/>
        </w:rPr>
        <w:t>评价区每年生态系统生产力表一览表</w:t>
      </w:r>
    </w:p>
    <w:tbl>
      <w:tblPr>
        <w:tblStyle w:val="20"/>
        <w:tblW w:w="4998"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162"/>
        <w:gridCol w:w="1527"/>
        <w:gridCol w:w="2071"/>
        <w:gridCol w:w="1158"/>
        <w:gridCol w:w="1241"/>
        <w:gridCol w:w="1783"/>
      </w:tblGrid>
      <w:tr w14:paraId="77F87A5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95" w:hRule="atLeast"/>
        </w:trPr>
        <w:tc>
          <w:tcPr>
            <w:tcW w:w="650" w:type="pct"/>
            <w:tcBorders>
              <w:tl2br w:val="nil"/>
              <w:tr2bl w:val="nil"/>
            </w:tcBorders>
            <w:shd w:val="clear" w:color="auto" w:fill="auto"/>
            <w:noWrap/>
            <w:vAlign w:val="center"/>
          </w:tcPr>
          <w:p w14:paraId="4BF3449F">
            <w:pPr>
              <w:pStyle w:val="34"/>
              <w:tabs>
                <w:tab w:val="left" w:pos="1389"/>
              </w:tabs>
              <w:bidi w:val="0"/>
              <w:rPr>
                <w:rFonts w:hint="eastAsia"/>
                <w:color w:val="auto"/>
              </w:rPr>
            </w:pPr>
            <w:r>
              <w:rPr>
                <w:rFonts w:hint="eastAsia"/>
                <w:color w:val="auto"/>
                <w:lang w:val="en-US" w:eastAsia="zh-CN"/>
              </w:rPr>
              <w:t>属性</w:t>
            </w:r>
          </w:p>
        </w:tc>
        <w:tc>
          <w:tcPr>
            <w:tcW w:w="853" w:type="pct"/>
            <w:tcBorders>
              <w:tl2br w:val="nil"/>
              <w:tr2bl w:val="nil"/>
            </w:tcBorders>
            <w:shd w:val="clear" w:color="auto" w:fill="auto"/>
            <w:vAlign w:val="center"/>
          </w:tcPr>
          <w:p w14:paraId="39CBDAF7">
            <w:pPr>
              <w:pStyle w:val="34"/>
              <w:tabs>
                <w:tab w:val="left" w:pos="1389"/>
              </w:tabs>
              <w:bidi w:val="0"/>
              <w:rPr>
                <w:rFonts w:hint="eastAsia"/>
                <w:color w:val="auto"/>
              </w:rPr>
            </w:pPr>
            <w:r>
              <w:rPr>
                <w:rFonts w:hint="eastAsia"/>
                <w:color w:val="auto"/>
                <w:lang w:val="en-US" w:eastAsia="zh-CN"/>
              </w:rPr>
              <w:t>生态系统</w:t>
            </w:r>
          </w:p>
        </w:tc>
        <w:tc>
          <w:tcPr>
            <w:tcW w:w="1157" w:type="pct"/>
            <w:tcBorders>
              <w:tl2br w:val="nil"/>
              <w:tr2bl w:val="nil"/>
            </w:tcBorders>
            <w:shd w:val="clear" w:color="auto" w:fill="auto"/>
            <w:vAlign w:val="center"/>
          </w:tcPr>
          <w:p w14:paraId="61492FF6">
            <w:pPr>
              <w:pStyle w:val="34"/>
              <w:tabs>
                <w:tab w:val="left" w:pos="1389"/>
              </w:tabs>
              <w:bidi w:val="0"/>
              <w:rPr>
                <w:rFonts w:hint="eastAsia"/>
                <w:color w:val="auto"/>
              </w:rPr>
            </w:pPr>
            <w:r>
              <w:rPr>
                <w:rFonts w:hint="eastAsia"/>
                <w:color w:val="auto"/>
                <w:lang w:val="en-US" w:eastAsia="zh-CN"/>
              </w:rPr>
              <w:t>评价区面积（</w:t>
            </w:r>
            <w:r>
              <w:rPr>
                <w:rFonts w:hint="default"/>
                <w:color w:val="auto"/>
                <w:lang w:val="en-US" w:eastAsia="zh-CN"/>
              </w:rPr>
              <w:t>hm</w:t>
            </w:r>
            <w:r>
              <w:rPr>
                <w:color w:val="auto"/>
                <w:vertAlign w:val="superscript"/>
                <w:lang w:val="en-US" w:eastAsia="zh-CN"/>
              </w:rPr>
              <w:t>2</w:t>
            </w:r>
            <w:r>
              <w:rPr>
                <w:rFonts w:hint="eastAsia"/>
                <w:color w:val="auto"/>
                <w:lang w:val="en-US" w:eastAsia="zh-CN"/>
              </w:rPr>
              <w:t>）</w:t>
            </w:r>
          </w:p>
        </w:tc>
        <w:tc>
          <w:tcPr>
            <w:tcW w:w="647" w:type="pct"/>
            <w:tcBorders>
              <w:tl2br w:val="nil"/>
              <w:tr2bl w:val="nil"/>
            </w:tcBorders>
            <w:shd w:val="clear" w:color="auto" w:fill="auto"/>
            <w:vAlign w:val="center"/>
          </w:tcPr>
          <w:p w14:paraId="5F3685D5">
            <w:pPr>
              <w:pStyle w:val="34"/>
              <w:tabs>
                <w:tab w:val="left" w:pos="1389"/>
              </w:tabs>
              <w:bidi w:val="0"/>
              <w:rPr>
                <w:rFonts w:hint="eastAsia"/>
                <w:color w:val="auto"/>
              </w:rPr>
            </w:pPr>
            <w:r>
              <w:rPr>
                <w:rFonts w:hint="eastAsia"/>
                <w:color w:val="auto"/>
                <w:lang w:val="en-US" w:eastAsia="zh-CN"/>
              </w:rPr>
              <w:t>净生产力（</w:t>
            </w:r>
            <w:r>
              <w:rPr>
                <w:rFonts w:hint="default"/>
                <w:color w:val="auto"/>
                <w:lang w:val="en-US" w:eastAsia="zh-CN"/>
              </w:rPr>
              <w:t>t/a.hm</w:t>
            </w:r>
            <w:r>
              <w:rPr>
                <w:color w:val="auto"/>
                <w:vertAlign w:val="superscript"/>
                <w:lang w:val="en-US" w:eastAsia="zh-CN"/>
              </w:rPr>
              <w:t>2</w:t>
            </w:r>
            <w:r>
              <w:rPr>
                <w:rFonts w:hint="default"/>
                <w:color w:val="auto"/>
                <w:lang w:val="en-US" w:eastAsia="zh-CN"/>
              </w:rPr>
              <w:t>)</w:t>
            </w:r>
          </w:p>
        </w:tc>
        <w:tc>
          <w:tcPr>
            <w:tcW w:w="693" w:type="pct"/>
            <w:tcBorders>
              <w:tl2br w:val="nil"/>
              <w:tr2bl w:val="nil"/>
            </w:tcBorders>
            <w:shd w:val="clear" w:color="auto" w:fill="auto"/>
            <w:vAlign w:val="center"/>
          </w:tcPr>
          <w:p w14:paraId="3C4BDD36">
            <w:pPr>
              <w:pStyle w:val="34"/>
              <w:tabs>
                <w:tab w:val="left" w:pos="1389"/>
              </w:tabs>
              <w:bidi w:val="0"/>
              <w:rPr>
                <w:rFonts w:hint="eastAsia"/>
                <w:color w:val="auto"/>
              </w:rPr>
            </w:pPr>
            <w:r>
              <w:rPr>
                <w:rFonts w:hint="eastAsia"/>
                <w:color w:val="auto"/>
                <w:lang w:val="en-US" w:eastAsia="zh-CN"/>
              </w:rPr>
              <w:t>生产力（</w:t>
            </w:r>
            <w:r>
              <w:rPr>
                <w:rFonts w:hint="default"/>
                <w:color w:val="auto"/>
                <w:lang w:val="en-US" w:eastAsia="zh-CN"/>
              </w:rPr>
              <w:t>t/</w:t>
            </w:r>
            <w:r>
              <w:rPr>
                <w:rFonts w:hint="eastAsia"/>
                <w:color w:val="auto"/>
                <w:lang w:val="en-US" w:eastAsia="zh-CN"/>
              </w:rPr>
              <w:t>a）</w:t>
            </w:r>
          </w:p>
        </w:tc>
        <w:tc>
          <w:tcPr>
            <w:tcW w:w="995" w:type="pct"/>
            <w:tcBorders>
              <w:tl2br w:val="nil"/>
              <w:tr2bl w:val="nil"/>
            </w:tcBorders>
            <w:shd w:val="clear" w:color="auto" w:fill="auto"/>
            <w:vAlign w:val="center"/>
          </w:tcPr>
          <w:p w14:paraId="0379B66F">
            <w:pPr>
              <w:pStyle w:val="34"/>
              <w:tabs>
                <w:tab w:val="left" w:pos="1389"/>
              </w:tabs>
              <w:bidi w:val="0"/>
              <w:rPr>
                <w:rFonts w:hint="eastAsia"/>
                <w:color w:val="auto"/>
              </w:rPr>
            </w:pPr>
            <w:r>
              <w:rPr>
                <w:rFonts w:hint="eastAsia"/>
                <w:color w:val="auto"/>
                <w:lang w:val="en-US" w:eastAsia="zh-CN"/>
              </w:rPr>
              <w:t>占评价区总生产力比例（%）</w:t>
            </w:r>
          </w:p>
        </w:tc>
      </w:tr>
      <w:tr w14:paraId="1742659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50" w:type="pct"/>
            <w:vMerge w:val="restart"/>
            <w:tcBorders>
              <w:tl2br w:val="nil"/>
              <w:tr2bl w:val="nil"/>
            </w:tcBorders>
            <w:shd w:val="clear" w:color="auto" w:fill="auto"/>
            <w:noWrap/>
            <w:vAlign w:val="center"/>
          </w:tcPr>
          <w:p w14:paraId="3E39998B">
            <w:pPr>
              <w:pStyle w:val="34"/>
              <w:tabs>
                <w:tab w:val="left" w:pos="1389"/>
              </w:tabs>
              <w:bidi w:val="0"/>
              <w:rPr>
                <w:rFonts w:hint="eastAsia"/>
                <w:color w:val="auto"/>
              </w:rPr>
            </w:pPr>
            <w:r>
              <w:rPr>
                <w:rFonts w:hint="eastAsia"/>
                <w:color w:val="auto"/>
                <w:lang w:val="en-US" w:eastAsia="zh-CN"/>
              </w:rPr>
              <w:t>自然植被</w:t>
            </w:r>
          </w:p>
        </w:tc>
        <w:tc>
          <w:tcPr>
            <w:tcW w:w="853" w:type="pct"/>
            <w:tcBorders>
              <w:tl2br w:val="nil"/>
              <w:tr2bl w:val="nil"/>
            </w:tcBorders>
            <w:shd w:val="clear" w:color="auto" w:fill="auto"/>
            <w:vAlign w:val="center"/>
          </w:tcPr>
          <w:p w14:paraId="4BF73483">
            <w:pPr>
              <w:pStyle w:val="34"/>
              <w:tabs>
                <w:tab w:val="left" w:pos="1389"/>
              </w:tabs>
              <w:bidi w:val="0"/>
              <w:rPr>
                <w:rFonts w:hint="eastAsia"/>
                <w:color w:val="auto"/>
              </w:rPr>
            </w:pPr>
            <w:r>
              <w:rPr>
                <w:rFonts w:hint="eastAsia"/>
                <w:color w:val="auto"/>
                <w:lang w:val="en-US" w:eastAsia="zh-CN"/>
              </w:rPr>
              <w:t>常绿阔叶林</w:t>
            </w:r>
          </w:p>
        </w:tc>
        <w:tc>
          <w:tcPr>
            <w:tcW w:w="2071" w:type="dxa"/>
            <w:tcBorders>
              <w:tl2br w:val="nil"/>
              <w:tr2bl w:val="nil"/>
            </w:tcBorders>
            <w:shd w:val="clear" w:color="auto" w:fill="auto"/>
            <w:vAlign w:val="center"/>
          </w:tcPr>
          <w:p w14:paraId="42DD018E">
            <w:pPr>
              <w:pStyle w:val="34"/>
              <w:tabs>
                <w:tab w:val="left" w:pos="1389"/>
              </w:tabs>
              <w:bidi w:val="0"/>
              <w:rPr>
                <w:rFonts w:hint="default"/>
                <w:color w:val="auto"/>
              </w:rPr>
            </w:pPr>
            <w:r>
              <w:rPr>
                <w:rFonts w:hint="default"/>
                <w:color w:val="auto"/>
                <w:lang w:val="en-US" w:eastAsia="zh-CN"/>
              </w:rPr>
              <w:t>55.4841</w:t>
            </w:r>
          </w:p>
        </w:tc>
        <w:tc>
          <w:tcPr>
            <w:tcW w:w="1158" w:type="dxa"/>
            <w:tcBorders>
              <w:tl2br w:val="nil"/>
              <w:tr2bl w:val="nil"/>
            </w:tcBorders>
            <w:shd w:val="clear" w:color="auto" w:fill="auto"/>
            <w:noWrap/>
            <w:vAlign w:val="center"/>
          </w:tcPr>
          <w:p w14:paraId="38756A60">
            <w:pPr>
              <w:pStyle w:val="34"/>
              <w:tabs>
                <w:tab w:val="left" w:pos="1389"/>
              </w:tabs>
              <w:bidi w:val="0"/>
              <w:rPr>
                <w:rFonts w:hint="default"/>
                <w:color w:val="auto"/>
              </w:rPr>
            </w:pPr>
            <w:r>
              <w:rPr>
                <w:rFonts w:hint="default"/>
                <w:color w:val="auto"/>
                <w:lang w:val="en-US" w:eastAsia="zh-CN"/>
              </w:rPr>
              <w:t>10</w:t>
            </w:r>
          </w:p>
        </w:tc>
        <w:tc>
          <w:tcPr>
            <w:tcW w:w="1240" w:type="dxa"/>
            <w:tcBorders>
              <w:tl2br w:val="nil"/>
              <w:tr2bl w:val="nil"/>
            </w:tcBorders>
            <w:shd w:val="clear" w:color="auto" w:fill="auto"/>
            <w:noWrap/>
            <w:vAlign w:val="center"/>
          </w:tcPr>
          <w:p w14:paraId="365AB089">
            <w:pPr>
              <w:pStyle w:val="34"/>
              <w:tabs>
                <w:tab w:val="left" w:pos="1389"/>
              </w:tabs>
              <w:bidi w:val="0"/>
              <w:rPr>
                <w:rFonts w:hint="default"/>
                <w:color w:val="auto"/>
              </w:rPr>
            </w:pPr>
            <w:r>
              <w:rPr>
                <w:rFonts w:hint="default"/>
                <w:color w:val="auto"/>
                <w:lang w:val="en-US" w:eastAsia="zh-CN"/>
              </w:rPr>
              <w:t>554.84</w:t>
            </w:r>
          </w:p>
        </w:tc>
        <w:tc>
          <w:tcPr>
            <w:tcW w:w="1782" w:type="dxa"/>
            <w:tcBorders>
              <w:tl2br w:val="nil"/>
              <w:tr2bl w:val="nil"/>
            </w:tcBorders>
            <w:shd w:val="clear" w:color="auto" w:fill="auto"/>
            <w:noWrap/>
            <w:vAlign w:val="center"/>
          </w:tcPr>
          <w:p w14:paraId="4D99B8E9">
            <w:pPr>
              <w:pStyle w:val="34"/>
              <w:tabs>
                <w:tab w:val="left" w:pos="1389"/>
              </w:tabs>
              <w:bidi w:val="0"/>
              <w:rPr>
                <w:rFonts w:hint="default"/>
                <w:color w:val="auto"/>
              </w:rPr>
            </w:pPr>
            <w:r>
              <w:rPr>
                <w:rFonts w:hint="default"/>
                <w:color w:val="auto"/>
                <w:lang w:val="en-US" w:eastAsia="zh-CN"/>
              </w:rPr>
              <w:t>7.3%</w:t>
            </w:r>
          </w:p>
        </w:tc>
      </w:tr>
      <w:tr w14:paraId="078DFA8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50" w:type="pct"/>
            <w:vMerge w:val="continue"/>
            <w:tcBorders>
              <w:tl2br w:val="nil"/>
              <w:tr2bl w:val="nil"/>
            </w:tcBorders>
            <w:shd w:val="clear" w:color="auto" w:fill="auto"/>
            <w:noWrap/>
            <w:vAlign w:val="center"/>
          </w:tcPr>
          <w:p w14:paraId="3F9C89DB">
            <w:pPr>
              <w:pStyle w:val="34"/>
              <w:tabs>
                <w:tab w:val="left" w:pos="1389"/>
              </w:tabs>
              <w:bidi w:val="0"/>
              <w:rPr>
                <w:rFonts w:hint="eastAsia"/>
                <w:color w:val="auto"/>
              </w:rPr>
            </w:pPr>
          </w:p>
        </w:tc>
        <w:tc>
          <w:tcPr>
            <w:tcW w:w="853" w:type="pct"/>
            <w:tcBorders>
              <w:tl2br w:val="nil"/>
              <w:tr2bl w:val="nil"/>
            </w:tcBorders>
            <w:shd w:val="clear" w:color="auto" w:fill="auto"/>
            <w:vAlign w:val="center"/>
          </w:tcPr>
          <w:p w14:paraId="1F04C3DA">
            <w:pPr>
              <w:pStyle w:val="34"/>
              <w:tabs>
                <w:tab w:val="left" w:pos="1389"/>
              </w:tabs>
              <w:bidi w:val="0"/>
              <w:rPr>
                <w:rFonts w:hint="eastAsia"/>
                <w:color w:val="auto"/>
              </w:rPr>
            </w:pPr>
            <w:r>
              <w:rPr>
                <w:rFonts w:hint="eastAsia"/>
                <w:color w:val="auto"/>
                <w:lang w:val="en-US" w:eastAsia="zh-CN"/>
              </w:rPr>
              <w:t>落叶阔叶林</w:t>
            </w:r>
          </w:p>
        </w:tc>
        <w:tc>
          <w:tcPr>
            <w:tcW w:w="2071" w:type="dxa"/>
            <w:tcBorders>
              <w:tl2br w:val="nil"/>
              <w:tr2bl w:val="nil"/>
            </w:tcBorders>
            <w:shd w:val="clear" w:color="auto" w:fill="auto"/>
            <w:vAlign w:val="center"/>
          </w:tcPr>
          <w:p w14:paraId="360BA94B">
            <w:pPr>
              <w:pStyle w:val="34"/>
              <w:tabs>
                <w:tab w:val="left" w:pos="1389"/>
              </w:tabs>
              <w:bidi w:val="0"/>
              <w:rPr>
                <w:rFonts w:hint="default"/>
                <w:color w:val="auto"/>
              </w:rPr>
            </w:pPr>
            <w:r>
              <w:rPr>
                <w:rFonts w:hint="default"/>
                <w:color w:val="auto"/>
                <w:lang w:val="en-US" w:eastAsia="zh-CN"/>
              </w:rPr>
              <w:t>17.5925</w:t>
            </w:r>
          </w:p>
        </w:tc>
        <w:tc>
          <w:tcPr>
            <w:tcW w:w="1158" w:type="dxa"/>
            <w:tcBorders>
              <w:tl2br w:val="nil"/>
              <w:tr2bl w:val="nil"/>
            </w:tcBorders>
            <w:shd w:val="clear" w:color="auto" w:fill="auto"/>
            <w:noWrap/>
            <w:vAlign w:val="center"/>
          </w:tcPr>
          <w:p w14:paraId="7F237BEA">
            <w:pPr>
              <w:pStyle w:val="34"/>
              <w:tabs>
                <w:tab w:val="left" w:pos="1389"/>
              </w:tabs>
              <w:bidi w:val="0"/>
              <w:rPr>
                <w:rFonts w:hint="default"/>
                <w:color w:val="auto"/>
              </w:rPr>
            </w:pPr>
            <w:r>
              <w:rPr>
                <w:rFonts w:hint="default"/>
                <w:color w:val="auto"/>
                <w:lang w:val="en-US" w:eastAsia="zh-CN"/>
              </w:rPr>
              <w:t>8</w:t>
            </w:r>
          </w:p>
        </w:tc>
        <w:tc>
          <w:tcPr>
            <w:tcW w:w="1240" w:type="dxa"/>
            <w:tcBorders>
              <w:tl2br w:val="nil"/>
              <w:tr2bl w:val="nil"/>
            </w:tcBorders>
            <w:shd w:val="clear" w:color="auto" w:fill="auto"/>
            <w:noWrap/>
            <w:vAlign w:val="center"/>
          </w:tcPr>
          <w:p w14:paraId="3C25672E">
            <w:pPr>
              <w:pStyle w:val="34"/>
              <w:tabs>
                <w:tab w:val="left" w:pos="1389"/>
              </w:tabs>
              <w:bidi w:val="0"/>
              <w:rPr>
                <w:rFonts w:hint="default"/>
                <w:color w:val="auto"/>
              </w:rPr>
            </w:pPr>
            <w:r>
              <w:rPr>
                <w:rFonts w:hint="default"/>
                <w:color w:val="auto"/>
                <w:lang w:val="en-US" w:eastAsia="zh-CN"/>
              </w:rPr>
              <w:t>140.74</w:t>
            </w:r>
          </w:p>
        </w:tc>
        <w:tc>
          <w:tcPr>
            <w:tcW w:w="1782" w:type="dxa"/>
            <w:tcBorders>
              <w:tl2br w:val="nil"/>
              <w:tr2bl w:val="nil"/>
            </w:tcBorders>
            <w:shd w:val="clear" w:color="auto" w:fill="auto"/>
            <w:noWrap/>
            <w:vAlign w:val="center"/>
          </w:tcPr>
          <w:p w14:paraId="2BECA81F">
            <w:pPr>
              <w:pStyle w:val="34"/>
              <w:tabs>
                <w:tab w:val="left" w:pos="1389"/>
              </w:tabs>
              <w:bidi w:val="0"/>
              <w:rPr>
                <w:rFonts w:hint="default"/>
                <w:color w:val="auto"/>
              </w:rPr>
            </w:pPr>
            <w:r>
              <w:rPr>
                <w:rFonts w:hint="default"/>
                <w:color w:val="auto"/>
                <w:lang w:val="en-US" w:eastAsia="zh-CN"/>
              </w:rPr>
              <w:t>1.8%</w:t>
            </w:r>
          </w:p>
        </w:tc>
      </w:tr>
      <w:tr w14:paraId="6A06C4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650" w:type="pct"/>
            <w:vMerge w:val="continue"/>
            <w:tcBorders>
              <w:tl2br w:val="nil"/>
              <w:tr2bl w:val="nil"/>
            </w:tcBorders>
            <w:shd w:val="clear" w:color="auto" w:fill="auto"/>
            <w:noWrap/>
            <w:vAlign w:val="center"/>
          </w:tcPr>
          <w:p w14:paraId="47253E54">
            <w:pPr>
              <w:pStyle w:val="34"/>
              <w:tabs>
                <w:tab w:val="left" w:pos="1389"/>
              </w:tabs>
              <w:bidi w:val="0"/>
              <w:rPr>
                <w:rFonts w:hint="eastAsia"/>
                <w:color w:val="auto"/>
              </w:rPr>
            </w:pPr>
          </w:p>
        </w:tc>
        <w:tc>
          <w:tcPr>
            <w:tcW w:w="853" w:type="pct"/>
            <w:tcBorders>
              <w:tl2br w:val="nil"/>
              <w:tr2bl w:val="nil"/>
            </w:tcBorders>
            <w:shd w:val="clear" w:color="auto" w:fill="auto"/>
            <w:noWrap/>
            <w:vAlign w:val="center"/>
          </w:tcPr>
          <w:p w14:paraId="7DC21CE5">
            <w:pPr>
              <w:pStyle w:val="34"/>
              <w:tabs>
                <w:tab w:val="left" w:pos="1389"/>
              </w:tabs>
              <w:bidi w:val="0"/>
              <w:rPr>
                <w:rFonts w:hint="eastAsia"/>
                <w:color w:val="auto"/>
              </w:rPr>
            </w:pPr>
            <w:r>
              <w:rPr>
                <w:rFonts w:hint="eastAsia"/>
                <w:color w:val="auto"/>
                <w:lang w:val="en-US" w:eastAsia="zh-CN"/>
              </w:rPr>
              <w:t>针叶林</w:t>
            </w:r>
          </w:p>
        </w:tc>
        <w:tc>
          <w:tcPr>
            <w:tcW w:w="2071" w:type="dxa"/>
            <w:tcBorders>
              <w:tl2br w:val="nil"/>
              <w:tr2bl w:val="nil"/>
            </w:tcBorders>
            <w:shd w:val="clear" w:color="auto" w:fill="auto"/>
            <w:noWrap/>
            <w:vAlign w:val="center"/>
          </w:tcPr>
          <w:p w14:paraId="20741579">
            <w:pPr>
              <w:pStyle w:val="34"/>
              <w:tabs>
                <w:tab w:val="left" w:pos="1389"/>
              </w:tabs>
              <w:bidi w:val="0"/>
              <w:rPr>
                <w:rFonts w:hint="default"/>
                <w:color w:val="auto"/>
              </w:rPr>
            </w:pPr>
            <w:r>
              <w:rPr>
                <w:rFonts w:hint="default"/>
                <w:color w:val="auto"/>
                <w:lang w:val="en-US" w:eastAsia="zh-CN"/>
              </w:rPr>
              <w:t>683.4023</w:t>
            </w:r>
          </w:p>
        </w:tc>
        <w:tc>
          <w:tcPr>
            <w:tcW w:w="1158" w:type="dxa"/>
            <w:tcBorders>
              <w:tl2br w:val="nil"/>
              <w:tr2bl w:val="nil"/>
            </w:tcBorders>
            <w:shd w:val="clear" w:color="auto" w:fill="auto"/>
            <w:noWrap/>
            <w:vAlign w:val="center"/>
          </w:tcPr>
          <w:p w14:paraId="025096F5">
            <w:pPr>
              <w:pStyle w:val="34"/>
              <w:tabs>
                <w:tab w:val="left" w:pos="1389"/>
              </w:tabs>
              <w:bidi w:val="0"/>
              <w:rPr>
                <w:rFonts w:hint="default"/>
                <w:color w:val="auto"/>
              </w:rPr>
            </w:pPr>
            <w:r>
              <w:rPr>
                <w:rFonts w:hint="default"/>
                <w:color w:val="auto"/>
                <w:lang w:val="en-US" w:eastAsia="zh-CN"/>
              </w:rPr>
              <w:t>8</w:t>
            </w:r>
          </w:p>
        </w:tc>
        <w:tc>
          <w:tcPr>
            <w:tcW w:w="1240" w:type="dxa"/>
            <w:tcBorders>
              <w:tl2br w:val="nil"/>
              <w:tr2bl w:val="nil"/>
            </w:tcBorders>
            <w:shd w:val="clear" w:color="auto" w:fill="auto"/>
            <w:noWrap/>
            <w:vAlign w:val="center"/>
          </w:tcPr>
          <w:p w14:paraId="42820E63">
            <w:pPr>
              <w:pStyle w:val="34"/>
              <w:tabs>
                <w:tab w:val="left" w:pos="1389"/>
              </w:tabs>
              <w:bidi w:val="0"/>
              <w:rPr>
                <w:rFonts w:hint="default"/>
                <w:color w:val="auto"/>
              </w:rPr>
            </w:pPr>
            <w:r>
              <w:rPr>
                <w:rFonts w:hint="default"/>
                <w:color w:val="auto"/>
                <w:lang w:val="en-US" w:eastAsia="zh-CN"/>
              </w:rPr>
              <w:t>5467.22</w:t>
            </w:r>
          </w:p>
        </w:tc>
        <w:tc>
          <w:tcPr>
            <w:tcW w:w="1782" w:type="dxa"/>
            <w:tcBorders>
              <w:tl2br w:val="nil"/>
              <w:tr2bl w:val="nil"/>
            </w:tcBorders>
            <w:shd w:val="clear" w:color="auto" w:fill="auto"/>
            <w:noWrap/>
            <w:vAlign w:val="center"/>
          </w:tcPr>
          <w:p w14:paraId="5463200B">
            <w:pPr>
              <w:pStyle w:val="34"/>
              <w:tabs>
                <w:tab w:val="left" w:pos="1389"/>
              </w:tabs>
              <w:bidi w:val="0"/>
              <w:rPr>
                <w:rFonts w:hint="default"/>
                <w:color w:val="auto"/>
              </w:rPr>
            </w:pPr>
            <w:r>
              <w:rPr>
                <w:rFonts w:hint="default"/>
                <w:color w:val="auto"/>
                <w:lang w:val="en-US" w:eastAsia="zh-CN"/>
              </w:rPr>
              <w:t>71.6%</w:t>
            </w:r>
          </w:p>
        </w:tc>
      </w:tr>
      <w:tr w14:paraId="6F7A4C8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650" w:type="pct"/>
            <w:vMerge w:val="continue"/>
            <w:tcBorders>
              <w:tl2br w:val="nil"/>
              <w:tr2bl w:val="nil"/>
            </w:tcBorders>
            <w:shd w:val="clear" w:color="auto" w:fill="auto"/>
            <w:noWrap/>
            <w:vAlign w:val="center"/>
          </w:tcPr>
          <w:p w14:paraId="3DB0A7CE">
            <w:pPr>
              <w:pStyle w:val="34"/>
              <w:tabs>
                <w:tab w:val="left" w:pos="1389"/>
              </w:tabs>
              <w:bidi w:val="0"/>
              <w:rPr>
                <w:rFonts w:hint="eastAsia"/>
                <w:color w:val="auto"/>
              </w:rPr>
            </w:pPr>
          </w:p>
        </w:tc>
        <w:tc>
          <w:tcPr>
            <w:tcW w:w="853" w:type="pct"/>
            <w:tcBorders>
              <w:tl2br w:val="nil"/>
              <w:tr2bl w:val="nil"/>
            </w:tcBorders>
            <w:shd w:val="clear" w:color="auto" w:fill="auto"/>
            <w:noWrap/>
            <w:vAlign w:val="center"/>
          </w:tcPr>
          <w:p w14:paraId="7416093B">
            <w:pPr>
              <w:pStyle w:val="34"/>
              <w:tabs>
                <w:tab w:val="left" w:pos="1389"/>
              </w:tabs>
              <w:bidi w:val="0"/>
              <w:rPr>
                <w:rFonts w:hint="eastAsia"/>
                <w:color w:val="auto"/>
              </w:rPr>
            </w:pPr>
            <w:r>
              <w:rPr>
                <w:rFonts w:hint="eastAsia"/>
                <w:color w:val="auto"/>
                <w:lang w:val="en-US" w:eastAsia="zh-CN"/>
              </w:rPr>
              <w:t>灌丛</w:t>
            </w:r>
          </w:p>
        </w:tc>
        <w:tc>
          <w:tcPr>
            <w:tcW w:w="2071" w:type="dxa"/>
            <w:tcBorders>
              <w:tl2br w:val="nil"/>
              <w:tr2bl w:val="nil"/>
            </w:tcBorders>
            <w:shd w:val="clear" w:color="auto" w:fill="auto"/>
            <w:noWrap/>
            <w:vAlign w:val="center"/>
          </w:tcPr>
          <w:p w14:paraId="037EF3B3">
            <w:pPr>
              <w:pStyle w:val="34"/>
              <w:tabs>
                <w:tab w:val="left" w:pos="1389"/>
              </w:tabs>
              <w:bidi w:val="0"/>
              <w:rPr>
                <w:rFonts w:hint="default"/>
                <w:color w:val="auto"/>
              </w:rPr>
            </w:pPr>
            <w:r>
              <w:rPr>
                <w:rFonts w:hint="default"/>
                <w:color w:val="auto"/>
                <w:lang w:val="en-US" w:eastAsia="zh-CN"/>
              </w:rPr>
              <w:t>17.5925</w:t>
            </w:r>
          </w:p>
        </w:tc>
        <w:tc>
          <w:tcPr>
            <w:tcW w:w="1158" w:type="dxa"/>
            <w:tcBorders>
              <w:tl2br w:val="nil"/>
              <w:tr2bl w:val="nil"/>
            </w:tcBorders>
            <w:shd w:val="clear" w:color="auto" w:fill="auto"/>
            <w:noWrap/>
            <w:vAlign w:val="center"/>
          </w:tcPr>
          <w:p w14:paraId="036E7E76">
            <w:pPr>
              <w:pStyle w:val="34"/>
              <w:tabs>
                <w:tab w:val="left" w:pos="1389"/>
              </w:tabs>
              <w:bidi w:val="0"/>
              <w:rPr>
                <w:rFonts w:hint="default"/>
                <w:color w:val="auto"/>
              </w:rPr>
            </w:pPr>
            <w:r>
              <w:rPr>
                <w:rFonts w:hint="default"/>
                <w:color w:val="auto"/>
                <w:lang w:val="en-US" w:eastAsia="zh-CN"/>
              </w:rPr>
              <w:t>5</w:t>
            </w:r>
          </w:p>
        </w:tc>
        <w:tc>
          <w:tcPr>
            <w:tcW w:w="1240" w:type="dxa"/>
            <w:tcBorders>
              <w:tl2br w:val="nil"/>
              <w:tr2bl w:val="nil"/>
            </w:tcBorders>
            <w:shd w:val="clear" w:color="auto" w:fill="auto"/>
            <w:noWrap/>
            <w:vAlign w:val="center"/>
          </w:tcPr>
          <w:p w14:paraId="0F6407DC">
            <w:pPr>
              <w:pStyle w:val="34"/>
              <w:tabs>
                <w:tab w:val="left" w:pos="1389"/>
              </w:tabs>
              <w:bidi w:val="0"/>
              <w:rPr>
                <w:rFonts w:hint="default"/>
                <w:color w:val="auto"/>
              </w:rPr>
            </w:pPr>
            <w:r>
              <w:rPr>
                <w:rFonts w:hint="default"/>
                <w:color w:val="auto"/>
                <w:lang w:val="en-US" w:eastAsia="zh-CN"/>
              </w:rPr>
              <w:t>87.96</w:t>
            </w:r>
          </w:p>
        </w:tc>
        <w:tc>
          <w:tcPr>
            <w:tcW w:w="1782" w:type="dxa"/>
            <w:tcBorders>
              <w:tl2br w:val="nil"/>
              <w:tr2bl w:val="nil"/>
            </w:tcBorders>
            <w:shd w:val="clear" w:color="auto" w:fill="auto"/>
            <w:noWrap/>
            <w:vAlign w:val="center"/>
          </w:tcPr>
          <w:p w14:paraId="5E81BC05">
            <w:pPr>
              <w:pStyle w:val="34"/>
              <w:tabs>
                <w:tab w:val="left" w:pos="1389"/>
              </w:tabs>
              <w:bidi w:val="0"/>
              <w:rPr>
                <w:rFonts w:hint="default"/>
                <w:color w:val="auto"/>
              </w:rPr>
            </w:pPr>
            <w:r>
              <w:rPr>
                <w:rFonts w:hint="default"/>
                <w:color w:val="auto"/>
                <w:lang w:val="en-US" w:eastAsia="zh-CN"/>
              </w:rPr>
              <w:t>1.2%</w:t>
            </w:r>
          </w:p>
        </w:tc>
      </w:tr>
      <w:tr w14:paraId="79CB19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50" w:type="pct"/>
            <w:vMerge w:val="continue"/>
            <w:tcBorders>
              <w:tl2br w:val="nil"/>
              <w:tr2bl w:val="nil"/>
            </w:tcBorders>
            <w:shd w:val="clear" w:color="auto" w:fill="auto"/>
            <w:noWrap/>
            <w:vAlign w:val="center"/>
          </w:tcPr>
          <w:p w14:paraId="056125CC">
            <w:pPr>
              <w:pStyle w:val="34"/>
              <w:tabs>
                <w:tab w:val="left" w:pos="1389"/>
              </w:tabs>
              <w:bidi w:val="0"/>
              <w:rPr>
                <w:rFonts w:hint="eastAsia"/>
                <w:color w:val="auto"/>
              </w:rPr>
            </w:pPr>
          </w:p>
        </w:tc>
        <w:tc>
          <w:tcPr>
            <w:tcW w:w="853" w:type="pct"/>
            <w:tcBorders>
              <w:tl2br w:val="nil"/>
              <w:tr2bl w:val="nil"/>
            </w:tcBorders>
            <w:shd w:val="clear" w:color="auto" w:fill="auto"/>
            <w:noWrap/>
            <w:vAlign w:val="center"/>
          </w:tcPr>
          <w:p w14:paraId="4190907E">
            <w:pPr>
              <w:pStyle w:val="34"/>
              <w:tabs>
                <w:tab w:val="left" w:pos="1389"/>
              </w:tabs>
              <w:bidi w:val="0"/>
              <w:rPr>
                <w:rFonts w:hint="eastAsia"/>
                <w:color w:val="auto"/>
              </w:rPr>
            </w:pPr>
            <w:r>
              <w:rPr>
                <w:rFonts w:hint="eastAsia"/>
                <w:color w:val="auto"/>
                <w:lang w:val="en-US" w:eastAsia="zh-CN"/>
              </w:rPr>
              <w:t>草地</w:t>
            </w:r>
          </w:p>
        </w:tc>
        <w:tc>
          <w:tcPr>
            <w:tcW w:w="2071" w:type="dxa"/>
            <w:tcBorders>
              <w:tl2br w:val="nil"/>
              <w:tr2bl w:val="nil"/>
            </w:tcBorders>
            <w:shd w:val="clear" w:color="auto" w:fill="auto"/>
            <w:noWrap/>
            <w:vAlign w:val="center"/>
          </w:tcPr>
          <w:p w14:paraId="6E73915A">
            <w:pPr>
              <w:pStyle w:val="34"/>
              <w:tabs>
                <w:tab w:val="left" w:pos="1389"/>
              </w:tabs>
              <w:bidi w:val="0"/>
              <w:rPr>
                <w:rFonts w:hint="default"/>
                <w:color w:val="auto"/>
              </w:rPr>
            </w:pPr>
            <w:r>
              <w:rPr>
                <w:rFonts w:hint="default"/>
                <w:color w:val="auto"/>
                <w:lang w:val="en-US" w:eastAsia="zh-CN"/>
              </w:rPr>
              <w:t>120.4412</w:t>
            </w:r>
          </w:p>
        </w:tc>
        <w:tc>
          <w:tcPr>
            <w:tcW w:w="1158" w:type="dxa"/>
            <w:tcBorders>
              <w:tl2br w:val="nil"/>
              <w:tr2bl w:val="nil"/>
            </w:tcBorders>
            <w:shd w:val="clear" w:color="auto" w:fill="auto"/>
            <w:noWrap/>
            <w:vAlign w:val="center"/>
          </w:tcPr>
          <w:p w14:paraId="59B38BCD">
            <w:pPr>
              <w:pStyle w:val="34"/>
              <w:tabs>
                <w:tab w:val="left" w:pos="1389"/>
              </w:tabs>
              <w:bidi w:val="0"/>
              <w:rPr>
                <w:rFonts w:hint="default"/>
                <w:color w:val="auto"/>
              </w:rPr>
            </w:pPr>
            <w:r>
              <w:rPr>
                <w:rFonts w:hint="default"/>
                <w:color w:val="auto"/>
                <w:lang w:val="en-US" w:eastAsia="zh-CN"/>
              </w:rPr>
              <w:t>3</w:t>
            </w:r>
          </w:p>
        </w:tc>
        <w:tc>
          <w:tcPr>
            <w:tcW w:w="1240" w:type="dxa"/>
            <w:tcBorders>
              <w:tl2br w:val="nil"/>
              <w:tr2bl w:val="nil"/>
            </w:tcBorders>
            <w:shd w:val="clear" w:color="auto" w:fill="auto"/>
            <w:noWrap/>
            <w:vAlign w:val="center"/>
          </w:tcPr>
          <w:p w14:paraId="242D8F8F">
            <w:pPr>
              <w:pStyle w:val="34"/>
              <w:tabs>
                <w:tab w:val="left" w:pos="1389"/>
              </w:tabs>
              <w:bidi w:val="0"/>
              <w:rPr>
                <w:rFonts w:hint="default"/>
                <w:color w:val="auto"/>
              </w:rPr>
            </w:pPr>
            <w:r>
              <w:rPr>
                <w:rFonts w:hint="default"/>
                <w:color w:val="auto"/>
                <w:lang w:val="en-US" w:eastAsia="zh-CN"/>
              </w:rPr>
              <w:t>361.32</w:t>
            </w:r>
          </w:p>
        </w:tc>
        <w:tc>
          <w:tcPr>
            <w:tcW w:w="1782" w:type="dxa"/>
            <w:tcBorders>
              <w:tl2br w:val="nil"/>
              <w:tr2bl w:val="nil"/>
            </w:tcBorders>
            <w:shd w:val="clear" w:color="auto" w:fill="auto"/>
            <w:noWrap/>
            <w:vAlign w:val="center"/>
          </w:tcPr>
          <w:p w14:paraId="367185DB">
            <w:pPr>
              <w:pStyle w:val="34"/>
              <w:tabs>
                <w:tab w:val="left" w:pos="1389"/>
              </w:tabs>
              <w:bidi w:val="0"/>
              <w:rPr>
                <w:rFonts w:hint="default"/>
                <w:color w:val="auto"/>
              </w:rPr>
            </w:pPr>
            <w:r>
              <w:rPr>
                <w:rFonts w:hint="default"/>
                <w:color w:val="auto"/>
                <w:lang w:val="en-US" w:eastAsia="zh-CN"/>
              </w:rPr>
              <w:t>4.7%</w:t>
            </w:r>
          </w:p>
        </w:tc>
      </w:tr>
      <w:tr w14:paraId="476FD6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50" w:type="pct"/>
            <w:tcBorders>
              <w:tl2br w:val="nil"/>
              <w:tr2bl w:val="nil"/>
            </w:tcBorders>
            <w:shd w:val="clear" w:color="auto" w:fill="auto"/>
            <w:vAlign w:val="center"/>
          </w:tcPr>
          <w:p w14:paraId="5F16C03F">
            <w:pPr>
              <w:pStyle w:val="34"/>
              <w:tabs>
                <w:tab w:val="left" w:pos="1389"/>
              </w:tabs>
              <w:bidi w:val="0"/>
              <w:rPr>
                <w:rFonts w:hint="eastAsia"/>
                <w:color w:val="auto"/>
              </w:rPr>
            </w:pPr>
            <w:r>
              <w:rPr>
                <w:rFonts w:hint="eastAsia"/>
                <w:color w:val="auto"/>
                <w:lang w:val="en-US" w:eastAsia="zh-CN"/>
              </w:rPr>
              <w:t>人工植被</w:t>
            </w:r>
          </w:p>
        </w:tc>
        <w:tc>
          <w:tcPr>
            <w:tcW w:w="853" w:type="pct"/>
            <w:tcBorders>
              <w:tl2br w:val="nil"/>
              <w:tr2bl w:val="nil"/>
            </w:tcBorders>
            <w:shd w:val="clear" w:color="auto" w:fill="auto"/>
            <w:noWrap/>
            <w:vAlign w:val="center"/>
          </w:tcPr>
          <w:p w14:paraId="788016F3">
            <w:pPr>
              <w:pStyle w:val="34"/>
              <w:tabs>
                <w:tab w:val="left" w:pos="1389"/>
              </w:tabs>
              <w:bidi w:val="0"/>
              <w:rPr>
                <w:rFonts w:hint="eastAsia"/>
                <w:color w:val="auto"/>
              </w:rPr>
            </w:pPr>
            <w:r>
              <w:rPr>
                <w:rFonts w:hint="eastAsia"/>
                <w:color w:val="auto"/>
                <w:lang w:val="en-US" w:eastAsia="zh-CN"/>
              </w:rPr>
              <w:t>耕地</w:t>
            </w:r>
          </w:p>
        </w:tc>
        <w:tc>
          <w:tcPr>
            <w:tcW w:w="2071" w:type="dxa"/>
            <w:tcBorders>
              <w:tl2br w:val="nil"/>
              <w:tr2bl w:val="nil"/>
            </w:tcBorders>
            <w:shd w:val="clear" w:color="auto" w:fill="auto"/>
            <w:noWrap/>
            <w:vAlign w:val="center"/>
          </w:tcPr>
          <w:p w14:paraId="6E34C245">
            <w:pPr>
              <w:pStyle w:val="34"/>
              <w:tabs>
                <w:tab w:val="left" w:pos="1389"/>
              </w:tabs>
              <w:bidi w:val="0"/>
              <w:rPr>
                <w:rFonts w:hint="default"/>
                <w:color w:val="auto"/>
              </w:rPr>
            </w:pPr>
            <w:r>
              <w:rPr>
                <w:rFonts w:hint="default"/>
                <w:color w:val="auto"/>
                <w:lang w:val="en-US" w:eastAsia="zh-CN"/>
              </w:rPr>
              <w:t>202.9908</w:t>
            </w:r>
          </w:p>
        </w:tc>
        <w:tc>
          <w:tcPr>
            <w:tcW w:w="1158" w:type="dxa"/>
            <w:tcBorders>
              <w:tl2br w:val="nil"/>
              <w:tr2bl w:val="nil"/>
            </w:tcBorders>
            <w:shd w:val="clear" w:color="auto" w:fill="auto"/>
            <w:noWrap/>
            <w:vAlign w:val="center"/>
          </w:tcPr>
          <w:p w14:paraId="3B6A78F2">
            <w:pPr>
              <w:pStyle w:val="34"/>
              <w:tabs>
                <w:tab w:val="left" w:pos="1389"/>
              </w:tabs>
              <w:bidi w:val="0"/>
              <w:rPr>
                <w:rFonts w:hint="default"/>
                <w:color w:val="auto"/>
              </w:rPr>
            </w:pPr>
            <w:r>
              <w:rPr>
                <w:rFonts w:hint="default"/>
                <w:color w:val="auto"/>
                <w:lang w:val="en-US" w:eastAsia="zh-CN"/>
              </w:rPr>
              <w:t>5</w:t>
            </w:r>
          </w:p>
        </w:tc>
        <w:tc>
          <w:tcPr>
            <w:tcW w:w="1240" w:type="dxa"/>
            <w:tcBorders>
              <w:tl2br w:val="nil"/>
              <w:tr2bl w:val="nil"/>
            </w:tcBorders>
            <w:shd w:val="clear" w:color="auto" w:fill="auto"/>
            <w:noWrap/>
            <w:vAlign w:val="center"/>
          </w:tcPr>
          <w:p w14:paraId="30DED169">
            <w:pPr>
              <w:pStyle w:val="34"/>
              <w:tabs>
                <w:tab w:val="left" w:pos="1389"/>
              </w:tabs>
              <w:bidi w:val="0"/>
              <w:rPr>
                <w:rFonts w:hint="default"/>
                <w:color w:val="auto"/>
              </w:rPr>
            </w:pPr>
            <w:r>
              <w:rPr>
                <w:rFonts w:hint="default"/>
                <w:color w:val="auto"/>
                <w:lang w:val="en-US" w:eastAsia="zh-CN"/>
              </w:rPr>
              <w:t>1014.95</w:t>
            </w:r>
          </w:p>
        </w:tc>
        <w:tc>
          <w:tcPr>
            <w:tcW w:w="1782" w:type="dxa"/>
            <w:tcBorders>
              <w:tl2br w:val="nil"/>
              <w:tr2bl w:val="nil"/>
            </w:tcBorders>
            <w:shd w:val="clear" w:color="auto" w:fill="auto"/>
            <w:noWrap/>
            <w:vAlign w:val="center"/>
          </w:tcPr>
          <w:p w14:paraId="46CB510B">
            <w:pPr>
              <w:pStyle w:val="34"/>
              <w:tabs>
                <w:tab w:val="left" w:pos="1389"/>
              </w:tabs>
              <w:bidi w:val="0"/>
              <w:rPr>
                <w:rFonts w:hint="default"/>
                <w:color w:val="auto"/>
              </w:rPr>
            </w:pPr>
            <w:r>
              <w:rPr>
                <w:rFonts w:hint="default"/>
                <w:color w:val="auto"/>
                <w:lang w:val="en-US" w:eastAsia="zh-CN"/>
              </w:rPr>
              <w:t>13.3%</w:t>
            </w:r>
          </w:p>
        </w:tc>
      </w:tr>
      <w:tr w14:paraId="6017C93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50" w:type="pct"/>
            <w:vMerge w:val="restart"/>
            <w:tcBorders>
              <w:tl2br w:val="nil"/>
              <w:tr2bl w:val="nil"/>
            </w:tcBorders>
            <w:shd w:val="clear" w:color="auto" w:fill="auto"/>
            <w:noWrap/>
            <w:vAlign w:val="center"/>
          </w:tcPr>
          <w:p w14:paraId="20F48C98">
            <w:pPr>
              <w:pStyle w:val="34"/>
              <w:tabs>
                <w:tab w:val="left" w:pos="1389"/>
              </w:tabs>
              <w:bidi w:val="0"/>
              <w:rPr>
                <w:rFonts w:hint="eastAsia"/>
                <w:color w:val="auto"/>
              </w:rPr>
            </w:pPr>
            <w:r>
              <w:rPr>
                <w:rFonts w:hint="eastAsia"/>
                <w:color w:val="auto"/>
                <w:lang w:val="en-US" w:eastAsia="zh-CN"/>
              </w:rPr>
              <w:t>其他</w:t>
            </w:r>
          </w:p>
        </w:tc>
        <w:tc>
          <w:tcPr>
            <w:tcW w:w="853" w:type="pct"/>
            <w:tcBorders>
              <w:tl2br w:val="nil"/>
              <w:tr2bl w:val="nil"/>
            </w:tcBorders>
            <w:shd w:val="clear" w:color="auto" w:fill="auto"/>
            <w:noWrap/>
            <w:vAlign w:val="center"/>
          </w:tcPr>
          <w:p w14:paraId="4B8E6361">
            <w:pPr>
              <w:pStyle w:val="34"/>
              <w:tabs>
                <w:tab w:val="left" w:pos="1389"/>
              </w:tabs>
              <w:bidi w:val="0"/>
              <w:rPr>
                <w:rFonts w:hint="eastAsia"/>
                <w:color w:val="auto"/>
              </w:rPr>
            </w:pPr>
            <w:r>
              <w:rPr>
                <w:rFonts w:hint="eastAsia"/>
                <w:color w:val="auto"/>
                <w:lang w:val="en-US" w:eastAsia="zh-CN"/>
              </w:rPr>
              <w:t>水库</w:t>
            </w:r>
          </w:p>
        </w:tc>
        <w:tc>
          <w:tcPr>
            <w:tcW w:w="2071" w:type="dxa"/>
            <w:tcBorders>
              <w:tl2br w:val="nil"/>
              <w:tr2bl w:val="nil"/>
            </w:tcBorders>
            <w:shd w:val="clear" w:color="auto" w:fill="auto"/>
            <w:noWrap/>
            <w:vAlign w:val="center"/>
          </w:tcPr>
          <w:p w14:paraId="1E1741BC">
            <w:pPr>
              <w:pStyle w:val="34"/>
              <w:tabs>
                <w:tab w:val="left" w:pos="1389"/>
              </w:tabs>
              <w:bidi w:val="0"/>
              <w:rPr>
                <w:rFonts w:hint="default"/>
                <w:color w:val="auto"/>
              </w:rPr>
            </w:pPr>
            <w:r>
              <w:rPr>
                <w:rFonts w:hint="default"/>
                <w:color w:val="auto"/>
                <w:lang w:val="en-US" w:eastAsia="zh-CN"/>
              </w:rPr>
              <w:t>2.7065</w:t>
            </w:r>
          </w:p>
        </w:tc>
        <w:tc>
          <w:tcPr>
            <w:tcW w:w="1158" w:type="dxa"/>
            <w:tcBorders>
              <w:tl2br w:val="nil"/>
              <w:tr2bl w:val="nil"/>
            </w:tcBorders>
            <w:shd w:val="clear" w:color="auto" w:fill="auto"/>
            <w:noWrap/>
            <w:vAlign w:val="center"/>
          </w:tcPr>
          <w:p w14:paraId="59DF6B49">
            <w:pPr>
              <w:pStyle w:val="34"/>
              <w:tabs>
                <w:tab w:val="left" w:pos="1389"/>
              </w:tabs>
              <w:bidi w:val="0"/>
              <w:rPr>
                <w:rFonts w:hint="default"/>
                <w:color w:val="auto"/>
              </w:rPr>
            </w:pPr>
            <w:r>
              <w:rPr>
                <w:rFonts w:hint="default"/>
                <w:color w:val="auto"/>
                <w:lang w:val="en-US" w:eastAsia="zh-CN"/>
              </w:rPr>
              <w:t>2</w:t>
            </w:r>
          </w:p>
        </w:tc>
        <w:tc>
          <w:tcPr>
            <w:tcW w:w="1240" w:type="dxa"/>
            <w:tcBorders>
              <w:tl2br w:val="nil"/>
              <w:tr2bl w:val="nil"/>
            </w:tcBorders>
            <w:shd w:val="clear" w:color="auto" w:fill="auto"/>
            <w:noWrap/>
            <w:vAlign w:val="center"/>
          </w:tcPr>
          <w:p w14:paraId="0C53F92D">
            <w:pPr>
              <w:pStyle w:val="34"/>
              <w:tabs>
                <w:tab w:val="left" w:pos="1389"/>
              </w:tabs>
              <w:bidi w:val="0"/>
              <w:rPr>
                <w:rFonts w:hint="default"/>
                <w:color w:val="auto"/>
              </w:rPr>
            </w:pPr>
            <w:r>
              <w:rPr>
                <w:rFonts w:hint="default"/>
                <w:color w:val="auto"/>
                <w:lang w:val="en-US" w:eastAsia="zh-CN"/>
              </w:rPr>
              <w:t>5.41</w:t>
            </w:r>
          </w:p>
        </w:tc>
        <w:tc>
          <w:tcPr>
            <w:tcW w:w="1782" w:type="dxa"/>
            <w:tcBorders>
              <w:tl2br w:val="nil"/>
              <w:tr2bl w:val="nil"/>
            </w:tcBorders>
            <w:shd w:val="clear" w:color="auto" w:fill="auto"/>
            <w:noWrap/>
            <w:vAlign w:val="center"/>
          </w:tcPr>
          <w:p w14:paraId="6896A0ED">
            <w:pPr>
              <w:pStyle w:val="34"/>
              <w:tabs>
                <w:tab w:val="left" w:pos="1389"/>
              </w:tabs>
              <w:bidi w:val="0"/>
              <w:rPr>
                <w:rFonts w:hint="default"/>
                <w:color w:val="auto"/>
              </w:rPr>
            </w:pPr>
            <w:r>
              <w:rPr>
                <w:rFonts w:hint="default"/>
                <w:color w:val="auto"/>
                <w:lang w:val="en-US" w:eastAsia="zh-CN"/>
              </w:rPr>
              <w:t>0.1%</w:t>
            </w:r>
          </w:p>
        </w:tc>
      </w:tr>
      <w:tr w14:paraId="63D356C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50" w:type="pct"/>
            <w:vMerge w:val="continue"/>
            <w:tcBorders>
              <w:tl2br w:val="nil"/>
              <w:tr2bl w:val="nil"/>
            </w:tcBorders>
            <w:shd w:val="clear" w:color="auto" w:fill="auto"/>
            <w:noWrap/>
            <w:vAlign w:val="center"/>
          </w:tcPr>
          <w:p w14:paraId="7B2D1CE3">
            <w:pPr>
              <w:pStyle w:val="34"/>
              <w:tabs>
                <w:tab w:val="left" w:pos="1389"/>
              </w:tabs>
              <w:bidi w:val="0"/>
              <w:rPr>
                <w:rFonts w:hint="eastAsia"/>
                <w:color w:val="auto"/>
              </w:rPr>
            </w:pPr>
          </w:p>
        </w:tc>
        <w:tc>
          <w:tcPr>
            <w:tcW w:w="853" w:type="pct"/>
            <w:tcBorders>
              <w:tl2br w:val="nil"/>
              <w:tr2bl w:val="nil"/>
            </w:tcBorders>
            <w:shd w:val="clear" w:color="auto" w:fill="auto"/>
            <w:noWrap/>
            <w:vAlign w:val="center"/>
          </w:tcPr>
          <w:p w14:paraId="602DBB07">
            <w:pPr>
              <w:pStyle w:val="34"/>
              <w:tabs>
                <w:tab w:val="left" w:pos="1389"/>
              </w:tabs>
              <w:bidi w:val="0"/>
              <w:rPr>
                <w:rFonts w:hint="eastAsia"/>
                <w:color w:val="auto"/>
              </w:rPr>
            </w:pPr>
            <w:r>
              <w:rPr>
                <w:rFonts w:hint="eastAsia"/>
                <w:color w:val="auto"/>
                <w:lang w:val="en-US" w:eastAsia="zh-CN"/>
              </w:rPr>
              <w:t>其他无植被区</w:t>
            </w:r>
          </w:p>
        </w:tc>
        <w:tc>
          <w:tcPr>
            <w:tcW w:w="2071" w:type="dxa"/>
            <w:tcBorders>
              <w:tl2br w:val="nil"/>
              <w:tr2bl w:val="nil"/>
            </w:tcBorders>
            <w:shd w:val="clear" w:color="auto" w:fill="auto"/>
            <w:noWrap/>
            <w:vAlign w:val="center"/>
          </w:tcPr>
          <w:p w14:paraId="74537EA2">
            <w:pPr>
              <w:pStyle w:val="34"/>
              <w:tabs>
                <w:tab w:val="left" w:pos="1389"/>
              </w:tabs>
              <w:bidi w:val="0"/>
              <w:rPr>
                <w:rFonts w:hint="default"/>
                <w:color w:val="auto"/>
              </w:rPr>
            </w:pPr>
            <w:r>
              <w:rPr>
                <w:rFonts w:hint="default"/>
                <w:color w:val="auto"/>
                <w:lang w:val="en-US" w:eastAsia="zh-CN"/>
              </w:rPr>
              <w:t>35.1851</w:t>
            </w:r>
          </w:p>
        </w:tc>
        <w:tc>
          <w:tcPr>
            <w:tcW w:w="1158" w:type="dxa"/>
            <w:tcBorders>
              <w:tl2br w:val="nil"/>
              <w:tr2bl w:val="nil"/>
            </w:tcBorders>
            <w:shd w:val="clear" w:color="auto" w:fill="auto"/>
            <w:noWrap/>
            <w:vAlign w:val="center"/>
          </w:tcPr>
          <w:p w14:paraId="6A538E60">
            <w:pPr>
              <w:pStyle w:val="34"/>
              <w:tabs>
                <w:tab w:val="left" w:pos="1389"/>
              </w:tabs>
              <w:bidi w:val="0"/>
              <w:rPr>
                <w:rFonts w:hint="default"/>
                <w:color w:val="auto"/>
              </w:rPr>
            </w:pPr>
            <w:r>
              <w:rPr>
                <w:rFonts w:hint="default"/>
                <w:color w:val="auto"/>
                <w:lang w:val="en-US" w:eastAsia="zh-CN"/>
              </w:rPr>
              <w:t>0</w:t>
            </w:r>
          </w:p>
        </w:tc>
        <w:tc>
          <w:tcPr>
            <w:tcW w:w="1240" w:type="dxa"/>
            <w:tcBorders>
              <w:tl2br w:val="nil"/>
              <w:tr2bl w:val="nil"/>
            </w:tcBorders>
            <w:shd w:val="clear" w:color="auto" w:fill="auto"/>
            <w:noWrap/>
            <w:vAlign w:val="center"/>
          </w:tcPr>
          <w:p w14:paraId="2C9D5895">
            <w:pPr>
              <w:pStyle w:val="34"/>
              <w:tabs>
                <w:tab w:val="left" w:pos="1389"/>
              </w:tabs>
              <w:bidi w:val="0"/>
              <w:rPr>
                <w:rFonts w:hint="default"/>
                <w:color w:val="auto"/>
              </w:rPr>
            </w:pPr>
            <w:r>
              <w:rPr>
                <w:rFonts w:hint="default"/>
                <w:color w:val="auto"/>
                <w:lang w:val="en-US" w:eastAsia="zh-CN"/>
              </w:rPr>
              <w:t>0.00</w:t>
            </w:r>
          </w:p>
        </w:tc>
        <w:tc>
          <w:tcPr>
            <w:tcW w:w="1782" w:type="dxa"/>
            <w:tcBorders>
              <w:tl2br w:val="nil"/>
              <w:tr2bl w:val="nil"/>
            </w:tcBorders>
            <w:shd w:val="clear" w:color="auto" w:fill="auto"/>
            <w:noWrap/>
            <w:vAlign w:val="center"/>
          </w:tcPr>
          <w:p w14:paraId="32CD3370">
            <w:pPr>
              <w:pStyle w:val="34"/>
              <w:tabs>
                <w:tab w:val="left" w:pos="1389"/>
              </w:tabs>
              <w:bidi w:val="0"/>
              <w:rPr>
                <w:rFonts w:hint="default"/>
                <w:color w:val="auto"/>
              </w:rPr>
            </w:pPr>
            <w:r>
              <w:rPr>
                <w:rFonts w:hint="default"/>
                <w:color w:val="auto"/>
                <w:lang w:val="en-US" w:eastAsia="zh-CN"/>
              </w:rPr>
              <w:t>0.0%</w:t>
            </w:r>
          </w:p>
        </w:tc>
      </w:tr>
      <w:tr w14:paraId="5F2F61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504" w:type="pct"/>
            <w:gridSpan w:val="2"/>
            <w:tcBorders>
              <w:tl2br w:val="nil"/>
              <w:tr2bl w:val="nil"/>
            </w:tcBorders>
            <w:shd w:val="clear" w:color="auto" w:fill="auto"/>
            <w:noWrap/>
            <w:vAlign w:val="center"/>
          </w:tcPr>
          <w:p w14:paraId="615E61CA">
            <w:pPr>
              <w:pStyle w:val="34"/>
              <w:tabs>
                <w:tab w:val="left" w:pos="1389"/>
              </w:tabs>
              <w:bidi w:val="0"/>
              <w:rPr>
                <w:rFonts w:hint="eastAsia"/>
                <w:color w:val="auto"/>
              </w:rPr>
            </w:pPr>
            <w:r>
              <w:rPr>
                <w:rFonts w:hint="eastAsia"/>
                <w:color w:val="auto"/>
                <w:lang w:val="en-US" w:eastAsia="zh-CN"/>
              </w:rPr>
              <w:t>合计</w:t>
            </w:r>
          </w:p>
        </w:tc>
        <w:tc>
          <w:tcPr>
            <w:tcW w:w="2071" w:type="dxa"/>
            <w:tcBorders>
              <w:tl2br w:val="nil"/>
              <w:tr2bl w:val="nil"/>
            </w:tcBorders>
            <w:shd w:val="clear" w:color="auto" w:fill="auto"/>
            <w:noWrap/>
            <w:vAlign w:val="center"/>
          </w:tcPr>
          <w:p w14:paraId="00E6D414">
            <w:pPr>
              <w:pStyle w:val="34"/>
              <w:tabs>
                <w:tab w:val="left" w:pos="1389"/>
              </w:tabs>
              <w:bidi w:val="0"/>
              <w:rPr>
                <w:rFonts w:hint="default"/>
                <w:color w:val="auto"/>
              </w:rPr>
            </w:pPr>
            <w:r>
              <w:rPr>
                <w:rFonts w:hint="default"/>
                <w:color w:val="auto"/>
                <w:lang w:val="en-US" w:eastAsia="zh-CN"/>
              </w:rPr>
              <w:t>1135.3951</w:t>
            </w:r>
          </w:p>
        </w:tc>
        <w:tc>
          <w:tcPr>
            <w:tcW w:w="1158" w:type="dxa"/>
            <w:tcBorders>
              <w:tl2br w:val="nil"/>
              <w:tr2bl w:val="nil"/>
            </w:tcBorders>
            <w:shd w:val="clear" w:color="auto" w:fill="auto"/>
            <w:noWrap/>
            <w:vAlign w:val="center"/>
          </w:tcPr>
          <w:p w14:paraId="34B34E84">
            <w:pPr>
              <w:pStyle w:val="34"/>
              <w:tabs>
                <w:tab w:val="left" w:pos="1389"/>
              </w:tabs>
              <w:bidi w:val="0"/>
              <w:rPr>
                <w:rFonts w:hint="default"/>
                <w:color w:val="auto"/>
              </w:rPr>
            </w:pPr>
          </w:p>
        </w:tc>
        <w:tc>
          <w:tcPr>
            <w:tcW w:w="1240" w:type="dxa"/>
            <w:tcBorders>
              <w:tl2br w:val="nil"/>
              <w:tr2bl w:val="nil"/>
            </w:tcBorders>
            <w:shd w:val="clear" w:color="auto" w:fill="auto"/>
            <w:noWrap/>
            <w:vAlign w:val="center"/>
          </w:tcPr>
          <w:p w14:paraId="7EE21AC2">
            <w:pPr>
              <w:pStyle w:val="34"/>
              <w:tabs>
                <w:tab w:val="left" w:pos="1389"/>
              </w:tabs>
              <w:bidi w:val="0"/>
              <w:rPr>
                <w:rFonts w:hint="default"/>
                <w:color w:val="auto"/>
              </w:rPr>
            </w:pPr>
            <w:r>
              <w:rPr>
                <w:rFonts w:hint="default"/>
                <w:color w:val="auto"/>
                <w:lang w:val="en-US" w:eastAsia="zh-CN"/>
              </w:rPr>
              <w:t>7632.45</w:t>
            </w:r>
          </w:p>
        </w:tc>
        <w:tc>
          <w:tcPr>
            <w:tcW w:w="1782" w:type="dxa"/>
            <w:tcBorders>
              <w:tl2br w:val="nil"/>
              <w:tr2bl w:val="nil"/>
            </w:tcBorders>
            <w:shd w:val="clear" w:color="auto" w:fill="auto"/>
            <w:noWrap/>
            <w:vAlign w:val="center"/>
          </w:tcPr>
          <w:p w14:paraId="535069C0">
            <w:pPr>
              <w:pStyle w:val="34"/>
              <w:tabs>
                <w:tab w:val="left" w:pos="1389"/>
              </w:tabs>
              <w:bidi w:val="0"/>
              <w:rPr>
                <w:rFonts w:hint="default"/>
                <w:color w:val="auto"/>
              </w:rPr>
            </w:pPr>
            <w:r>
              <w:rPr>
                <w:rFonts w:hint="default"/>
                <w:color w:val="auto"/>
                <w:lang w:val="en-US" w:eastAsia="zh-CN"/>
              </w:rPr>
              <w:t>100.0%</w:t>
            </w:r>
          </w:p>
        </w:tc>
      </w:tr>
    </w:tbl>
    <w:p w14:paraId="7214B341">
      <w:pPr>
        <w:pStyle w:val="34"/>
        <w:tabs>
          <w:tab w:val="left" w:pos="1389"/>
        </w:tabs>
        <w:bidi w:val="0"/>
        <w:rPr>
          <w:color w:val="auto"/>
        </w:rPr>
      </w:pPr>
    </w:p>
    <w:p w14:paraId="528816A4">
      <w:pPr>
        <w:pStyle w:val="41"/>
        <w:bidi w:val="0"/>
        <w:rPr>
          <w:color w:val="auto"/>
        </w:rPr>
      </w:pPr>
      <w:r>
        <w:rPr>
          <w:color w:val="auto"/>
        </w:rPr>
        <w:t>计算表明，本项目评价区在其总面积</w:t>
      </w:r>
      <w:r>
        <w:rPr>
          <w:rFonts w:hint="eastAsia"/>
          <w:color w:val="auto"/>
          <w:lang w:val="en-US" w:eastAsia="zh-CN"/>
        </w:rPr>
        <w:t>1135.3951</w:t>
      </w:r>
      <w:r>
        <w:rPr>
          <w:color w:val="auto"/>
        </w:rPr>
        <w:t>hm</w:t>
      </w:r>
      <w:r>
        <w:rPr>
          <w:color w:val="auto"/>
          <w:vertAlign w:val="superscript"/>
        </w:rPr>
        <w:t>2</w:t>
      </w:r>
      <w:r>
        <w:rPr>
          <w:color w:val="auto"/>
        </w:rPr>
        <w:t>范围内，每年的生物生产力约</w:t>
      </w:r>
      <w:r>
        <w:rPr>
          <w:rFonts w:hint="eastAsia"/>
          <w:color w:val="auto"/>
          <w:lang w:val="en-US" w:eastAsia="zh-CN"/>
        </w:rPr>
        <w:t>7632.45</w:t>
      </w:r>
      <w:r>
        <w:rPr>
          <w:color w:val="auto"/>
        </w:rPr>
        <w:t>t（干重t/a</w:t>
      </w:r>
      <w:r>
        <w:rPr>
          <w:rFonts w:hint="eastAsia"/>
          <w:color w:val="auto"/>
        </w:rPr>
        <w:t>）</w:t>
      </w:r>
      <w:r>
        <w:rPr>
          <w:color w:val="auto"/>
        </w:rPr>
        <w:t>，</w:t>
      </w:r>
      <w:r>
        <w:rPr>
          <w:rFonts w:hint="eastAsia"/>
          <w:color w:val="auto"/>
        </w:rPr>
        <w:t>单位面积生产力</w:t>
      </w:r>
      <w:r>
        <w:rPr>
          <w:color w:val="auto"/>
        </w:rPr>
        <w:t>达到</w:t>
      </w:r>
      <w:r>
        <w:rPr>
          <w:rFonts w:hint="eastAsia"/>
          <w:color w:val="auto"/>
          <w:lang w:val="en-US" w:eastAsia="zh-CN"/>
        </w:rPr>
        <w:t>6.72</w:t>
      </w:r>
      <w:r>
        <w:rPr>
          <w:rFonts w:hint="eastAsia"/>
          <w:color w:val="auto"/>
        </w:rPr>
        <w:t>（</w:t>
      </w:r>
      <w:r>
        <w:rPr>
          <w:color w:val="auto"/>
        </w:rPr>
        <w:t>t/a.hm</w:t>
      </w:r>
      <w:r>
        <w:rPr>
          <w:color w:val="auto"/>
          <w:vertAlign w:val="superscript"/>
        </w:rPr>
        <w:t>2</w:t>
      </w:r>
      <w:r>
        <w:rPr>
          <w:rFonts w:hint="eastAsia"/>
          <w:color w:val="auto"/>
        </w:rPr>
        <w:t>）</w:t>
      </w:r>
      <w:r>
        <w:rPr>
          <w:color w:val="auto"/>
        </w:rPr>
        <w:t>（干重</w:t>
      </w:r>
      <w:r>
        <w:rPr>
          <w:rFonts w:hint="eastAsia"/>
          <w:color w:val="auto"/>
        </w:rPr>
        <w:t>）</w:t>
      </w:r>
      <w:r>
        <w:rPr>
          <w:color w:val="auto"/>
        </w:rPr>
        <w:t>，这在云南省属</w:t>
      </w:r>
      <w:r>
        <w:rPr>
          <w:rFonts w:hint="eastAsia"/>
          <w:color w:val="auto"/>
        </w:rPr>
        <w:t>中等</w:t>
      </w:r>
      <w:r>
        <w:rPr>
          <w:color w:val="auto"/>
        </w:rPr>
        <w:t>水平。</w:t>
      </w:r>
    </w:p>
    <w:p w14:paraId="78DB45BB">
      <w:pPr>
        <w:pStyle w:val="4"/>
        <w:bidi w:val="0"/>
        <w:rPr>
          <w:color w:val="auto"/>
        </w:rPr>
      </w:pPr>
      <w:r>
        <w:rPr>
          <w:rFonts w:hint="eastAsia"/>
          <w:color w:val="auto"/>
          <w:lang w:val="en-US" w:eastAsia="zh-CN"/>
        </w:rPr>
        <w:t>2.7</w:t>
      </w:r>
      <w:r>
        <w:rPr>
          <w:rFonts w:hint="eastAsia"/>
          <w:color w:val="auto"/>
        </w:rPr>
        <w:t>植被覆盖度</w:t>
      </w:r>
    </w:p>
    <w:p w14:paraId="5746ACDC">
      <w:pPr>
        <w:pStyle w:val="41"/>
        <w:bidi w:val="0"/>
        <w:rPr>
          <w:color w:val="auto"/>
        </w:rPr>
      </w:pPr>
      <w:r>
        <w:rPr>
          <w:color w:val="auto"/>
        </w:rPr>
        <w:t>本次评价基于遥感估算植被覆盖度，方法采用植被指数法。选择了美国陆地资源卫星Landsat8</w:t>
      </w:r>
      <w:r>
        <w:rPr>
          <w:rFonts w:hint="eastAsia"/>
          <w:color w:val="auto"/>
        </w:rPr>
        <w:t>卫星</w:t>
      </w:r>
      <w:r>
        <w:rPr>
          <w:color w:val="auto"/>
        </w:rPr>
        <w:t>影像数据，分辨率30m，处理系统采用ENVI（TheEnvironmentforVisualizingImages），在提取NDVI的影像上通过建模实现植被覆盖度（FVC）的计算。从植被覆盖度（FVC）的估算结果可以看出，本工程评价区植被覆盖</w:t>
      </w:r>
      <w:r>
        <w:rPr>
          <w:rFonts w:hint="eastAsia"/>
          <w:color w:val="auto"/>
          <w:lang w:eastAsia="zh-CN"/>
        </w:rPr>
        <w:t>度是</w:t>
      </w:r>
      <w:r>
        <w:rPr>
          <w:rFonts w:hint="eastAsia"/>
          <w:color w:val="auto"/>
        </w:rPr>
        <w:t>重点</w:t>
      </w:r>
      <w:r>
        <w:rPr>
          <w:color w:val="auto"/>
        </w:rPr>
        <w:t>，高覆盖度和中覆盖度分别占评价区总面积的</w:t>
      </w:r>
      <w:r>
        <w:rPr>
          <w:rFonts w:hint="eastAsia"/>
          <w:color w:val="auto"/>
          <w:lang w:val="en-US" w:eastAsia="zh-CN"/>
        </w:rPr>
        <w:t>49.89</w:t>
      </w:r>
      <w:r>
        <w:rPr>
          <w:color w:val="auto"/>
        </w:rPr>
        <w:t>%和</w:t>
      </w:r>
      <w:r>
        <w:rPr>
          <w:rFonts w:hint="eastAsia"/>
          <w:color w:val="auto"/>
          <w:lang w:val="en-US" w:eastAsia="zh-CN"/>
        </w:rPr>
        <w:t>42.60</w:t>
      </w:r>
      <w:r>
        <w:rPr>
          <w:color w:val="auto"/>
        </w:rPr>
        <w:t>%，而低覆盖度各占</w:t>
      </w:r>
      <w:r>
        <w:rPr>
          <w:rFonts w:hint="eastAsia"/>
          <w:color w:val="auto"/>
          <w:lang w:val="en-US" w:eastAsia="zh-CN"/>
        </w:rPr>
        <w:t>7.51</w:t>
      </w:r>
      <w:r>
        <w:rPr>
          <w:color w:val="auto"/>
        </w:rPr>
        <w:t>%。其中，高覆盖度区域主要为以</w:t>
      </w:r>
      <w:r>
        <w:rPr>
          <w:rFonts w:hint="eastAsia"/>
          <w:color w:val="auto"/>
        </w:rPr>
        <w:t>云南松</w:t>
      </w:r>
      <w:r>
        <w:rPr>
          <w:color w:val="auto"/>
        </w:rPr>
        <w:t>等优势物种构成的原生植</w:t>
      </w:r>
      <w:r>
        <w:rPr>
          <w:rFonts w:hint="eastAsia"/>
          <w:color w:val="auto"/>
          <w:lang w:eastAsia="zh-CN"/>
        </w:rPr>
        <w:t>被和</w:t>
      </w:r>
      <w:r>
        <w:rPr>
          <w:rFonts w:hint="eastAsia"/>
          <w:color w:val="auto"/>
        </w:rPr>
        <w:t>部分次生性植被</w:t>
      </w:r>
      <w:r>
        <w:rPr>
          <w:color w:val="auto"/>
        </w:rPr>
        <w:t>，中覆盖度区主要为耕地</w:t>
      </w:r>
      <w:r>
        <w:rPr>
          <w:rFonts w:hint="eastAsia"/>
          <w:color w:val="auto"/>
        </w:rPr>
        <w:t>、灌丛</w:t>
      </w:r>
      <w:r>
        <w:rPr>
          <w:color w:val="auto"/>
        </w:rPr>
        <w:t>和撂荒草丛，低覆盖度区域主要为建设用地、水体、道路等。本工程所在区域自然植被分布广泛，但村庄较多，人类生产活动频繁，人工植被、建设用地等亦占较高比例，植被覆盖度（FVC）的估算结果符合该地区的生态环境特征。</w:t>
      </w:r>
    </w:p>
    <w:p w14:paraId="4DE5328C">
      <w:pPr>
        <w:pStyle w:val="41"/>
        <w:bidi w:val="0"/>
        <w:rPr>
          <w:color w:val="auto"/>
        </w:rPr>
      </w:pPr>
      <w:r>
        <w:rPr>
          <w:color w:val="auto"/>
        </w:rPr>
        <w:t>评价区植被覆盖度详情见表</w:t>
      </w:r>
      <w:r>
        <w:rPr>
          <w:rFonts w:hint="eastAsia"/>
          <w:color w:val="auto"/>
        </w:rPr>
        <w:t>4-1</w:t>
      </w:r>
      <w:r>
        <w:rPr>
          <w:rFonts w:hint="eastAsia"/>
          <w:color w:val="auto"/>
          <w:lang w:val="en-US" w:eastAsia="zh-CN"/>
        </w:rPr>
        <w:t>2</w:t>
      </w:r>
      <w:r>
        <w:rPr>
          <w:color w:val="auto"/>
        </w:rPr>
        <w:t>。</w:t>
      </w:r>
    </w:p>
    <w:p w14:paraId="51AB4C08">
      <w:pPr>
        <w:pStyle w:val="42"/>
        <w:bidi w:val="0"/>
        <w:rPr>
          <w:color w:val="auto"/>
          <w:highlight w:val="none"/>
        </w:rPr>
      </w:pPr>
      <w:r>
        <w:rPr>
          <w:color w:val="auto"/>
          <w:highlight w:val="none"/>
        </w:rPr>
        <w:t>表</w:t>
      </w:r>
      <w:r>
        <w:rPr>
          <w:rFonts w:hint="eastAsia"/>
          <w:color w:val="auto"/>
          <w:highlight w:val="none"/>
          <w:lang w:val="en-US" w:eastAsia="zh-CN"/>
        </w:rPr>
        <w:t xml:space="preserve">2-19  </w:t>
      </w:r>
      <w:r>
        <w:rPr>
          <w:color w:val="auto"/>
          <w:highlight w:val="none"/>
        </w:rPr>
        <w:t>评价区植被覆盖度统计表</w:t>
      </w:r>
    </w:p>
    <w:tbl>
      <w:tblPr>
        <w:tblStyle w:val="20"/>
        <w:tblW w:w="4999"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927"/>
        <w:gridCol w:w="1929"/>
        <w:gridCol w:w="2703"/>
        <w:gridCol w:w="2385"/>
      </w:tblGrid>
      <w:tr w14:paraId="2CDF327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1077" w:type="pct"/>
            <w:tcBorders>
              <w:tl2br w:val="nil"/>
              <w:tr2bl w:val="nil"/>
            </w:tcBorders>
            <w:shd w:val="clear" w:color="auto" w:fill="auto"/>
            <w:vAlign w:val="center"/>
          </w:tcPr>
          <w:p w14:paraId="53EE905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覆盖度类型</w:t>
            </w:r>
          </w:p>
        </w:tc>
        <w:tc>
          <w:tcPr>
            <w:tcW w:w="1077" w:type="pct"/>
            <w:tcBorders>
              <w:tl2br w:val="nil"/>
              <w:tr2bl w:val="nil"/>
            </w:tcBorders>
            <w:shd w:val="clear" w:color="auto" w:fill="auto"/>
            <w:vAlign w:val="center"/>
          </w:tcPr>
          <w:p w14:paraId="1C2F0DD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覆盖度</w:t>
            </w:r>
          </w:p>
        </w:tc>
        <w:tc>
          <w:tcPr>
            <w:tcW w:w="1511" w:type="pct"/>
            <w:tcBorders>
              <w:tl2br w:val="nil"/>
              <w:tr2bl w:val="nil"/>
            </w:tcBorders>
            <w:shd w:val="clear" w:color="auto" w:fill="auto"/>
            <w:vAlign w:val="center"/>
          </w:tcPr>
          <w:p w14:paraId="6BF2B8CC">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面积（</w:t>
            </w:r>
            <w:r>
              <w:rPr>
                <w:rFonts w:hint="default" w:ascii="Times New Roman" w:hAnsi="Times New Roman" w:eastAsia="宋体" w:cs="Times New Roman"/>
                <w:i w:val="0"/>
                <w:iCs w:val="0"/>
                <w:color w:val="auto"/>
                <w:kern w:val="0"/>
                <w:sz w:val="21"/>
                <w:szCs w:val="21"/>
                <w:u w:val="none"/>
                <w:lang w:val="en-US" w:eastAsia="zh-CN" w:bidi="ar"/>
              </w:rPr>
              <w:t>hm</w:t>
            </w:r>
            <w:r>
              <w:rPr>
                <w:rFonts w:hint="default" w:ascii="Times New Roman" w:hAnsi="Times New Roman" w:eastAsia="宋体" w:cs="Times New Roman"/>
                <w:i w:val="0"/>
                <w:iCs w:val="0"/>
                <w:color w:val="auto"/>
                <w:kern w:val="0"/>
                <w:sz w:val="21"/>
                <w:szCs w:val="21"/>
                <w:u w:val="none"/>
                <w:vertAlign w:val="superscript"/>
                <w:lang w:val="en-US" w:eastAsia="zh-CN" w:bidi="ar"/>
              </w:rPr>
              <w:t>2</w:t>
            </w:r>
            <w:r>
              <w:rPr>
                <w:rFonts w:hint="eastAsia" w:ascii="宋体" w:hAnsi="宋体" w:eastAsia="宋体" w:cs="宋体"/>
                <w:i w:val="0"/>
                <w:iCs w:val="0"/>
                <w:color w:val="auto"/>
                <w:kern w:val="0"/>
                <w:sz w:val="21"/>
                <w:szCs w:val="21"/>
                <w:u w:val="none"/>
                <w:lang w:val="en-US" w:eastAsia="zh-CN" w:bidi="ar"/>
              </w:rPr>
              <w:t>）</w:t>
            </w:r>
          </w:p>
        </w:tc>
        <w:tc>
          <w:tcPr>
            <w:tcW w:w="1333" w:type="pct"/>
            <w:tcBorders>
              <w:tl2br w:val="nil"/>
              <w:tr2bl w:val="nil"/>
            </w:tcBorders>
            <w:shd w:val="clear" w:color="auto" w:fill="auto"/>
            <w:vAlign w:val="center"/>
          </w:tcPr>
          <w:p w14:paraId="762B60A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百分比（</w:t>
            </w:r>
            <w:r>
              <w:rPr>
                <w:rFonts w:hint="default" w:ascii="Times New Roman" w:hAnsi="Times New Roman" w:eastAsia="宋体" w:cs="Times New Roman"/>
                <w:i w:val="0"/>
                <w:iCs w:val="0"/>
                <w:color w:val="auto"/>
                <w:kern w:val="0"/>
                <w:sz w:val="21"/>
                <w:szCs w:val="21"/>
                <w:u w:val="none"/>
                <w:lang w:val="en-US" w:eastAsia="zh-CN" w:bidi="ar"/>
              </w:rPr>
              <w:t>%</w:t>
            </w:r>
            <w:r>
              <w:rPr>
                <w:rFonts w:hint="eastAsia" w:ascii="宋体" w:hAnsi="宋体" w:eastAsia="宋体" w:cs="宋体"/>
                <w:i w:val="0"/>
                <w:iCs w:val="0"/>
                <w:color w:val="auto"/>
                <w:kern w:val="0"/>
                <w:sz w:val="21"/>
                <w:szCs w:val="21"/>
                <w:u w:val="none"/>
                <w:lang w:val="en-US" w:eastAsia="zh-CN" w:bidi="ar"/>
              </w:rPr>
              <w:t>）</w:t>
            </w:r>
          </w:p>
        </w:tc>
      </w:tr>
      <w:tr w14:paraId="7AB6C1E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077" w:type="pct"/>
            <w:tcBorders>
              <w:tl2br w:val="nil"/>
              <w:tr2bl w:val="nil"/>
            </w:tcBorders>
            <w:shd w:val="clear" w:color="auto" w:fill="auto"/>
            <w:vAlign w:val="center"/>
          </w:tcPr>
          <w:p w14:paraId="03E5F161">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低覆盖度</w:t>
            </w:r>
          </w:p>
        </w:tc>
        <w:tc>
          <w:tcPr>
            <w:tcW w:w="1077" w:type="pct"/>
            <w:tcBorders>
              <w:tl2br w:val="nil"/>
              <w:tr2bl w:val="nil"/>
            </w:tcBorders>
            <w:shd w:val="clear" w:color="auto" w:fill="auto"/>
            <w:vAlign w:val="center"/>
          </w:tcPr>
          <w:p w14:paraId="0A40544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0～20%</w:t>
            </w:r>
          </w:p>
        </w:tc>
        <w:tc>
          <w:tcPr>
            <w:tcW w:w="2703" w:type="dxa"/>
            <w:tcBorders>
              <w:tl2br w:val="nil"/>
              <w:tr2bl w:val="nil"/>
            </w:tcBorders>
            <w:shd w:val="clear" w:color="auto" w:fill="auto"/>
            <w:vAlign w:val="center"/>
          </w:tcPr>
          <w:p w14:paraId="5D1A0B45">
            <w:pPr>
              <w:pStyle w:val="34"/>
              <w:tabs>
                <w:tab w:val="left" w:pos="1389"/>
              </w:tabs>
              <w:bidi w:val="0"/>
              <w:rPr>
                <w:rFonts w:hint="default"/>
                <w:color w:val="auto"/>
              </w:rPr>
            </w:pPr>
            <w:r>
              <w:rPr>
                <w:rFonts w:hint="default"/>
                <w:color w:val="auto"/>
                <w:lang w:val="en-US" w:eastAsia="zh-CN"/>
              </w:rPr>
              <w:t>37.8916</w:t>
            </w:r>
          </w:p>
        </w:tc>
        <w:tc>
          <w:tcPr>
            <w:tcW w:w="2385" w:type="dxa"/>
            <w:tcBorders>
              <w:tl2br w:val="nil"/>
              <w:tr2bl w:val="nil"/>
            </w:tcBorders>
            <w:shd w:val="clear" w:color="auto" w:fill="auto"/>
            <w:vAlign w:val="bottom"/>
          </w:tcPr>
          <w:p w14:paraId="60198A55">
            <w:pPr>
              <w:pStyle w:val="34"/>
              <w:tabs>
                <w:tab w:val="left" w:pos="1389"/>
              </w:tabs>
              <w:bidi w:val="0"/>
              <w:rPr>
                <w:rFonts w:hint="default"/>
                <w:color w:val="auto"/>
              </w:rPr>
            </w:pPr>
            <w:r>
              <w:rPr>
                <w:rFonts w:hint="default"/>
                <w:color w:val="auto"/>
                <w:lang w:val="en-US" w:eastAsia="zh-CN"/>
              </w:rPr>
              <w:t>3.3%</w:t>
            </w:r>
          </w:p>
        </w:tc>
      </w:tr>
      <w:tr w14:paraId="57EEE0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1077" w:type="pct"/>
            <w:tcBorders>
              <w:tl2br w:val="nil"/>
              <w:tr2bl w:val="nil"/>
            </w:tcBorders>
            <w:shd w:val="clear" w:color="auto" w:fill="auto"/>
            <w:vAlign w:val="center"/>
          </w:tcPr>
          <w:p w14:paraId="2A28C913">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中低覆盖度</w:t>
            </w:r>
          </w:p>
        </w:tc>
        <w:tc>
          <w:tcPr>
            <w:tcW w:w="1077" w:type="pct"/>
            <w:tcBorders>
              <w:tl2br w:val="nil"/>
              <w:tr2bl w:val="nil"/>
            </w:tcBorders>
            <w:shd w:val="clear" w:color="auto" w:fill="auto"/>
            <w:vAlign w:val="center"/>
          </w:tcPr>
          <w:p w14:paraId="00205FBF">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20%～40%</w:t>
            </w:r>
          </w:p>
        </w:tc>
        <w:tc>
          <w:tcPr>
            <w:tcW w:w="2703" w:type="dxa"/>
            <w:tcBorders>
              <w:tl2br w:val="nil"/>
              <w:tr2bl w:val="nil"/>
            </w:tcBorders>
            <w:shd w:val="clear" w:color="auto" w:fill="auto"/>
            <w:vAlign w:val="center"/>
          </w:tcPr>
          <w:p w14:paraId="5375BD6D">
            <w:pPr>
              <w:pStyle w:val="34"/>
              <w:tabs>
                <w:tab w:val="left" w:pos="1389"/>
              </w:tabs>
              <w:bidi w:val="0"/>
              <w:rPr>
                <w:rFonts w:hint="default"/>
                <w:color w:val="auto"/>
              </w:rPr>
            </w:pPr>
            <w:r>
              <w:rPr>
                <w:rFonts w:hint="default"/>
                <w:color w:val="auto"/>
                <w:lang w:val="en-US" w:eastAsia="zh-CN"/>
              </w:rPr>
              <w:t>323.4320</w:t>
            </w:r>
          </w:p>
        </w:tc>
        <w:tc>
          <w:tcPr>
            <w:tcW w:w="2385" w:type="dxa"/>
            <w:tcBorders>
              <w:tl2br w:val="nil"/>
              <w:tr2bl w:val="nil"/>
            </w:tcBorders>
            <w:shd w:val="clear" w:color="auto" w:fill="auto"/>
            <w:vAlign w:val="bottom"/>
          </w:tcPr>
          <w:p w14:paraId="18467044">
            <w:pPr>
              <w:pStyle w:val="34"/>
              <w:tabs>
                <w:tab w:val="left" w:pos="1389"/>
              </w:tabs>
              <w:bidi w:val="0"/>
              <w:rPr>
                <w:rFonts w:hint="default"/>
                <w:color w:val="auto"/>
              </w:rPr>
            </w:pPr>
            <w:r>
              <w:rPr>
                <w:rFonts w:hint="default"/>
                <w:color w:val="auto"/>
                <w:lang w:val="en-US" w:eastAsia="zh-CN"/>
              </w:rPr>
              <w:t>28.5%</w:t>
            </w:r>
          </w:p>
        </w:tc>
      </w:tr>
      <w:tr w14:paraId="5CEF390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077" w:type="pct"/>
            <w:tcBorders>
              <w:tl2br w:val="nil"/>
              <w:tr2bl w:val="nil"/>
            </w:tcBorders>
            <w:shd w:val="clear" w:color="auto" w:fill="auto"/>
            <w:vAlign w:val="center"/>
          </w:tcPr>
          <w:p w14:paraId="6373FD6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中覆盖度</w:t>
            </w:r>
          </w:p>
        </w:tc>
        <w:tc>
          <w:tcPr>
            <w:tcW w:w="1077" w:type="pct"/>
            <w:tcBorders>
              <w:tl2br w:val="nil"/>
              <w:tr2bl w:val="nil"/>
            </w:tcBorders>
            <w:shd w:val="clear" w:color="auto" w:fill="auto"/>
            <w:vAlign w:val="center"/>
          </w:tcPr>
          <w:p w14:paraId="5C4A079E">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40%～60%</w:t>
            </w:r>
          </w:p>
        </w:tc>
        <w:tc>
          <w:tcPr>
            <w:tcW w:w="2703" w:type="dxa"/>
            <w:tcBorders>
              <w:tl2br w:val="nil"/>
              <w:tr2bl w:val="nil"/>
            </w:tcBorders>
            <w:shd w:val="clear" w:color="auto" w:fill="auto"/>
            <w:vAlign w:val="center"/>
          </w:tcPr>
          <w:p w14:paraId="336777F6">
            <w:pPr>
              <w:pStyle w:val="34"/>
              <w:tabs>
                <w:tab w:val="left" w:pos="1389"/>
              </w:tabs>
              <w:bidi w:val="0"/>
              <w:rPr>
                <w:rFonts w:hint="default"/>
                <w:color w:val="auto"/>
              </w:rPr>
            </w:pPr>
            <w:r>
              <w:rPr>
                <w:rFonts w:hint="default"/>
                <w:color w:val="auto"/>
                <w:lang w:val="en-US" w:eastAsia="zh-CN"/>
              </w:rPr>
              <w:t>17.5925</w:t>
            </w:r>
          </w:p>
        </w:tc>
        <w:tc>
          <w:tcPr>
            <w:tcW w:w="2385" w:type="dxa"/>
            <w:tcBorders>
              <w:tl2br w:val="nil"/>
              <w:tr2bl w:val="nil"/>
            </w:tcBorders>
            <w:shd w:val="clear" w:color="auto" w:fill="auto"/>
            <w:vAlign w:val="bottom"/>
          </w:tcPr>
          <w:p w14:paraId="47C524A5">
            <w:pPr>
              <w:pStyle w:val="34"/>
              <w:tabs>
                <w:tab w:val="left" w:pos="1389"/>
              </w:tabs>
              <w:bidi w:val="0"/>
              <w:rPr>
                <w:rFonts w:hint="default"/>
                <w:color w:val="auto"/>
              </w:rPr>
            </w:pPr>
            <w:r>
              <w:rPr>
                <w:rFonts w:hint="default"/>
                <w:color w:val="auto"/>
                <w:lang w:val="en-US" w:eastAsia="zh-CN"/>
              </w:rPr>
              <w:t>1.5%</w:t>
            </w:r>
          </w:p>
        </w:tc>
      </w:tr>
      <w:tr w14:paraId="10B0A4B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077" w:type="pct"/>
            <w:tcBorders>
              <w:tl2br w:val="nil"/>
              <w:tr2bl w:val="nil"/>
            </w:tcBorders>
            <w:shd w:val="clear" w:color="auto" w:fill="auto"/>
            <w:vAlign w:val="center"/>
          </w:tcPr>
          <w:p w14:paraId="4F5F2F1A">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高覆盖度</w:t>
            </w:r>
          </w:p>
        </w:tc>
        <w:tc>
          <w:tcPr>
            <w:tcW w:w="1077" w:type="pct"/>
            <w:tcBorders>
              <w:tl2br w:val="nil"/>
              <w:tr2bl w:val="nil"/>
            </w:tcBorders>
            <w:shd w:val="clear" w:color="auto" w:fill="auto"/>
            <w:vAlign w:val="center"/>
          </w:tcPr>
          <w:p w14:paraId="2455E13B">
            <w:pPr>
              <w:keepNext w:val="0"/>
              <w:keepLines w:val="0"/>
              <w:widowControl/>
              <w:suppressLineNumbers w:val="0"/>
              <w:jc w:val="center"/>
              <w:textAlignment w:val="center"/>
              <w:rPr>
                <w:rFonts w:hint="default" w:ascii="Times New Roman" w:hAnsi="Times New Roman" w:eastAsia="宋体" w:cs="Times New Roman"/>
                <w:i w:val="0"/>
                <w:iCs w:val="0"/>
                <w:color w:val="auto"/>
                <w:sz w:val="21"/>
                <w:szCs w:val="21"/>
                <w:u w:val="none"/>
              </w:rPr>
            </w:pPr>
            <w:r>
              <w:rPr>
                <w:rFonts w:hint="eastAsia" w:cs="Times New Roman"/>
                <w:i w:val="0"/>
                <w:iCs w:val="0"/>
                <w:color w:val="auto"/>
                <w:kern w:val="0"/>
                <w:sz w:val="21"/>
                <w:szCs w:val="21"/>
                <w:u w:val="none"/>
                <w:lang w:val="en-US" w:eastAsia="zh-CN" w:bidi="ar"/>
              </w:rPr>
              <w:t>60%～100%</w:t>
            </w:r>
          </w:p>
        </w:tc>
        <w:tc>
          <w:tcPr>
            <w:tcW w:w="2703" w:type="dxa"/>
            <w:tcBorders>
              <w:tl2br w:val="nil"/>
              <w:tr2bl w:val="nil"/>
            </w:tcBorders>
            <w:shd w:val="clear" w:color="auto" w:fill="auto"/>
            <w:vAlign w:val="center"/>
          </w:tcPr>
          <w:p w14:paraId="05D7FC85">
            <w:pPr>
              <w:pStyle w:val="34"/>
              <w:tabs>
                <w:tab w:val="left" w:pos="1389"/>
              </w:tabs>
              <w:bidi w:val="0"/>
              <w:rPr>
                <w:rFonts w:hint="default"/>
                <w:color w:val="auto"/>
              </w:rPr>
            </w:pPr>
            <w:r>
              <w:rPr>
                <w:rFonts w:hint="default"/>
                <w:color w:val="auto"/>
                <w:lang w:val="en-US" w:eastAsia="zh-CN"/>
              </w:rPr>
              <w:t>756.4790</w:t>
            </w:r>
          </w:p>
        </w:tc>
        <w:tc>
          <w:tcPr>
            <w:tcW w:w="2385" w:type="dxa"/>
            <w:tcBorders>
              <w:tl2br w:val="nil"/>
              <w:tr2bl w:val="nil"/>
            </w:tcBorders>
            <w:shd w:val="clear" w:color="auto" w:fill="auto"/>
            <w:vAlign w:val="bottom"/>
          </w:tcPr>
          <w:p w14:paraId="108AA59E">
            <w:pPr>
              <w:pStyle w:val="34"/>
              <w:tabs>
                <w:tab w:val="left" w:pos="1389"/>
              </w:tabs>
              <w:bidi w:val="0"/>
              <w:rPr>
                <w:rFonts w:hint="default"/>
                <w:color w:val="auto"/>
              </w:rPr>
            </w:pPr>
            <w:r>
              <w:rPr>
                <w:rFonts w:hint="default"/>
                <w:color w:val="auto"/>
                <w:lang w:val="en-US" w:eastAsia="zh-CN"/>
              </w:rPr>
              <w:t>66.6%</w:t>
            </w:r>
          </w:p>
        </w:tc>
      </w:tr>
      <w:tr w14:paraId="6B3AABD1">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155" w:type="pct"/>
            <w:gridSpan w:val="2"/>
            <w:tcBorders>
              <w:tl2br w:val="nil"/>
              <w:tr2bl w:val="nil"/>
            </w:tcBorders>
            <w:shd w:val="clear" w:color="auto" w:fill="auto"/>
            <w:vAlign w:val="center"/>
          </w:tcPr>
          <w:p w14:paraId="5E79335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合计</w:t>
            </w:r>
          </w:p>
        </w:tc>
        <w:tc>
          <w:tcPr>
            <w:tcW w:w="2703" w:type="dxa"/>
            <w:tcBorders>
              <w:tl2br w:val="nil"/>
              <w:tr2bl w:val="nil"/>
            </w:tcBorders>
            <w:shd w:val="clear" w:color="auto" w:fill="auto"/>
            <w:vAlign w:val="center"/>
          </w:tcPr>
          <w:p w14:paraId="7F393651">
            <w:pPr>
              <w:pStyle w:val="34"/>
              <w:tabs>
                <w:tab w:val="left" w:pos="1389"/>
              </w:tabs>
              <w:bidi w:val="0"/>
              <w:rPr>
                <w:rFonts w:hint="default"/>
                <w:color w:val="auto"/>
              </w:rPr>
            </w:pPr>
            <w:r>
              <w:rPr>
                <w:rFonts w:hint="default"/>
                <w:color w:val="auto"/>
                <w:lang w:val="en-US" w:eastAsia="zh-CN"/>
              </w:rPr>
              <w:t>1135.3951</w:t>
            </w:r>
          </w:p>
        </w:tc>
        <w:tc>
          <w:tcPr>
            <w:tcW w:w="2385" w:type="dxa"/>
            <w:tcBorders>
              <w:tl2br w:val="nil"/>
              <w:tr2bl w:val="nil"/>
            </w:tcBorders>
            <w:shd w:val="clear" w:color="auto" w:fill="auto"/>
            <w:vAlign w:val="bottom"/>
          </w:tcPr>
          <w:p w14:paraId="4D9E117C">
            <w:pPr>
              <w:pStyle w:val="34"/>
              <w:tabs>
                <w:tab w:val="left" w:pos="1389"/>
              </w:tabs>
              <w:bidi w:val="0"/>
              <w:rPr>
                <w:rFonts w:hint="default"/>
                <w:color w:val="auto"/>
              </w:rPr>
            </w:pPr>
            <w:r>
              <w:rPr>
                <w:rFonts w:hint="default"/>
                <w:color w:val="auto"/>
                <w:lang w:val="en-US" w:eastAsia="zh-CN"/>
              </w:rPr>
              <w:t>100.0%</w:t>
            </w:r>
          </w:p>
        </w:tc>
      </w:tr>
    </w:tbl>
    <w:p w14:paraId="6D2A16B4">
      <w:pPr>
        <w:pStyle w:val="34"/>
        <w:tabs>
          <w:tab w:val="left" w:pos="1389"/>
        </w:tabs>
        <w:bidi w:val="0"/>
        <w:rPr>
          <w:color w:val="auto"/>
        </w:rPr>
      </w:pPr>
    </w:p>
    <w:p w14:paraId="2E49C2D2">
      <w:pPr>
        <w:pStyle w:val="41"/>
        <w:bidi w:val="0"/>
        <w:rPr>
          <w:rFonts w:hint="default"/>
          <w:color w:val="auto"/>
          <w:lang w:val="en-US" w:eastAsia="zh-CN"/>
        </w:rPr>
      </w:pPr>
      <w:r>
        <w:rPr>
          <w:color w:val="auto"/>
        </w:rPr>
        <w:t>根据</w:t>
      </w:r>
      <w:r>
        <w:rPr>
          <w:rFonts w:hint="eastAsia"/>
          <w:color w:val="auto"/>
          <w:lang w:val="en-US" w:eastAsia="zh-CN"/>
        </w:rPr>
        <w:t>宣威市</w:t>
      </w:r>
      <w:r>
        <w:rPr>
          <w:color w:val="auto"/>
        </w:rPr>
        <w:t>自然资源局出具的</w:t>
      </w:r>
      <w:r>
        <w:rPr>
          <w:rFonts w:hint="eastAsia"/>
          <w:color w:val="auto"/>
          <w:lang w:eastAsia="zh-CN"/>
        </w:rPr>
        <w:t>“</w:t>
      </w:r>
      <w:r>
        <w:rPr>
          <w:rFonts w:hint="eastAsia"/>
          <w:color w:val="auto"/>
          <w:lang w:val="en-US" w:eastAsia="zh-CN"/>
        </w:rPr>
        <w:t>三区三线</w:t>
      </w:r>
      <w:r>
        <w:rPr>
          <w:rFonts w:hint="eastAsia"/>
          <w:color w:val="auto"/>
          <w:lang w:eastAsia="zh-CN"/>
        </w:rPr>
        <w:t>”</w:t>
      </w:r>
      <w:r>
        <w:rPr>
          <w:rFonts w:hint="eastAsia"/>
          <w:color w:val="auto"/>
          <w:lang w:val="en-US" w:eastAsia="zh-CN"/>
        </w:rPr>
        <w:t>查询意见</w:t>
      </w:r>
      <w:r>
        <w:rPr>
          <w:color w:val="auto"/>
        </w:rPr>
        <w:t>，</w:t>
      </w:r>
      <w:r>
        <w:rPr>
          <w:rFonts w:hint="eastAsia"/>
          <w:color w:val="auto"/>
          <w:lang w:val="en-US" w:eastAsia="zh-CN"/>
        </w:rPr>
        <w:t>以及项目与生态保护红线的叠图（附图17），</w:t>
      </w:r>
      <w:r>
        <w:rPr>
          <w:color w:val="auto"/>
        </w:rPr>
        <w:t>项目</w:t>
      </w:r>
      <w:r>
        <w:rPr>
          <w:rFonts w:hint="eastAsia"/>
          <w:color w:val="auto"/>
          <w:lang w:val="en-US" w:eastAsia="zh-CN"/>
        </w:rPr>
        <w:t>占地范围内</w:t>
      </w:r>
      <w:r>
        <w:rPr>
          <w:color w:val="auto"/>
        </w:rPr>
        <w:t>不涉及占用生态保护红线</w:t>
      </w:r>
      <w:r>
        <w:rPr>
          <w:rFonts w:hint="eastAsia"/>
          <w:color w:val="auto"/>
          <w:lang w:eastAsia="zh-CN"/>
        </w:rPr>
        <w:t>，</w:t>
      </w:r>
      <w:r>
        <w:rPr>
          <w:rFonts w:hint="eastAsia"/>
          <w:color w:val="auto"/>
        </w:rPr>
        <w:t>项目评价范围内分布有生态保护红线</w:t>
      </w:r>
      <w:r>
        <w:rPr>
          <w:rFonts w:hint="eastAsia"/>
          <w:color w:val="auto"/>
          <w:lang w:eastAsia="zh-CN"/>
        </w:rPr>
        <w:t>（</w:t>
      </w:r>
      <w:r>
        <w:rPr>
          <w:rFonts w:hint="default"/>
          <w:color w:val="auto"/>
        </w:rPr>
        <w:t>珠江上游及滇东南喀斯特地带水土保持生态保护红线</w:t>
      </w:r>
      <w:r>
        <w:rPr>
          <w:rFonts w:hint="eastAsia"/>
          <w:color w:val="auto"/>
          <w:lang w:eastAsia="zh-CN"/>
        </w:rPr>
        <w:t>），</w:t>
      </w:r>
      <w:r>
        <w:rPr>
          <w:rFonts w:hint="eastAsia"/>
          <w:color w:val="auto"/>
        </w:rPr>
        <w:t>其中</w:t>
      </w:r>
      <w:r>
        <w:rPr>
          <w:rFonts w:hint="eastAsia"/>
          <w:color w:val="auto"/>
          <w:lang w:val="en-US" w:eastAsia="zh-CN"/>
        </w:rPr>
        <w:t>地埋电缆与生态保护红线最近距离为4.0m，1#风机距离生态保护红线最近，最近距离约为265m，新建施工线路与生态保护红线最近距离约为105m</w:t>
      </w:r>
      <w:r>
        <w:rPr>
          <w:rFonts w:hint="eastAsia"/>
          <w:color w:val="auto"/>
        </w:rPr>
        <w:t>。</w:t>
      </w:r>
      <w:r>
        <w:rPr>
          <w:rFonts w:hint="eastAsia"/>
          <w:color w:val="auto"/>
          <w:lang w:val="en-US" w:eastAsia="zh-CN"/>
        </w:rPr>
        <w:t>区域生态保护红线的主要植被类型为暖温性针叶林，以云南松和华山松为主</w:t>
      </w:r>
      <w:r>
        <w:rPr>
          <w:rFonts w:hint="eastAsia"/>
          <w:i w:val="0"/>
          <w:iCs w:val="0"/>
          <w:color w:val="auto"/>
          <w:lang w:val="en-US" w:eastAsia="zh-CN"/>
        </w:rPr>
        <w:t>。</w:t>
      </w:r>
    </w:p>
    <w:p w14:paraId="226BC9FA">
      <w:pPr>
        <w:pStyle w:val="3"/>
        <w:bidi w:val="0"/>
        <w:rPr>
          <w:rFonts w:hint="eastAsia"/>
          <w:color w:val="auto"/>
        </w:rPr>
      </w:pPr>
      <w:r>
        <w:rPr>
          <w:rFonts w:hint="eastAsia"/>
          <w:color w:val="auto"/>
          <w:lang w:val="en-US" w:eastAsia="zh-CN"/>
        </w:rPr>
        <w:t>2.8项目区域内</w:t>
      </w:r>
      <w:r>
        <w:rPr>
          <w:rFonts w:hint="eastAsia"/>
          <w:color w:val="auto"/>
        </w:rPr>
        <w:t>存在主要生态问题</w:t>
      </w:r>
    </w:p>
    <w:p w14:paraId="3F16C039">
      <w:pPr>
        <w:pStyle w:val="4"/>
        <w:bidi w:val="0"/>
        <w:rPr>
          <w:rFonts w:hint="eastAsia"/>
          <w:color w:val="auto"/>
        </w:rPr>
      </w:pPr>
      <w:r>
        <w:rPr>
          <w:rFonts w:hint="eastAsia"/>
          <w:color w:val="auto"/>
          <w:lang w:val="en-US" w:eastAsia="zh-CN"/>
        </w:rPr>
        <w:t>2.8.1</w:t>
      </w:r>
      <w:r>
        <w:rPr>
          <w:rFonts w:hint="eastAsia"/>
          <w:color w:val="auto"/>
        </w:rPr>
        <w:t>水土流失</w:t>
      </w:r>
    </w:p>
    <w:p w14:paraId="3B143535">
      <w:pPr>
        <w:pStyle w:val="41"/>
        <w:bidi w:val="0"/>
        <w:rPr>
          <w:rFonts w:hint="eastAsia"/>
          <w:color w:val="auto"/>
        </w:rPr>
      </w:pPr>
      <w:r>
        <w:rPr>
          <w:rFonts w:hint="eastAsia"/>
          <w:color w:val="auto"/>
        </w:rPr>
        <w:t>项目评价区涉及生态保护红线的类型为</w:t>
      </w:r>
      <w:r>
        <w:rPr>
          <w:rFonts w:hint="eastAsia"/>
          <w:color w:val="auto"/>
          <w:lang w:eastAsia="zh-CN"/>
        </w:rPr>
        <w:t>“</w:t>
      </w:r>
      <w:r>
        <w:rPr>
          <w:rFonts w:hint="eastAsia"/>
          <w:color w:val="auto"/>
        </w:rPr>
        <w:t>珠江上游及滇东南喀斯特地带水土保持生态保护红线</w:t>
      </w:r>
      <w:r>
        <w:rPr>
          <w:rFonts w:hint="eastAsia"/>
          <w:color w:val="auto"/>
          <w:lang w:eastAsia="zh-CN"/>
        </w:rPr>
        <w:t>”</w:t>
      </w:r>
      <w:r>
        <w:rPr>
          <w:rFonts w:hint="eastAsia"/>
          <w:color w:val="auto"/>
        </w:rPr>
        <w:t>主导功能为：</w:t>
      </w:r>
      <w:r>
        <w:rPr>
          <w:rFonts w:hint="eastAsia"/>
          <w:color w:val="auto"/>
          <w:lang w:eastAsia="zh-CN"/>
        </w:rPr>
        <w:t>“</w:t>
      </w:r>
      <w:r>
        <w:rPr>
          <w:rFonts w:hint="eastAsia"/>
          <w:color w:val="auto"/>
        </w:rPr>
        <w:t>水土保持</w:t>
      </w:r>
      <w:r>
        <w:rPr>
          <w:rFonts w:hint="eastAsia"/>
          <w:color w:val="auto"/>
          <w:lang w:eastAsia="zh-CN"/>
        </w:rPr>
        <w:t>”</w:t>
      </w:r>
      <w:r>
        <w:rPr>
          <w:rFonts w:hint="eastAsia"/>
          <w:color w:val="auto"/>
        </w:rPr>
        <w:t>。且多年积累的农耕行为使得该区域水土流失问题明显。该区域因喀斯特地貌和地质使得评价区一</w:t>
      </w:r>
      <w:r>
        <w:rPr>
          <w:rFonts w:hint="eastAsia"/>
          <w:color w:val="auto"/>
          <w:lang w:val="en-US" w:eastAsia="zh-CN"/>
        </w:rPr>
        <w:t>旦</w:t>
      </w:r>
      <w:r>
        <w:rPr>
          <w:rFonts w:hint="eastAsia"/>
          <w:color w:val="auto"/>
        </w:rPr>
        <w:t>有地表扰动都将会增强水土流失。</w:t>
      </w:r>
    </w:p>
    <w:p w14:paraId="27D4E2C9">
      <w:pPr>
        <w:pStyle w:val="4"/>
        <w:bidi w:val="0"/>
        <w:rPr>
          <w:rFonts w:hint="eastAsia"/>
          <w:color w:val="auto"/>
        </w:rPr>
      </w:pPr>
      <w:r>
        <w:rPr>
          <w:rFonts w:hint="eastAsia"/>
          <w:color w:val="auto"/>
          <w:lang w:val="en-US" w:eastAsia="zh-CN"/>
        </w:rPr>
        <w:t>2.8.2</w:t>
      </w:r>
      <w:r>
        <w:rPr>
          <w:rFonts w:hint="eastAsia"/>
          <w:color w:val="auto"/>
        </w:rPr>
        <w:t>其他问题</w:t>
      </w:r>
    </w:p>
    <w:p w14:paraId="5EEB8FBD">
      <w:pPr>
        <w:pStyle w:val="41"/>
        <w:bidi w:val="0"/>
        <w:rPr>
          <w:rFonts w:hint="eastAsia"/>
          <w:color w:val="auto"/>
          <w:lang w:val="en-US" w:eastAsia="zh-CN"/>
        </w:rPr>
      </w:pPr>
      <w:r>
        <w:rPr>
          <w:rFonts w:hint="eastAsia"/>
          <w:color w:val="auto"/>
        </w:rPr>
        <w:t>项目区位于农耕程度较高的村寨附近，人类的生产经营、放牧、捡菌、收集松针等日常活动</w:t>
      </w:r>
      <w:r>
        <w:rPr>
          <w:rFonts w:hint="eastAsia"/>
          <w:color w:val="auto"/>
          <w:lang w:eastAsia="zh-CN"/>
        </w:rPr>
        <w:t>都</w:t>
      </w:r>
      <w:r>
        <w:rPr>
          <w:rFonts w:hint="eastAsia"/>
          <w:color w:val="auto"/>
        </w:rPr>
        <w:t>可能会对生态保护目标产生不利影响</w:t>
      </w:r>
      <w:r>
        <w:rPr>
          <w:rFonts w:hint="eastAsia"/>
          <w:color w:val="auto"/>
          <w:lang w:eastAsia="zh-CN"/>
        </w:rPr>
        <w:t>。</w:t>
      </w:r>
    </w:p>
    <w:p w14:paraId="27B2362E">
      <w:pPr>
        <w:pStyle w:val="2"/>
        <w:bidi w:val="0"/>
        <w:rPr>
          <w:rFonts w:hint="eastAsia" w:ascii="Times New Roman" w:hAnsi="Times New Roman" w:eastAsia="宋体" w:cs="Times New Roman"/>
          <w:b/>
          <w:bCs/>
          <w:color w:val="auto"/>
          <w:sz w:val="28"/>
          <w:szCs w:val="28"/>
          <w:lang w:val="en-US" w:eastAsia="zh-CN"/>
        </w:rPr>
        <w:sectPr>
          <w:pgSz w:w="11906" w:h="16838"/>
          <w:pgMar w:top="1701" w:right="1588" w:bottom="1418" w:left="1588" w:header="1247" w:footer="1418" w:gutter="0"/>
          <w:pgBorders>
            <w:top w:val="none" w:sz="0" w:space="0"/>
            <w:left w:val="none" w:sz="0" w:space="0"/>
            <w:bottom w:val="none" w:sz="0" w:space="0"/>
            <w:right w:val="none" w:sz="0" w:space="0"/>
          </w:pgBorders>
          <w:pgNumType w:fmt="decimal"/>
          <w:cols w:space="720" w:num="1"/>
          <w:docGrid w:type="lines" w:linePitch="312" w:charSpace="0"/>
        </w:sectPr>
      </w:pPr>
    </w:p>
    <w:p w14:paraId="36F1A826">
      <w:pPr>
        <w:pStyle w:val="3"/>
        <w:bidi w:val="0"/>
        <w:rPr>
          <w:rFonts w:hint="eastAsia"/>
          <w:sz w:val="32"/>
          <w:szCs w:val="32"/>
          <w:lang w:val="en-US" w:eastAsia="zh-CN"/>
        </w:rPr>
      </w:pPr>
      <w:bookmarkStart w:id="65" w:name="_Toc29053"/>
      <w:r>
        <w:rPr>
          <w:rFonts w:hint="eastAsia"/>
          <w:sz w:val="32"/>
          <w:szCs w:val="32"/>
          <w:lang w:val="en-US" w:eastAsia="zh-CN"/>
        </w:rPr>
        <w:t>3.施工期生态影响分析</w:t>
      </w:r>
      <w:bookmarkEnd w:id="65"/>
    </w:p>
    <w:p w14:paraId="042880AF">
      <w:pPr>
        <w:pStyle w:val="41"/>
        <w:bidi w:val="0"/>
        <w:rPr>
          <w:rFonts w:hint="default" w:cs="Times New Roman"/>
          <w:color w:val="auto"/>
          <w:sz w:val="24"/>
          <w:highlight w:val="none"/>
          <w:lang w:val="en-US" w:eastAsia="zh-CN"/>
        </w:rPr>
      </w:pPr>
      <w:r>
        <w:rPr>
          <w:rFonts w:hint="eastAsia" w:cs="Times New Roman"/>
          <w:color w:val="auto"/>
          <w:sz w:val="24"/>
          <w:highlight w:val="none"/>
          <w:lang w:val="en-US" w:eastAsia="zh-CN"/>
        </w:rPr>
        <w:t>为方便项目施工期对环境影响的分析，将项目建设内容分为风机区和架空线路和升压站区进行分析，风机区主要建设内容为风机机位及吊装平台、地埋电缆和进场道路，为工程的新建部分，架空线路和升压站区主要建设内容为架空线路换线和升压站扩建，为工程的扩建部分。</w:t>
      </w:r>
    </w:p>
    <w:p w14:paraId="29BE8EDA">
      <w:pPr>
        <w:pStyle w:val="3"/>
        <w:bidi w:val="0"/>
        <w:rPr>
          <w:rFonts w:hint="eastAsia"/>
          <w:color w:val="auto"/>
          <w:lang w:val="en-US" w:eastAsia="zh-CN"/>
        </w:rPr>
      </w:pPr>
      <w:r>
        <w:rPr>
          <w:rFonts w:hint="eastAsia"/>
          <w:b/>
          <w:color w:val="auto"/>
          <w:spacing w:val="-2"/>
          <w:sz w:val="28"/>
          <w:szCs w:val="28"/>
          <w:highlight w:val="none"/>
          <w:lang w:val="en-US" w:eastAsia="zh-CN"/>
        </w:rPr>
        <w:t>3.1对土地利用的影响</w:t>
      </w:r>
    </w:p>
    <w:p w14:paraId="0CB0E297">
      <w:pPr>
        <w:autoSpaceDE w:val="0"/>
        <w:autoSpaceDN w:val="0"/>
        <w:adjustRightInd w:val="0"/>
        <w:spacing w:line="360" w:lineRule="auto"/>
        <w:ind w:firstLine="480" w:firstLineChars="200"/>
        <w:rPr>
          <w:rFonts w:hint="default" w:cs="Times New Roman"/>
          <w:color w:val="auto"/>
          <w:sz w:val="24"/>
          <w:highlight w:val="none"/>
          <w:lang w:val="en-US" w:eastAsia="zh-CN"/>
        </w:rPr>
      </w:pPr>
      <w:r>
        <w:rPr>
          <w:rFonts w:hint="eastAsia" w:cs="Times New Roman"/>
          <w:color w:val="auto"/>
          <w:sz w:val="24"/>
          <w:highlight w:val="none"/>
          <w:lang w:val="en-US" w:eastAsia="zh-CN"/>
        </w:rPr>
        <w:t>（1）风机区</w:t>
      </w:r>
    </w:p>
    <w:p w14:paraId="126C4E99">
      <w:pPr>
        <w:autoSpaceDE w:val="0"/>
        <w:autoSpaceDN w:val="0"/>
        <w:adjustRightInd w:val="0"/>
        <w:spacing w:line="360" w:lineRule="auto"/>
        <w:ind w:firstLine="480" w:firstLineChars="200"/>
        <w:rPr>
          <w:rFonts w:ascii="宋体" w:hAnsi="宋体" w:eastAsia="宋体" w:cs="宋体"/>
          <w:b w:val="0"/>
          <w:bCs w:val="0"/>
          <w:color w:val="auto"/>
          <w:sz w:val="24"/>
          <w:szCs w:val="24"/>
        </w:rPr>
      </w:pPr>
      <w:r>
        <w:rPr>
          <w:rFonts w:hint="eastAsia" w:cs="Times New Roman"/>
          <w:color w:val="auto"/>
          <w:sz w:val="24"/>
          <w:highlight w:val="none"/>
          <w:lang w:val="en-US" w:eastAsia="zh-CN"/>
        </w:rPr>
        <w:t>项目建设</w:t>
      </w:r>
      <w:r>
        <w:rPr>
          <w:rFonts w:hint="eastAsia" w:ascii="Times New Roman" w:hAnsi="Times New Roman" w:eastAsia="宋体" w:cs="Times New Roman"/>
          <w:color w:val="auto"/>
          <w:sz w:val="24"/>
          <w:highlight w:val="none"/>
          <w:lang w:val="en-US" w:eastAsia="zh-CN"/>
        </w:rPr>
        <w:t>对土地利用的影响是不可避免的，永久占地将使区域内被占用土地的利用性质和功能、土壤理化性质发生改变，这一改变是永久的，不可逆的。</w:t>
      </w:r>
      <w:r>
        <w:rPr>
          <w:rFonts w:hint="eastAsia" w:cs="Times New Roman"/>
          <w:color w:val="auto"/>
          <w:sz w:val="24"/>
          <w:highlight w:val="none"/>
          <w:lang w:val="en-US" w:eastAsia="zh-CN"/>
        </w:rPr>
        <w:t>本</w:t>
      </w:r>
      <w:r>
        <w:rPr>
          <w:rFonts w:hint="eastAsia" w:ascii="Times New Roman" w:hAnsi="Times New Roman" w:eastAsia="宋体" w:cs="Times New Roman"/>
          <w:color w:val="auto"/>
          <w:sz w:val="24"/>
          <w:highlight w:val="none"/>
          <w:lang w:val="en-US" w:eastAsia="zh-CN"/>
        </w:rPr>
        <w:t>项目</w:t>
      </w:r>
      <w:r>
        <w:rPr>
          <w:rFonts w:ascii="宋体" w:hAnsi="宋体" w:eastAsia="宋体" w:cs="宋体"/>
          <w:b w:val="0"/>
          <w:bCs w:val="0"/>
          <w:color w:val="auto"/>
          <w:sz w:val="24"/>
          <w:szCs w:val="24"/>
          <w:highlight w:val="none"/>
        </w:rPr>
        <w:t>永久占地主要包括风机基础</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lang w:val="en-US" w:eastAsia="zh-CN"/>
        </w:rPr>
        <w:t>箱式变电站位于风机基础占地之内</w:t>
      </w:r>
      <w:r>
        <w:rPr>
          <w:rFonts w:hint="eastAsia" w:ascii="宋体" w:hAnsi="宋体" w:eastAsia="宋体" w:cs="宋体"/>
          <w:b w:val="0"/>
          <w:bCs w:val="0"/>
          <w:color w:val="auto"/>
          <w:sz w:val="24"/>
          <w:szCs w:val="24"/>
          <w:highlight w:val="none"/>
          <w:lang w:eastAsia="zh-CN"/>
        </w:rPr>
        <w:t>）</w:t>
      </w:r>
      <w:r>
        <w:rPr>
          <w:rFonts w:hint="eastAsia" w:ascii="宋体" w:hAnsi="宋体" w:cs="宋体"/>
          <w:b w:val="0"/>
          <w:bCs w:val="0"/>
          <w:color w:val="auto"/>
          <w:sz w:val="24"/>
          <w:szCs w:val="24"/>
          <w:highlight w:val="none"/>
          <w:lang w:eastAsia="zh-CN"/>
        </w:rPr>
        <w:t>，</w:t>
      </w:r>
      <w:r>
        <w:rPr>
          <w:rFonts w:hint="eastAsia" w:cs="Times New Roman"/>
          <w:color w:val="auto"/>
          <w:sz w:val="24"/>
          <w:highlight w:val="none"/>
          <w:lang w:val="en-US" w:eastAsia="zh-CN"/>
        </w:rPr>
        <w:t>总</w:t>
      </w:r>
      <w:r>
        <w:rPr>
          <w:rFonts w:hint="eastAsia" w:ascii="Times New Roman" w:hAnsi="Times New Roman" w:eastAsia="宋体" w:cs="Times New Roman"/>
          <w:color w:val="auto"/>
          <w:sz w:val="24"/>
          <w:highlight w:val="none"/>
          <w:lang w:val="en-US" w:eastAsia="zh-CN"/>
        </w:rPr>
        <w:t>面积为</w:t>
      </w:r>
      <w:r>
        <w:rPr>
          <w:rFonts w:hint="eastAsia" w:cs="Times New Roman"/>
          <w:color w:val="auto"/>
          <w:sz w:val="24"/>
          <w:highlight w:val="none"/>
          <w:lang w:val="en-US" w:eastAsia="zh-CN"/>
        </w:rPr>
        <w:t>0.1596hm</w:t>
      </w:r>
      <w:r>
        <w:rPr>
          <w:rFonts w:hint="eastAsia" w:cs="Times New Roman"/>
          <w:color w:val="auto"/>
          <w:sz w:val="24"/>
          <w:highlight w:val="none"/>
          <w:vertAlign w:val="superscript"/>
          <w:lang w:val="en-US" w:eastAsia="zh-CN"/>
        </w:rPr>
        <w:t>2</w:t>
      </w:r>
      <w:r>
        <w:rPr>
          <w:rFonts w:hint="eastAsia" w:cs="Times New Roman"/>
          <w:color w:val="auto"/>
          <w:sz w:val="24"/>
          <w:highlight w:val="none"/>
          <w:lang w:val="en-US" w:eastAsia="zh-CN"/>
        </w:rPr>
        <w:t>，</w:t>
      </w:r>
      <w:r>
        <w:rPr>
          <w:rFonts w:ascii="宋体" w:hAnsi="宋体" w:eastAsia="宋体" w:cs="宋体"/>
          <w:b w:val="0"/>
          <w:bCs w:val="0"/>
          <w:color w:val="auto"/>
          <w:sz w:val="24"/>
          <w:szCs w:val="24"/>
          <w:highlight w:val="none"/>
        </w:rPr>
        <w:t>占</w:t>
      </w:r>
      <w:r>
        <w:rPr>
          <w:rFonts w:hint="eastAsia" w:ascii="宋体" w:hAnsi="宋体" w:eastAsia="宋体" w:cs="宋体"/>
          <w:b w:val="0"/>
          <w:bCs w:val="0"/>
          <w:color w:val="auto"/>
          <w:sz w:val="24"/>
          <w:szCs w:val="24"/>
          <w:highlight w:val="none"/>
          <w:lang w:val="en-US" w:eastAsia="zh-CN"/>
        </w:rPr>
        <w:t>宣威市</w:t>
      </w:r>
      <w:r>
        <w:rPr>
          <w:rFonts w:ascii="宋体" w:hAnsi="宋体" w:eastAsia="宋体" w:cs="宋体"/>
          <w:b w:val="0"/>
          <w:bCs w:val="0"/>
          <w:color w:val="auto"/>
          <w:sz w:val="24"/>
          <w:szCs w:val="24"/>
          <w:highlight w:val="none"/>
        </w:rPr>
        <w:t>国土面积（</w:t>
      </w:r>
      <w:r>
        <w:rPr>
          <w:rFonts w:hint="eastAsia" w:ascii="Times New Roman" w:hAnsi="Times New Roman" w:eastAsia="宋体" w:cs="Times New Roman"/>
          <w:b w:val="0"/>
          <w:bCs w:val="0"/>
          <w:color w:val="auto"/>
          <w:sz w:val="24"/>
          <w:szCs w:val="24"/>
          <w:highlight w:val="none"/>
          <w:lang w:val="en-US" w:eastAsia="zh-CN"/>
        </w:rPr>
        <w:t>6069.88</w:t>
      </w:r>
      <w:r>
        <w:rPr>
          <w:rFonts w:hint="default" w:ascii="Times New Roman" w:hAnsi="Times New Roman" w:eastAsia="TimesNewRomanPSMT" w:cs="Times New Roman"/>
          <w:b w:val="0"/>
          <w:bCs w:val="0"/>
          <w:color w:val="auto"/>
          <w:sz w:val="24"/>
          <w:szCs w:val="24"/>
          <w:highlight w:val="none"/>
        </w:rPr>
        <w:t>km</w:t>
      </w:r>
      <w:r>
        <w:rPr>
          <w:rFonts w:hint="default" w:ascii="Times New Roman" w:hAnsi="Times New Roman" w:eastAsia="TimesNewRomanPSMT" w:cs="Times New Roman"/>
          <w:b w:val="0"/>
          <w:bCs w:val="0"/>
          <w:color w:val="auto"/>
          <w:sz w:val="24"/>
          <w:szCs w:val="24"/>
          <w:highlight w:val="none"/>
          <w:vertAlign w:val="superscript"/>
        </w:rPr>
        <w:t>2</w:t>
      </w:r>
      <w:r>
        <w:rPr>
          <w:rFonts w:ascii="宋体" w:hAnsi="宋体" w:eastAsia="宋体" w:cs="宋体"/>
          <w:b w:val="0"/>
          <w:bCs w:val="0"/>
          <w:color w:val="auto"/>
          <w:sz w:val="24"/>
          <w:szCs w:val="24"/>
          <w:highlight w:val="none"/>
        </w:rPr>
        <w:t>）的</w:t>
      </w:r>
      <w:r>
        <w:rPr>
          <w:rFonts w:hint="eastAsia" w:ascii="TimesNewRomanPSMT" w:hAnsi="TimesNewRomanPSMT" w:eastAsia="宋体" w:cs="TimesNewRomanPSMT"/>
          <w:b w:val="0"/>
          <w:bCs w:val="0"/>
          <w:color w:val="auto"/>
          <w:sz w:val="24"/>
          <w:szCs w:val="24"/>
          <w:highlight w:val="none"/>
          <w:lang w:val="en-US" w:eastAsia="zh-CN"/>
        </w:rPr>
        <w:t>0.000</w:t>
      </w:r>
      <w:r>
        <w:rPr>
          <w:rFonts w:hint="eastAsia" w:ascii="TimesNewRomanPSMT" w:hAnsi="TimesNewRomanPSMT" w:cs="TimesNewRomanPSMT"/>
          <w:b w:val="0"/>
          <w:bCs w:val="0"/>
          <w:color w:val="auto"/>
          <w:sz w:val="24"/>
          <w:szCs w:val="24"/>
          <w:highlight w:val="none"/>
          <w:lang w:val="en-US" w:eastAsia="zh-CN"/>
        </w:rPr>
        <w:t>026</w:t>
      </w:r>
      <w:r>
        <w:rPr>
          <w:rFonts w:hint="default" w:ascii="TimesNewRomanPSMT" w:hAnsi="TimesNewRomanPSMT" w:eastAsia="TimesNewRomanPSMT" w:cs="TimesNewRomanPSMT"/>
          <w:b w:val="0"/>
          <w:bCs w:val="0"/>
          <w:color w:val="auto"/>
          <w:sz w:val="24"/>
          <w:szCs w:val="24"/>
          <w:highlight w:val="none"/>
        </w:rPr>
        <w:t>%</w:t>
      </w:r>
      <w:r>
        <w:rPr>
          <w:rFonts w:ascii="宋体" w:hAnsi="宋体" w:eastAsia="宋体" w:cs="宋体"/>
          <w:b w:val="0"/>
          <w:bCs w:val="0"/>
          <w:color w:val="auto"/>
          <w:sz w:val="24"/>
          <w:szCs w:val="24"/>
          <w:highlight w:val="none"/>
        </w:rPr>
        <w:t>，</w:t>
      </w:r>
      <w:r>
        <w:rPr>
          <w:rFonts w:ascii="宋体" w:hAnsi="宋体" w:eastAsia="宋体" w:cs="宋体"/>
          <w:b w:val="0"/>
          <w:bCs w:val="0"/>
          <w:color w:val="auto"/>
          <w:sz w:val="24"/>
          <w:szCs w:val="24"/>
        </w:rPr>
        <w:t>所占比例小，且为斑块零星占用，不会对</w:t>
      </w:r>
      <w:r>
        <w:rPr>
          <w:rFonts w:hint="eastAsia" w:ascii="宋体" w:hAnsi="宋体" w:eastAsia="宋体" w:cs="宋体"/>
          <w:b w:val="0"/>
          <w:bCs w:val="0"/>
          <w:color w:val="auto"/>
          <w:sz w:val="24"/>
          <w:szCs w:val="24"/>
          <w:highlight w:val="none"/>
          <w:lang w:val="en-US" w:eastAsia="zh-CN"/>
        </w:rPr>
        <w:t>宣威市</w:t>
      </w:r>
      <w:r>
        <w:rPr>
          <w:rFonts w:ascii="宋体" w:hAnsi="宋体" w:eastAsia="宋体" w:cs="宋体"/>
          <w:b w:val="0"/>
          <w:bCs w:val="0"/>
          <w:color w:val="auto"/>
          <w:sz w:val="24"/>
          <w:szCs w:val="24"/>
        </w:rPr>
        <w:t>总体土地利用结构造成大的影响。</w:t>
      </w:r>
    </w:p>
    <w:p w14:paraId="2BDE87B1">
      <w:pPr>
        <w:autoSpaceDE w:val="0"/>
        <w:autoSpaceDN w:val="0"/>
        <w:adjustRightInd w:val="0"/>
        <w:spacing w:line="360" w:lineRule="auto"/>
        <w:ind w:firstLine="480" w:firstLineChars="200"/>
        <w:rPr>
          <w:rFonts w:ascii="宋体" w:hAnsi="宋体" w:eastAsia="宋体" w:cs="宋体"/>
          <w:b w:val="0"/>
          <w:bCs w:val="0"/>
          <w:color w:val="auto"/>
          <w:sz w:val="24"/>
          <w:szCs w:val="24"/>
        </w:rPr>
      </w:pPr>
      <w:r>
        <w:rPr>
          <w:rFonts w:ascii="宋体" w:hAnsi="宋体" w:eastAsia="宋体" w:cs="宋体"/>
          <w:b w:val="0"/>
          <w:bCs w:val="0"/>
          <w:color w:val="auto"/>
          <w:sz w:val="24"/>
          <w:szCs w:val="24"/>
          <w:highlight w:val="none"/>
        </w:rPr>
        <w:t>项目临时占地</w:t>
      </w:r>
      <w:r>
        <w:rPr>
          <w:rFonts w:hint="eastAsia" w:ascii="宋体" w:hAnsi="宋体" w:eastAsia="宋体" w:cs="宋体"/>
          <w:b w:val="0"/>
          <w:bCs w:val="0"/>
          <w:color w:val="auto"/>
          <w:sz w:val="24"/>
          <w:szCs w:val="24"/>
          <w:highlight w:val="none"/>
          <w:lang w:val="en-US" w:eastAsia="zh-CN"/>
        </w:rPr>
        <w:t>面积为</w:t>
      </w:r>
      <w:r>
        <w:rPr>
          <w:rFonts w:hint="eastAsia" w:cs="Times New Roman"/>
          <w:color w:val="auto"/>
          <w:sz w:val="24"/>
          <w:highlight w:val="none"/>
          <w:lang w:val="en-US" w:eastAsia="zh-CN"/>
        </w:rPr>
        <w:t>2.9347hm</w:t>
      </w:r>
      <w:r>
        <w:rPr>
          <w:rFonts w:hint="eastAsia" w:cs="Times New Roman"/>
          <w:color w:val="auto"/>
          <w:sz w:val="24"/>
          <w:highlight w:val="none"/>
          <w:vertAlign w:val="superscript"/>
          <w:lang w:val="en-US" w:eastAsia="zh-CN"/>
        </w:rPr>
        <w:t>2</w:t>
      </w:r>
      <w:r>
        <w:rPr>
          <w:rFonts w:hint="eastAsia" w:ascii="宋体" w:hAnsi="宋体" w:eastAsia="宋体" w:cs="宋体"/>
          <w:b w:val="0"/>
          <w:bCs w:val="0"/>
          <w:color w:val="auto"/>
          <w:sz w:val="24"/>
          <w:szCs w:val="24"/>
          <w:highlight w:val="none"/>
          <w:lang w:val="en-US" w:eastAsia="zh-CN"/>
        </w:rPr>
        <w:t>，</w:t>
      </w:r>
      <w:r>
        <w:rPr>
          <w:rFonts w:ascii="宋体" w:hAnsi="宋体" w:eastAsia="宋体" w:cs="宋体"/>
          <w:b w:val="0"/>
          <w:bCs w:val="0"/>
          <w:color w:val="auto"/>
          <w:sz w:val="24"/>
          <w:szCs w:val="24"/>
          <w:highlight w:val="none"/>
        </w:rPr>
        <w:t>临时占用包括林地、草地、耕地等</w:t>
      </w:r>
      <w:r>
        <w:rPr>
          <w:rFonts w:hint="eastAsia" w:ascii="宋体" w:hAnsi="宋体" w:eastAsia="宋体" w:cs="宋体"/>
          <w:b w:val="0"/>
          <w:bCs w:val="0"/>
          <w:color w:val="auto"/>
          <w:sz w:val="24"/>
          <w:szCs w:val="24"/>
          <w:highlight w:val="none"/>
          <w:lang w:val="en-US" w:eastAsia="zh-CN"/>
        </w:rPr>
        <w:t>地类</w:t>
      </w:r>
      <w:r>
        <w:rPr>
          <w:rFonts w:ascii="宋体" w:hAnsi="宋体" w:eastAsia="宋体" w:cs="宋体"/>
          <w:b w:val="0"/>
          <w:bCs w:val="0"/>
          <w:color w:val="auto"/>
          <w:sz w:val="24"/>
          <w:szCs w:val="24"/>
        </w:rPr>
        <w:t>。工程临时占地对土壤结构有一定不利影响，但这种影响在工程结束后，耕地可通过复垦恢复使用</w:t>
      </w:r>
      <w:r>
        <w:rPr>
          <w:rFonts w:ascii="宋体" w:hAnsi="宋体" w:eastAsia="宋体" w:cs="宋体"/>
          <w:b w:val="0"/>
          <w:bCs w:val="0"/>
          <w:color w:val="auto"/>
          <w:sz w:val="24"/>
          <w:szCs w:val="24"/>
          <w:highlight w:val="none"/>
        </w:rPr>
        <w:t>，不会</w:t>
      </w:r>
      <w:r>
        <w:rPr>
          <w:rFonts w:hint="eastAsia" w:ascii="宋体" w:hAnsi="宋体" w:eastAsia="宋体" w:cs="宋体"/>
          <w:b w:val="0"/>
          <w:bCs w:val="0"/>
          <w:color w:val="auto"/>
          <w:sz w:val="24"/>
          <w:szCs w:val="24"/>
          <w:highlight w:val="none"/>
          <w:lang w:val="en-US" w:eastAsia="zh-CN"/>
        </w:rPr>
        <w:t>减少</w:t>
      </w:r>
      <w:r>
        <w:rPr>
          <w:rFonts w:ascii="宋体" w:hAnsi="宋体" w:eastAsia="宋体" w:cs="宋体"/>
          <w:b w:val="0"/>
          <w:bCs w:val="0"/>
          <w:color w:val="auto"/>
          <w:sz w:val="24"/>
          <w:szCs w:val="24"/>
          <w:highlight w:val="none"/>
        </w:rPr>
        <w:t>区</w:t>
      </w:r>
      <w:r>
        <w:rPr>
          <w:rFonts w:ascii="宋体" w:hAnsi="宋体" w:eastAsia="宋体" w:cs="宋体"/>
          <w:b w:val="0"/>
          <w:bCs w:val="0"/>
          <w:color w:val="auto"/>
          <w:sz w:val="24"/>
          <w:szCs w:val="24"/>
        </w:rPr>
        <w:t>域耕地面积；其他地类通过覆土、</w:t>
      </w:r>
      <w:r>
        <w:rPr>
          <w:rFonts w:hint="eastAsia" w:ascii="宋体" w:hAnsi="宋体" w:eastAsia="宋体" w:cs="宋体"/>
          <w:b w:val="0"/>
          <w:bCs w:val="0"/>
          <w:color w:val="auto"/>
          <w:sz w:val="24"/>
          <w:szCs w:val="24"/>
          <w:lang w:val="en-US" w:eastAsia="zh-CN"/>
        </w:rPr>
        <w:t>植物措施</w:t>
      </w:r>
      <w:r>
        <w:rPr>
          <w:rFonts w:ascii="宋体" w:hAnsi="宋体" w:eastAsia="宋体" w:cs="宋体"/>
          <w:b w:val="0"/>
          <w:bCs w:val="0"/>
          <w:color w:val="auto"/>
          <w:sz w:val="24"/>
          <w:szCs w:val="24"/>
        </w:rPr>
        <w:t>等</w:t>
      </w:r>
      <w:r>
        <w:rPr>
          <w:rFonts w:hint="eastAsia" w:ascii="宋体" w:hAnsi="宋体" w:eastAsia="宋体" w:cs="宋体"/>
          <w:b w:val="0"/>
          <w:bCs w:val="0"/>
          <w:color w:val="auto"/>
          <w:sz w:val="24"/>
          <w:szCs w:val="24"/>
          <w:lang w:val="en-US" w:eastAsia="zh-CN"/>
        </w:rPr>
        <w:t>恢复</w:t>
      </w:r>
      <w:r>
        <w:rPr>
          <w:rFonts w:ascii="宋体" w:hAnsi="宋体" w:eastAsia="宋体" w:cs="宋体"/>
          <w:b w:val="0"/>
          <w:bCs w:val="0"/>
          <w:color w:val="auto"/>
          <w:sz w:val="24"/>
          <w:szCs w:val="24"/>
        </w:rPr>
        <w:t>。临时占地所造成的影响是短期的，局部的，不会对土地利用性质和功能、土壤理化性质、土地利用格局等造成显著影响。</w:t>
      </w:r>
    </w:p>
    <w:p w14:paraId="7C76EBFF">
      <w:pPr>
        <w:pStyle w:val="41"/>
        <w:bidi w:val="0"/>
        <w:rPr>
          <w:rFonts w:ascii="宋体" w:hAnsi="宋体" w:eastAsia="宋体" w:cs="宋体"/>
          <w:b w:val="0"/>
          <w:bCs w:val="0"/>
          <w:color w:val="auto"/>
          <w:sz w:val="24"/>
          <w:szCs w:val="24"/>
        </w:rPr>
      </w:pPr>
      <w:r>
        <w:rPr>
          <w:rFonts w:ascii="宋体" w:hAnsi="宋体" w:eastAsia="宋体" w:cs="宋体"/>
          <w:b w:val="0"/>
          <w:bCs w:val="0"/>
          <w:color w:val="auto"/>
          <w:sz w:val="24"/>
          <w:szCs w:val="24"/>
        </w:rPr>
        <w:t>综</w:t>
      </w:r>
      <w:r>
        <w:rPr>
          <w:rFonts w:hint="eastAsia" w:ascii="宋体" w:hAnsi="宋体" w:eastAsia="宋体" w:cs="宋体"/>
          <w:b w:val="0"/>
          <w:bCs w:val="0"/>
          <w:color w:val="auto"/>
          <w:sz w:val="24"/>
          <w:szCs w:val="24"/>
          <w:lang w:val="en-US" w:eastAsia="zh-CN"/>
        </w:rPr>
        <w:t>上</w:t>
      </w:r>
      <w:r>
        <w:rPr>
          <w:rFonts w:ascii="宋体" w:hAnsi="宋体" w:eastAsia="宋体" w:cs="宋体"/>
          <w:b w:val="0"/>
          <w:bCs w:val="0"/>
          <w:color w:val="auto"/>
          <w:sz w:val="24"/>
          <w:szCs w:val="24"/>
        </w:rPr>
        <w:t>，</w:t>
      </w:r>
      <w:r>
        <w:rPr>
          <w:rFonts w:hint="eastAsia" w:ascii="宋体" w:hAnsi="宋体" w:eastAsia="宋体" w:cs="宋体"/>
          <w:b w:val="0"/>
          <w:bCs w:val="0"/>
          <w:color w:val="auto"/>
          <w:sz w:val="24"/>
          <w:szCs w:val="24"/>
          <w:lang w:val="en-US" w:eastAsia="zh-CN"/>
        </w:rPr>
        <w:t>本</w:t>
      </w:r>
      <w:r>
        <w:rPr>
          <w:rFonts w:ascii="宋体" w:hAnsi="宋体" w:eastAsia="宋体" w:cs="宋体"/>
          <w:b w:val="0"/>
          <w:bCs w:val="0"/>
          <w:color w:val="auto"/>
          <w:sz w:val="24"/>
          <w:szCs w:val="24"/>
        </w:rPr>
        <w:t>项目占用的各土地类型比例不大，对区域土地利用格局不会造成较大影响，施工期临时用地在施工结束后，采取覆土植被及复垦措施后基本可以恢复到原有功能，因此项目占地对土地利用的影响不大。</w:t>
      </w:r>
    </w:p>
    <w:p w14:paraId="2B5F8510">
      <w:pPr>
        <w:pStyle w:val="41"/>
        <w:bidi w:val="0"/>
        <w:rPr>
          <w:rFonts w:hint="eastAsia" w:cs="Times New Roman"/>
          <w:color w:val="auto"/>
          <w:sz w:val="24"/>
          <w:highlight w:val="none"/>
          <w:lang w:val="en-US" w:eastAsia="zh-CN"/>
        </w:rPr>
      </w:pPr>
      <w:r>
        <w:rPr>
          <w:rFonts w:hint="eastAsia" w:cs="Times New Roman"/>
          <w:color w:val="auto"/>
          <w:sz w:val="24"/>
          <w:highlight w:val="none"/>
          <w:lang w:val="en-US" w:eastAsia="zh-CN"/>
        </w:rPr>
        <w:t>（2）架空线路和升压站区</w:t>
      </w:r>
    </w:p>
    <w:p w14:paraId="3F1F7B2D">
      <w:pPr>
        <w:pStyle w:val="41"/>
        <w:bidi w:val="0"/>
        <w:rPr>
          <w:rFonts w:hint="default" w:cs="Times New Roman"/>
          <w:color w:val="auto"/>
          <w:sz w:val="24"/>
          <w:highlight w:val="none"/>
          <w:lang w:val="en-US" w:eastAsia="zh-CN"/>
        </w:rPr>
      </w:pPr>
      <w:r>
        <w:rPr>
          <w:rFonts w:hint="eastAsia" w:cs="Times New Roman"/>
          <w:color w:val="auto"/>
          <w:sz w:val="24"/>
          <w:highlight w:val="none"/>
          <w:lang w:val="en-US" w:eastAsia="zh-CN"/>
        </w:rPr>
        <w:t>项目架空线路的建设拟在现有塔杆上对电缆进行更换，进场道路依托西泽风电场一期进场道路，牵张采用牵张场牵张，不新增永久或临时占地，对区域的土地利用几乎无影响。项目升压站扩建工程位于现有升压站内扩建，不新增占地，对区域的土地利用几乎无影响。</w:t>
      </w:r>
    </w:p>
    <w:p w14:paraId="1B57BBFC">
      <w:pPr>
        <w:pStyle w:val="3"/>
        <w:bidi w:val="0"/>
        <w:rPr>
          <w:rFonts w:hint="eastAsia"/>
          <w:color w:val="auto"/>
          <w:highlight w:val="none"/>
          <w:lang w:val="en-US" w:eastAsia="zh-CN"/>
        </w:rPr>
      </w:pPr>
      <w:r>
        <w:rPr>
          <w:rFonts w:hint="eastAsia"/>
          <w:color w:val="auto"/>
          <w:highlight w:val="none"/>
          <w:lang w:val="en-US" w:eastAsia="zh-CN"/>
        </w:rPr>
        <w:t>3.2对植被的影响</w:t>
      </w:r>
    </w:p>
    <w:p w14:paraId="72574CD2">
      <w:pPr>
        <w:pStyle w:val="4"/>
        <w:bidi w:val="0"/>
        <w:rPr>
          <w:rFonts w:hint="eastAsia"/>
          <w:color w:val="auto"/>
          <w:lang w:val="en-US" w:eastAsia="zh-CN"/>
        </w:rPr>
      </w:pPr>
      <w:r>
        <w:rPr>
          <w:rFonts w:hint="eastAsia"/>
          <w:color w:val="auto"/>
          <w:lang w:val="en-US" w:eastAsia="zh-CN"/>
        </w:rPr>
        <w:t>3.2.1风机区</w:t>
      </w:r>
    </w:p>
    <w:p w14:paraId="1D72360B">
      <w:pPr>
        <w:pStyle w:val="41"/>
        <w:bidi w:val="0"/>
        <w:rPr>
          <w:rFonts w:hint="eastAsia"/>
          <w:color w:val="auto"/>
          <w:lang w:val="en-US" w:eastAsia="zh-CN"/>
        </w:rPr>
      </w:pPr>
      <w:r>
        <w:rPr>
          <w:rFonts w:hint="eastAsia"/>
          <w:color w:val="auto"/>
          <w:lang w:val="en-US" w:eastAsia="zh-CN"/>
        </w:rPr>
        <w:t>本项目评价区植被的影响主要由永久占地和临时占地两个方面构成。</w:t>
      </w:r>
    </w:p>
    <w:p w14:paraId="3EC8D6EC">
      <w:pPr>
        <w:pStyle w:val="41"/>
        <w:bidi w:val="0"/>
        <w:rPr>
          <w:rFonts w:hint="eastAsia"/>
          <w:b/>
          <w:bCs/>
          <w:color w:val="auto"/>
          <w:lang w:val="en-US" w:eastAsia="zh-CN"/>
        </w:rPr>
      </w:pPr>
      <w:r>
        <w:rPr>
          <w:rFonts w:hint="eastAsia"/>
          <w:b/>
          <w:bCs/>
          <w:color w:val="auto"/>
          <w:lang w:val="en-US" w:eastAsia="zh-CN"/>
        </w:rPr>
        <w:t>（1）永久占地的影响</w:t>
      </w:r>
    </w:p>
    <w:p w14:paraId="6E6D4503">
      <w:pPr>
        <w:spacing w:line="360" w:lineRule="auto"/>
        <w:ind w:right="34" w:firstLine="480" w:firstLineChars="200"/>
        <w:rPr>
          <w:color w:val="auto"/>
          <w:sz w:val="24"/>
          <w:szCs w:val="22"/>
          <w:highlight w:val="none"/>
        </w:rPr>
      </w:pPr>
      <w:r>
        <w:rPr>
          <w:color w:val="auto"/>
          <w:sz w:val="24"/>
          <w:szCs w:val="22"/>
          <w:highlight w:val="none"/>
        </w:rPr>
        <w:t>本工程永久性用地</w:t>
      </w:r>
      <w:r>
        <w:rPr>
          <w:rFonts w:hint="eastAsia"/>
          <w:color w:val="auto"/>
          <w:sz w:val="24"/>
          <w:szCs w:val="22"/>
          <w:highlight w:val="none"/>
          <w:lang w:val="en-US" w:eastAsia="zh-CN"/>
        </w:rPr>
        <w:t>为</w:t>
      </w:r>
      <w:r>
        <w:rPr>
          <w:color w:val="auto"/>
          <w:sz w:val="24"/>
          <w:szCs w:val="22"/>
          <w:highlight w:val="none"/>
        </w:rPr>
        <w:t>风力发电机组基础用地等。风机基础初拟采用现浇钢筋混凝土圆形扩展基础；箱变基础初拟采用箱式钢筋混凝土结构基础</w:t>
      </w:r>
      <w:r>
        <w:rPr>
          <w:rFonts w:hint="eastAsia"/>
          <w:color w:val="auto"/>
          <w:sz w:val="24"/>
          <w:szCs w:val="22"/>
          <w:highlight w:val="none"/>
          <w:lang w:val="en-US" w:eastAsia="zh-CN"/>
        </w:rPr>
        <w:t>型式</w:t>
      </w:r>
      <w:r>
        <w:rPr>
          <w:color w:val="auto"/>
          <w:sz w:val="24"/>
          <w:szCs w:val="22"/>
          <w:highlight w:val="none"/>
        </w:rPr>
        <w:t>，顶部为变压器预埋槽钢。</w:t>
      </w:r>
    </w:p>
    <w:p w14:paraId="420B4D91">
      <w:pPr>
        <w:spacing w:line="360" w:lineRule="auto"/>
        <w:ind w:firstLine="480" w:firstLineChars="200"/>
        <w:jc w:val="left"/>
        <w:rPr>
          <w:color w:val="auto"/>
          <w:sz w:val="24"/>
          <w:szCs w:val="22"/>
          <w:highlight w:val="none"/>
        </w:rPr>
      </w:pPr>
      <w:r>
        <w:rPr>
          <w:rFonts w:hint="eastAsia"/>
          <w:color w:val="auto"/>
          <w:sz w:val="24"/>
          <w:szCs w:val="22"/>
          <w:highlight w:val="none"/>
        </w:rPr>
        <w:t>项目</w:t>
      </w:r>
      <w:r>
        <w:rPr>
          <w:color w:val="auto"/>
          <w:sz w:val="24"/>
          <w:szCs w:val="22"/>
          <w:highlight w:val="none"/>
        </w:rPr>
        <w:t>永久占地面积</w:t>
      </w:r>
      <w:r>
        <w:rPr>
          <w:rFonts w:hint="eastAsia"/>
          <w:color w:val="auto"/>
          <w:sz w:val="24"/>
          <w:szCs w:val="22"/>
          <w:highlight w:val="none"/>
          <w:lang w:val="en-US" w:eastAsia="zh-CN"/>
        </w:rPr>
        <w:t>0.1596</w:t>
      </w:r>
      <w:r>
        <w:rPr>
          <w:color w:val="auto"/>
          <w:sz w:val="24"/>
          <w:szCs w:val="22"/>
          <w:highlight w:val="none"/>
        </w:rPr>
        <w:t>hm</w:t>
      </w:r>
      <w:r>
        <w:rPr>
          <w:color w:val="auto"/>
          <w:sz w:val="24"/>
          <w:szCs w:val="22"/>
          <w:highlight w:val="none"/>
          <w:vertAlign w:val="superscript"/>
        </w:rPr>
        <w:t>2</w:t>
      </w:r>
      <w:r>
        <w:rPr>
          <w:color w:val="auto"/>
          <w:sz w:val="24"/>
          <w:szCs w:val="22"/>
          <w:highlight w:val="none"/>
        </w:rPr>
        <w:t>，占评价区面积的</w:t>
      </w:r>
      <w:r>
        <w:rPr>
          <w:rFonts w:hint="eastAsia"/>
          <w:color w:val="auto"/>
          <w:sz w:val="24"/>
          <w:szCs w:val="22"/>
          <w:highlight w:val="none"/>
        </w:rPr>
        <w:t>0.0</w:t>
      </w:r>
      <w:r>
        <w:rPr>
          <w:rFonts w:hint="eastAsia"/>
          <w:color w:val="auto"/>
          <w:sz w:val="24"/>
          <w:szCs w:val="22"/>
          <w:highlight w:val="none"/>
          <w:lang w:val="en-US" w:eastAsia="zh-CN"/>
        </w:rPr>
        <w:t>15</w:t>
      </w:r>
      <w:r>
        <w:rPr>
          <w:color w:val="auto"/>
          <w:sz w:val="24"/>
          <w:szCs w:val="22"/>
          <w:highlight w:val="none"/>
        </w:rPr>
        <w:t>%。根据现场调查及评价区植被分布图测算，风电场</w:t>
      </w:r>
      <w:r>
        <w:rPr>
          <w:rFonts w:hint="eastAsia"/>
          <w:color w:val="auto"/>
          <w:sz w:val="24"/>
          <w:szCs w:val="22"/>
          <w:highlight w:val="none"/>
          <w:lang w:val="en-US" w:eastAsia="zh-CN"/>
        </w:rPr>
        <w:t>不涉及占用滇青冈-滇石栎林，</w:t>
      </w:r>
      <w:r>
        <w:rPr>
          <w:color w:val="auto"/>
          <w:sz w:val="24"/>
          <w:szCs w:val="22"/>
          <w:highlight w:val="none"/>
        </w:rPr>
        <w:t>永久</w:t>
      </w:r>
      <w:r>
        <w:rPr>
          <w:rFonts w:hint="eastAsia"/>
          <w:color w:val="auto"/>
          <w:sz w:val="24"/>
          <w:szCs w:val="22"/>
          <w:highlight w:val="none"/>
          <w:lang w:val="en-US" w:eastAsia="zh-CN"/>
        </w:rPr>
        <w:t>占地占用</w:t>
      </w:r>
      <w:r>
        <w:rPr>
          <w:rFonts w:hint="eastAsia"/>
          <w:color w:val="auto"/>
          <w:sz w:val="24"/>
          <w:szCs w:val="22"/>
          <w:highlight w:val="none"/>
        </w:rPr>
        <w:t>暖温性针叶林</w:t>
      </w:r>
      <w:r>
        <w:rPr>
          <w:rFonts w:hint="eastAsia"/>
          <w:color w:val="auto"/>
          <w:sz w:val="24"/>
          <w:szCs w:val="22"/>
          <w:highlight w:val="none"/>
          <w:lang w:val="en-US" w:eastAsia="zh-CN"/>
        </w:rPr>
        <w:t>面积为0.0055</w:t>
      </w:r>
      <w:r>
        <w:rPr>
          <w:color w:val="auto"/>
          <w:sz w:val="24"/>
          <w:szCs w:val="22"/>
          <w:highlight w:val="none"/>
        </w:rPr>
        <w:t>hm</w:t>
      </w:r>
      <w:r>
        <w:rPr>
          <w:color w:val="auto"/>
          <w:sz w:val="24"/>
          <w:szCs w:val="22"/>
          <w:highlight w:val="none"/>
          <w:vertAlign w:val="superscript"/>
        </w:rPr>
        <w:t>2</w:t>
      </w:r>
      <w:r>
        <w:rPr>
          <w:color w:val="auto"/>
          <w:sz w:val="24"/>
          <w:szCs w:val="22"/>
          <w:highlight w:val="none"/>
        </w:rPr>
        <w:t>，占评价区同类植被面积的</w:t>
      </w:r>
      <w:r>
        <w:rPr>
          <w:rFonts w:hint="eastAsia"/>
          <w:color w:val="auto"/>
          <w:sz w:val="24"/>
          <w:szCs w:val="22"/>
          <w:highlight w:val="none"/>
        </w:rPr>
        <w:t>0.0</w:t>
      </w:r>
      <w:r>
        <w:rPr>
          <w:rFonts w:hint="eastAsia"/>
          <w:color w:val="auto"/>
          <w:sz w:val="24"/>
          <w:szCs w:val="22"/>
          <w:highlight w:val="none"/>
          <w:lang w:val="en-US" w:eastAsia="zh-CN"/>
        </w:rPr>
        <w:t>01</w:t>
      </w:r>
      <w:r>
        <w:rPr>
          <w:color w:val="auto"/>
          <w:sz w:val="24"/>
          <w:szCs w:val="22"/>
          <w:highlight w:val="none"/>
        </w:rPr>
        <w:t>%；占用</w:t>
      </w:r>
      <w:r>
        <w:rPr>
          <w:rFonts w:hint="eastAsia"/>
          <w:color w:val="auto"/>
          <w:sz w:val="24"/>
          <w:szCs w:val="22"/>
          <w:highlight w:val="none"/>
          <w:lang w:val="en-US" w:eastAsia="zh-CN"/>
        </w:rPr>
        <w:t>禾草草丛0.1541</w:t>
      </w:r>
      <w:r>
        <w:rPr>
          <w:color w:val="auto"/>
          <w:sz w:val="24"/>
          <w:szCs w:val="22"/>
          <w:highlight w:val="none"/>
        </w:rPr>
        <w:t>hm</w:t>
      </w:r>
      <w:r>
        <w:rPr>
          <w:color w:val="auto"/>
          <w:sz w:val="24"/>
          <w:szCs w:val="22"/>
          <w:highlight w:val="none"/>
          <w:vertAlign w:val="superscript"/>
        </w:rPr>
        <w:t>2</w:t>
      </w:r>
      <w:r>
        <w:rPr>
          <w:color w:val="auto"/>
          <w:sz w:val="24"/>
          <w:szCs w:val="22"/>
          <w:highlight w:val="none"/>
        </w:rPr>
        <w:t>，占评价区同类植被面积的</w:t>
      </w:r>
      <w:r>
        <w:rPr>
          <w:rFonts w:hint="eastAsia"/>
          <w:color w:val="auto"/>
          <w:sz w:val="24"/>
          <w:szCs w:val="22"/>
          <w:highlight w:val="none"/>
          <w:lang w:val="en-US" w:eastAsia="zh-CN"/>
        </w:rPr>
        <w:t>0.139</w:t>
      </w:r>
      <w:r>
        <w:rPr>
          <w:color w:val="auto"/>
          <w:sz w:val="24"/>
          <w:szCs w:val="22"/>
          <w:highlight w:val="none"/>
        </w:rPr>
        <w:t>%。整体看，本工程永久</w:t>
      </w:r>
      <w:r>
        <w:rPr>
          <w:rFonts w:hint="eastAsia"/>
          <w:color w:val="auto"/>
          <w:sz w:val="24"/>
          <w:szCs w:val="22"/>
          <w:highlight w:val="none"/>
        </w:rPr>
        <w:t>占地仅</w:t>
      </w:r>
      <w:r>
        <w:rPr>
          <w:color w:val="auto"/>
          <w:sz w:val="24"/>
          <w:szCs w:val="22"/>
          <w:highlight w:val="none"/>
        </w:rPr>
        <w:t>占用评价区</w:t>
      </w:r>
      <w:r>
        <w:rPr>
          <w:rFonts w:hint="eastAsia"/>
          <w:color w:val="auto"/>
          <w:sz w:val="24"/>
          <w:szCs w:val="22"/>
          <w:highlight w:val="none"/>
          <w:lang w:val="en-US" w:eastAsia="zh-CN"/>
        </w:rPr>
        <w:t>0.014</w:t>
      </w:r>
      <w:r>
        <w:rPr>
          <w:color w:val="auto"/>
          <w:sz w:val="24"/>
          <w:szCs w:val="22"/>
          <w:highlight w:val="none"/>
        </w:rPr>
        <w:t>%的土地，永久占地影响较小。具体详见下表。</w:t>
      </w:r>
    </w:p>
    <w:p w14:paraId="7A1D6D0B">
      <w:pPr>
        <w:pStyle w:val="42"/>
        <w:bidi w:val="0"/>
        <w:rPr>
          <w:color w:val="auto"/>
          <w:vertAlign w:val="superscript"/>
        </w:rPr>
      </w:pPr>
      <w:r>
        <w:rPr>
          <w:color w:val="auto"/>
        </w:rPr>
        <w:t>表</w:t>
      </w:r>
      <w:r>
        <w:rPr>
          <w:rFonts w:hint="eastAsia"/>
          <w:color w:val="auto"/>
          <w:lang w:val="en-US" w:eastAsia="zh-CN"/>
        </w:rPr>
        <w:t>3</w:t>
      </w:r>
      <w:r>
        <w:rPr>
          <w:color w:val="auto"/>
        </w:rPr>
        <w:t>-1</w:t>
      </w:r>
      <w:r>
        <w:rPr>
          <w:rFonts w:hint="eastAsia"/>
          <w:color w:val="auto"/>
          <w:lang w:val="en-US" w:eastAsia="zh-CN"/>
        </w:rPr>
        <w:t xml:space="preserve">  </w:t>
      </w:r>
      <w:r>
        <w:rPr>
          <w:color w:val="auto"/>
        </w:rPr>
        <w:t>工程永久占地影响植被类型表单位：hm</w:t>
      </w:r>
      <w:r>
        <w:rPr>
          <w:color w:val="auto"/>
          <w:vertAlign w:val="superscript"/>
        </w:rPr>
        <w:t>2</w:t>
      </w:r>
    </w:p>
    <w:tbl>
      <w:tblPr>
        <w:tblStyle w:val="20"/>
        <w:tblW w:w="8697" w:type="dxa"/>
        <w:tblInd w:w="93"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1290"/>
        <w:gridCol w:w="2233"/>
        <w:gridCol w:w="1536"/>
        <w:gridCol w:w="1599"/>
        <w:gridCol w:w="2039"/>
      </w:tblGrid>
      <w:tr w14:paraId="14ED0BC3">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3" w:hRule="atLeast"/>
        </w:trPr>
        <w:tc>
          <w:tcPr>
            <w:tcW w:w="3523" w:type="dxa"/>
            <w:gridSpan w:val="2"/>
            <w:vMerge w:val="restart"/>
            <w:tcBorders>
              <w:tl2br w:val="nil"/>
              <w:tr2bl w:val="nil"/>
            </w:tcBorders>
            <w:shd w:val="clear" w:color="auto" w:fill="auto"/>
            <w:noWrap/>
            <w:vAlign w:val="center"/>
          </w:tcPr>
          <w:p w14:paraId="7022D414">
            <w:pPr>
              <w:pStyle w:val="34"/>
              <w:tabs>
                <w:tab w:val="left" w:pos="1389"/>
              </w:tabs>
              <w:bidi w:val="0"/>
              <w:jc w:val="center"/>
              <w:rPr>
                <w:rFonts w:hint="eastAsia"/>
                <w:color w:val="auto"/>
              </w:rPr>
            </w:pPr>
            <w:r>
              <w:rPr>
                <w:rFonts w:hint="eastAsia"/>
                <w:color w:val="auto"/>
                <w:lang w:val="en-US" w:eastAsia="zh-CN"/>
              </w:rPr>
              <w:t>工程内容</w:t>
            </w:r>
          </w:p>
        </w:tc>
        <w:tc>
          <w:tcPr>
            <w:tcW w:w="1536" w:type="dxa"/>
            <w:vMerge w:val="restart"/>
            <w:tcBorders>
              <w:tl2br w:val="nil"/>
              <w:tr2bl w:val="nil"/>
            </w:tcBorders>
            <w:shd w:val="clear" w:color="auto" w:fill="auto"/>
            <w:noWrap/>
            <w:vAlign w:val="center"/>
          </w:tcPr>
          <w:p w14:paraId="52D3019B">
            <w:pPr>
              <w:pStyle w:val="34"/>
              <w:tabs>
                <w:tab w:val="left" w:pos="1389"/>
              </w:tabs>
              <w:bidi w:val="0"/>
              <w:jc w:val="center"/>
              <w:rPr>
                <w:rFonts w:hint="eastAsia"/>
                <w:color w:val="auto"/>
              </w:rPr>
            </w:pPr>
            <w:r>
              <w:rPr>
                <w:rFonts w:hint="eastAsia"/>
                <w:color w:val="auto"/>
                <w:lang w:val="en-US" w:eastAsia="zh-CN"/>
              </w:rPr>
              <w:t>评价区面积</w:t>
            </w:r>
          </w:p>
        </w:tc>
        <w:tc>
          <w:tcPr>
            <w:tcW w:w="1599" w:type="dxa"/>
            <w:tcBorders>
              <w:tl2br w:val="nil"/>
              <w:tr2bl w:val="nil"/>
            </w:tcBorders>
            <w:shd w:val="clear" w:color="auto" w:fill="auto"/>
            <w:noWrap/>
            <w:vAlign w:val="center"/>
          </w:tcPr>
          <w:p w14:paraId="1D124093">
            <w:pPr>
              <w:pStyle w:val="34"/>
              <w:tabs>
                <w:tab w:val="left" w:pos="1389"/>
              </w:tabs>
              <w:bidi w:val="0"/>
              <w:jc w:val="center"/>
              <w:rPr>
                <w:rFonts w:hint="eastAsia"/>
                <w:color w:val="auto"/>
              </w:rPr>
            </w:pPr>
            <w:r>
              <w:rPr>
                <w:rFonts w:hint="eastAsia"/>
                <w:color w:val="auto"/>
                <w:lang w:val="en-US" w:eastAsia="zh-CN"/>
              </w:rPr>
              <w:t>占地面积</w:t>
            </w:r>
          </w:p>
        </w:tc>
        <w:tc>
          <w:tcPr>
            <w:tcW w:w="2039" w:type="dxa"/>
            <w:vMerge w:val="restart"/>
            <w:tcBorders>
              <w:tl2br w:val="nil"/>
              <w:tr2bl w:val="nil"/>
            </w:tcBorders>
            <w:shd w:val="clear" w:color="auto" w:fill="auto"/>
            <w:noWrap/>
            <w:vAlign w:val="center"/>
          </w:tcPr>
          <w:p w14:paraId="28BFC8B9">
            <w:pPr>
              <w:pStyle w:val="34"/>
              <w:tabs>
                <w:tab w:val="left" w:pos="1389"/>
              </w:tabs>
              <w:bidi w:val="0"/>
              <w:jc w:val="center"/>
              <w:rPr>
                <w:rFonts w:hint="eastAsia"/>
                <w:color w:val="auto"/>
                <w:lang w:val="en-US" w:eastAsia="zh-CN"/>
              </w:rPr>
            </w:pPr>
            <w:r>
              <w:rPr>
                <w:rFonts w:hint="eastAsia"/>
                <w:color w:val="auto"/>
                <w:lang w:val="en-US" w:eastAsia="zh-CN"/>
              </w:rPr>
              <w:t>占用面积占评价区面积的百分比（%）</w:t>
            </w:r>
          </w:p>
        </w:tc>
      </w:tr>
      <w:tr w14:paraId="490C0AC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67" w:hRule="atLeast"/>
        </w:trPr>
        <w:tc>
          <w:tcPr>
            <w:tcW w:w="3523" w:type="dxa"/>
            <w:gridSpan w:val="2"/>
            <w:vMerge w:val="continue"/>
            <w:tcBorders>
              <w:tl2br w:val="nil"/>
              <w:tr2bl w:val="nil"/>
            </w:tcBorders>
            <w:shd w:val="clear" w:color="auto" w:fill="auto"/>
            <w:noWrap/>
            <w:vAlign w:val="center"/>
          </w:tcPr>
          <w:p w14:paraId="1AA3A35C">
            <w:pPr>
              <w:pStyle w:val="34"/>
              <w:tabs>
                <w:tab w:val="left" w:pos="1389"/>
              </w:tabs>
              <w:bidi w:val="0"/>
              <w:jc w:val="center"/>
              <w:rPr>
                <w:rFonts w:hint="eastAsia"/>
                <w:color w:val="auto"/>
              </w:rPr>
            </w:pPr>
          </w:p>
        </w:tc>
        <w:tc>
          <w:tcPr>
            <w:tcW w:w="1536" w:type="dxa"/>
            <w:vMerge w:val="continue"/>
            <w:tcBorders>
              <w:tl2br w:val="nil"/>
              <w:tr2bl w:val="nil"/>
            </w:tcBorders>
            <w:shd w:val="clear" w:color="auto" w:fill="auto"/>
            <w:noWrap/>
            <w:vAlign w:val="center"/>
          </w:tcPr>
          <w:p w14:paraId="49630528">
            <w:pPr>
              <w:pStyle w:val="34"/>
              <w:tabs>
                <w:tab w:val="left" w:pos="1389"/>
              </w:tabs>
              <w:bidi w:val="0"/>
              <w:jc w:val="center"/>
              <w:rPr>
                <w:rFonts w:hint="eastAsia"/>
                <w:color w:val="auto"/>
              </w:rPr>
            </w:pPr>
          </w:p>
        </w:tc>
        <w:tc>
          <w:tcPr>
            <w:tcW w:w="1599" w:type="dxa"/>
            <w:tcBorders>
              <w:tl2br w:val="nil"/>
              <w:tr2bl w:val="nil"/>
            </w:tcBorders>
            <w:shd w:val="clear" w:color="auto" w:fill="auto"/>
            <w:noWrap/>
            <w:vAlign w:val="center"/>
          </w:tcPr>
          <w:p w14:paraId="61149F05">
            <w:pPr>
              <w:pStyle w:val="34"/>
              <w:tabs>
                <w:tab w:val="left" w:pos="1389"/>
              </w:tabs>
              <w:bidi w:val="0"/>
              <w:jc w:val="center"/>
              <w:rPr>
                <w:rFonts w:hint="eastAsia"/>
                <w:color w:val="auto"/>
              </w:rPr>
            </w:pPr>
            <w:r>
              <w:rPr>
                <w:rFonts w:hint="eastAsia"/>
                <w:color w:val="auto"/>
                <w:lang w:val="en-US" w:eastAsia="zh-CN"/>
              </w:rPr>
              <w:t>风机基础</w:t>
            </w:r>
          </w:p>
        </w:tc>
        <w:tc>
          <w:tcPr>
            <w:tcW w:w="2039" w:type="dxa"/>
            <w:vMerge w:val="continue"/>
            <w:tcBorders>
              <w:tl2br w:val="nil"/>
              <w:tr2bl w:val="nil"/>
            </w:tcBorders>
            <w:shd w:val="clear" w:color="auto" w:fill="auto"/>
            <w:noWrap/>
            <w:vAlign w:val="center"/>
          </w:tcPr>
          <w:p w14:paraId="0F10EE1B">
            <w:pPr>
              <w:pStyle w:val="34"/>
              <w:tabs>
                <w:tab w:val="left" w:pos="1389"/>
              </w:tabs>
              <w:bidi w:val="0"/>
              <w:jc w:val="center"/>
              <w:rPr>
                <w:rFonts w:hint="eastAsia"/>
                <w:color w:val="auto"/>
                <w:lang w:val="en-US" w:eastAsia="zh-CN"/>
              </w:rPr>
            </w:pPr>
          </w:p>
        </w:tc>
      </w:tr>
      <w:tr w14:paraId="1B495E9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3" w:hRule="atLeast"/>
        </w:trPr>
        <w:tc>
          <w:tcPr>
            <w:tcW w:w="1290" w:type="dxa"/>
            <w:vMerge w:val="restart"/>
            <w:tcBorders>
              <w:tl2br w:val="nil"/>
              <w:tr2bl w:val="nil"/>
            </w:tcBorders>
            <w:shd w:val="clear" w:color="auto" w:fill="auto"/>
            <w:noWrap/>
            <w:vAlign w:val="center"/>
          </w:tcPr>
          <w:p w14:paraId="101F8DCD">
            <w:pPr>
              <w:pStyle w:val="34"/>
              <w:tabs>
                <w:tab w:val="left" w:pos="1389"/>
              </w:tabs>
              <w:bidi w:val="0"/>
              <w:jc w:val="center"/>
              <w:rPr>
                <w:rFonts w:hint="eastAsia"/>
                <w:color w:val="auto"/>
              </w:rPr>
            </w:pPr>
            <w:r>
              <w:rPr>
                <w:rFonts w:hint="eastAsia"/>
                <w:color w:val="auto"/>
                <w:lang w:val="en-US" w:eastAsia="zh-CN"/>
              </w:rPr>
              <w:t>自然植被</w:t>
            </w:r>
          </w:p>
        </w:tc>
        <w:tc>
          <w:tcPr>
            <w:tcW w:w="2233" w:type="dxa"/>
            <w:tcBorders>
              <w:tl2br w:val="nil"/>
              <w:tr2bl w:val="nil"/>
            </w:tcBorders>
            <w:shd w:val="clear" w:color="auto" w:fill="auto"/>
            <w:noWrap/>
            <w:vAlign w:val="center"/>
          </w:tcPr>
          <w:p w14:paraId="5C827BF5">
            <w:pPr>
              <w:pStyle w:val="34"/>
              <w:tabs>
                <w:tab w:val="left" w:pos="1389"/>
              </w:tabs>
              <w:bidi w:val="0"/>
              <w:jc w:val="center"/>
              <w:rPr>
                <w:rFonts w:hint="eastAsia"/>
                <w:color w:val="auto"/>
              </w:rPr>
            </w:pPr>
            <w:r>
              <w:rPr>
                <w:rFonts w:hint="eastAsia"/>
                <w:color w:val="auto"/>
                <w:lang w:val="en-US" w:eastAsia="zh-CN"/>
              </w:rPr>
              <w:t>半湿润常绿阔叶林</w:t>
            </w:r>
          </w:p>
        </w:tc>
        <w:tc>
          <w:tcPr>
            <w:tcW w:w="1536" w:type="dxa"/>
            <w:tcBorders>
              <w:tl2br w:val="nil"/>
              <w:tr2bl w:val="nil"/>
            </w:tcBorders>
            <w:shd w:val="clear" w:color="auto" w:fill="auto"/>
            <w:noWrap/>
            <w:vAlign w:val="center"/>
          </w:tcPr>
          <w:p w14:paraId="2A29671E">
            <w:pPr>
              <w:pStyle w:val="34"/>
              <w:tabs>
                <w:tab w:val="left" w:pos="1389"/>
              </w:tabs>
              <w:bidi w:val="0"/>
              <w:rPr>
                <w:rFonts w:hint="eastAsia"/>
                <w:color w:val="auto"/>
              </w:rPr>
            </w:pPr>
            <w:r>
              <w:rPr>
                <w:rFonts w:hint="default"/>
                <w:color w:val="auto"/>
                <w:lang w:val="en-US" w:eastAsia="zh-CN"/>
              </w:rPr>
              <w:t>55.4841</w:t>
            </w:r>
          </w:p>
        </w:tc>
        <w:tc>
          <w:tcPr>
            <w:tcW w:w="1599" w:type="dxa"/>
            <w:tcBorders>
              <w:tl2br w:val="nil"/>
              <w:tr2bl w:val="nil"/>
            </w:tcBorders>
            <w:shd w:val="clear" w:color="auto" w:fill="auto"/>
            <w:noWrap/>
            <w:vAlign w:val="center"/>
          </w:tcPr>
          <w:p w14:paraId="230F0B31">
            <w:pPr>
              <w:pStyle w:val="34"/>
              <w:tabs>
                <w:tab w:val="left" w:pos="1389"/>
              </w:tabs>
              <w:bidi w:val="0"/>
              <w:jc w:val="center"/>
              <w:rPr>
                <w:rFonts w:hint="eastAsia"/>
                <w:color w:val="auto"/>
              </w:rPr>
            </w:pPr>
            <w:r>
              <w:rPr>
                <w:rFonts w:hint="eastAsia"/>
                <w:color w:val="auto"/>
                <w:lang w:val="en-US" w:eastAsia="zh-CN"/>
              </w:rPr>
              <w:t>0</w:t>
            </w:r>
          </w:p>
        </w:tc>
        <w:tc>
          <w:tcPr>
            <w:tcW w:w="2039" w:type="dxa"/>
            <w:tcBorders>
              <w:tl2br w:val="nil"/>
              <w:tr2bl w:val="nil"/>
            </w:tcBorders>
            <w:shd w:val="clear" w:color="auto" w:fill="auto"/>
            <w:noWrap/>
            <w:vAlign w:val="center"/>
          </w:tcPr>
          <w:p w14:paraId="547EF08B">
            <w:pPr>
              <w:pStyle w:val="34"/>
              <w:tabs>
                <w:tab w:val="left" w:pos="1389"/>
              </w:tabs>
              <w:bidi w:val="0"/>
              <w:rPr>
                <w:rFonts w:hint="eastAsia"/>
                <w:color w:val="auto"/>
                <w:lang w:val="en-US" w:eastAsia="zh-CN"/>
              </w:rPr>
            </w:pPr>
            <w:r>
              <w:rPr>
                <w:rFonts w:hint="eastAsia"/>
                <w:color w:val="auto"/>
                <w:lang w:val="en-US" w:eastAsia="zh-CN"/>
              </w:rPr>
              <w:t>0.000</w:t>
            </w:r>
          </w:p>
        </w:tc>
      </w:tr>
      <w:tr w14:paraId="4643C0B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3" w:hRule="atLeast"/>
        </w:trPr>
        <w:tc>
          <w:tcPr>
            <w:tcW w:w="1290" w:type="dxa"/>
            <w:vMerge w:val="continue"/>
            <w:tcBorders>
              <w:tl2br w:val="nil"/>
              <w:tr2bl w:val="nil"/>
            </w:tcBorders>
            <w:shd w:val="clear" w:color="auto" w:fill="auto"/>
            <w:noWrap/>
            <w:vAlign w:val="center"/>
          </w:tcPr>
          <w:p w14:paraId="0CAFA986">
            <w:pPr>
              <w:pStyle w:val="34"/>
              <w:tabs>
                <w:tab w:val="left" w:pos="1389"/>
              </w:tabs>
              <w:bidi w:val="0"/>
              <w:jc w:val="center"/>
              <w:rPr>
                <w:rFonts w:hint="eastAsia"/>
                <w:color w:val="auto"/>
              </w:rPr>
            </w:pPr>
          </w:p>
        </w:tc>
        <w:tc>
          <w:tcPr>
            <w:tcW w:w="2233" w:type="dxa"/>
            <w:tcBorders>
              <w:tl2br w:val="nil"/>
              <w:tr2bl w:val="nil"/>
            </w:tcBorders>
            <w:shd w:val="clear" w:color="auto" w:fill="auto"/>
            <w:noWrap/>
            <w:vAlign w:val="center"/>
          </w:tcPr>
          <w:p w14:paraId="238D72D7">
            <w:pPr>
              <w:pStyle w:val="34"/>
              <w:tabs>
                <w:tab w:val="left" w:pos="1389"/>
              </w:tabs>
              <w:bidi w:val="0"/>
              <w:jc w:val="center"/>
              <w:rPr>
                <w:rFonts w:hint="eastAsia"/>
                <w:color w:val="auto"/>
              </w:rPr>
            </w:pPr>
            <w:r>
              <w:rPr>
                <w:rFonts w:hint="eastAsia"/>
                <w:color w:val="auto"/>
                <w:lang w:val="en-US" w:eastAsia="zh-CN"/>
              </w:rPr>
              <w:t>旱冬瓜林</w:t>
            </w:r>
          </w:p>
        </w:tc>
        <w:tc>
          <w:tcPr>
            <w:tcW w:w="1536" w:type="dxa"/>
            <w:tcBorders>
              <w:tl2br w:val="nil"/>
              <w:tr2bl w:val="nil"/>
            </w:tcBorders>
            <w:shd w:val="clear" w:color="auto" w:fill="auto"/>
            <w:noWrap/>
            <w:vAlign w:val="center"/>
          </w:tcPr>
          <w:p w14:paraId="34D8060C">
            <w:pPr>
              <w:pStyle w:val="34"/>
              <w:tabs>
                <w:tab w:val="left" w:pos="1389"/>
              </w:tabs>
              <w:bidi w:val="0"/>
              <w:rPr>
                <w:rFonts w:hint="eastAsia"/>
                <w:color w:val="auto"/>
              </w:rPr>
            </w:pPr>
            <w:r>
              <w:rPr>
                <w:rFonts w:hint="default"/>
                <w:color w:val="auto"/>
                <w:lang w:val="en-US" w:eastAsia="zh-CN"/>
              </w:rPr>
              <w:t>17.5925</w:t>
            </w:r>
          </w:p>
        </w:tc>
        <w:tc>
          <w:tcPr>
            <w:tcW w:w="1599" w:type="dxa"/>
            <w:tcBorders>
              <w:tl2br w:val="nil"/>
              <w:tr2bl w:val="nil"/>
            </w:tcBorders>
            <w:shd w:val="clear" w:color="auto" w:fill="auto"/>
            <w:noWrap/>
            <w:vAlign w:val="center"/>
          </w:tcPr>
          <w:p w14:paraId="6D403805">
            <w:pPr>
              <w:pStyle w:val="34"/>
              <w:tabs>
                <w:tab w:val="left" w:pos="1389"/>
              </w:tabs>
              <w:bidi w:val="0"/>
              <w:jc w:val="center"/>
              <w:rPr>
                <w:rFonts w:hint="eastAsia"/>
                <w:color w:val="auto"/>
              </w:rPr>
            </w:pPr>
            <w:r>
              <w:rPr>
                <w:rFonts w:hint="eastAsia"/>
                <w:color w:val="auto"/>
                <w:lang w:val="en-US" w:eastAsia="zh-CN"/>
              </w:rPr>
              <w:t>0</w:t>
            </w:r>
          </w:p>
        </w:tc>
        <w:tc>
          <w:tcPr>
            <w:tcW w:w="2039" w:type="dxa"/>
            <w:tcBorders>
              <w:tl2br w:val="nil"/>
              <w:tr2bl w:val="nil"/>
            </w:tcBorders>
            <w:shd w:val="clear" w:color="auto" w:fill="auto"/>
            <w:noWrap/>
            <w:vAlign w:val="center"/>
          </w:tcPr>
          <w:p w14:paraId="1134A5CB">
            <w:pPr>
              <w:pStyle w:val="34"/>
              <w:tabs>
                <w:tab w:val="left" w:pos="1389"/>
              </w:tabs>
              <w:bidi w:val="0"/>
              <w:rPr>
                <w:rFonts w:hint="eastAsia"/>
                <w:color w:val="auto"/>
                <w:lang w:val="en-US" w:eastAsia="zh-CN"/>
              </w:rPr>
            </w:pPr>
            <w:r>
              <w:rPr>
                <w:rFonts w:hint="eastAsia"/>
                <w:color w:val="auto"/>
                <w:lang w:val="en-US" w:eastAsia="zh-CN"/>
              </w:rPr>
              <w:t>0.000</w:t>
            </w:r>
          </w:p>
        </w:tc>
      </w:tr>
      <w:tr w14:paraId="0F9D826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3" w:hRule="atLeast"/>
        </w:trPr>
        <w:tc>
          <w:tcPr>
            <w:tcW w:w="1290" w:type="dxa"/>
            <w:vMerge w:val="continue"/>
            <w:tcBorders>
              <w:tl2br w:val="nil"/>
              <w:tr2bl w:val="nil"/>
            </w:tcBorders>
            <w:shd w:val="clear" w:color="auto" w:fill="auto"/>
            <w:noWrap/>
            <w:vAlign w:val="center"/>
          </w:tcPr>
          <w:p w14:paraId="0D2BDB10">
            <w:pPr>
              <w:pStyle w:val="34"/>
              <w:tabs>
                <w:tab w:val="left" w:pos="1389"/>
              </w:tabs>
              <w:bidi w:val="0"/>
              <w:jc w:val="center"/>
              <w:rPr>
                <w:rFonts w:hint="eastAsia"/>
                <w:color w:val="auto"/>
              </w:rPr>
            </w:pPr>
          </w:p>
        </w:tc>
        <w:tc>
          <w:tcPr>
            <w:tcW w:w="2233" w:type="dxa"/>
            <w:tcBorders>
              <w:tl2br w:val="nil"/>
              <w:tr2bl w:val="nil"/>
            </w:tcBorders>
            <w:shd w:val="clear" w:color="auto" w:fill="auto"/>
            <w:noWrap/>
            <w:vAlign w:val="center"/>
          </w:tcPr>
          <w:p w14:paraId="428633D6">
            <w:pPr>
              <w:pStyle w:val="34"/>
              <w:tabs>
                <w:tab w:val="left" w:pos="1389"/>
              </w:tabs>
              <w:bidi w:val="0"/>
              <w:jc w:val="center"/>
              <w:rPr>
                <w:rFonts w:hint="eastAsia"/>
                <w:color w:val="auto"/>
              </w:rPr>
            </w:pPr>
            <w:r>
              <w:rPr>
                <w:rFonts w:hint="eastAsia"/>
                <w:color w:val="auto"/>
                <w:lang w:val="en-US" w:eastAsia="zh-CN"/>
              </w:rPr>
              <w:t>暖温性针叶林</w:t>
            </w:r>
          </w:p>
        </w:tc>
        <w:tc>
          <w:tcPr>
            <w:tcW w:w="1536" w:type="dxa"/>
            <w:tcBorders>
              <w:tl2br w:val="nil"/>
              <w:tr2bl w:val="nil"/>
            </w:tcBorders>
            <w:shd w:val="clear" w:color="auto" w:fill="auto"/>
            <w:noWrap/>
            <w:vAlign w:val="center"/>
          </w:tcPr>
          <w:p w14:paraId="08CDDD54">
            <w:pPr>
              <w:pStyle w:val="34"/>
              <w:tabs>
                <w:tab w:val="left" w:pos="1389"/>
              </w:tabs>
              <w:bidi w:val="0"/>
              <w:rPr>
                <w:rFonts w:hint="eastAsia"/>
                <w:color w:val="auto"/>
              </w:rPr>
            </w:pPr>
            <w:r>
              <w:rPr>
                <w:rFonts w:hint="default"/>
                <w:color w:val="auto"/>
                <w:lang w:val="en-US" w:eastAsia="zh-CN"/>
              </w:rPr>
              <w:t>683.4023</w:t>
            </w:r>
          </w:p>
        </w:tc>
        <w:tc>
          <w:tcPr>
            <w:tcW w:w="1599" w:type="dxa"/>
            <w:tcBorders>
              <w:tl2br w:val="nil"/>
              <w:tr2bl w:val="nil"/>
            </w:tcBorders>
            <w:shd w:val="clear" w:color="auto" w:fill="auto"/>
            <w:noWrap/>
            <w:vAlign w:val="center"/>
          </w:tcPr>
          <w:p w14:paraId="17C5E6B7">
            <w:pPr>
              <w:pStyle w:val="34"/>
              <w:tabs>
                <w:tab w:val="left" w:pos="1389"/>
              </w:tabs>
              <w:bidi w:val="0"/>
              <w:jc w:val="center"/>
              <w:rPr>
                <w:rFonts w:hint="default"/>
                <w:color w:val="auto"/>
                <w:lang w:val="en-US"/>
              </w:rPr>
            </w:pPr>
            <w:r>
              <w:rPr>
                <w:rFonts w:hint="eastAsia"/>
                <w:color w:val="auto"/>
                <w:lang w:val="en-US" w:eastAsia="zh-CN"/>
              </w:rPr>
              <w:t>0.0055</w:t>
            </w:r>
          </w:p>
        </w:tc>
        <w:tc>
          <w:tcPr>
            <w:tcW w:w="2039" w:type="dxa"/>
            <w:tcBorders>
              <w:tl2br w:val="nil"/>
              <w:tr2bl w:val="nil"/>
            </w:tcBorders>
            <w:shd w:val="clear" w:color="auto" w:fill="auto"/>
            <w:noWrap/>
            <w:vAlign w:val="center"/>
          </w:tcPr>
          <w:p w14:paraId="4410028C">
            <w:pPr>
              <w:pStyle w:val="34"/>
              <w:tabs>
                <w:tab w:val="left" w:pos="1389"/>
              </w:tabs>
              <w:bidi w:val="0"/>
              <w:rPr>
                <w:rFonts w:hint="eastAsia"/>
                <w:color w:val="auto"/>
                <w:lang w:val="en-US" w:eastAsia="zh-CN"/>
              </w:rPr>
            </w:pPr>
            <w:r>
              <w:rPr>
                <w:rFonts w:hint="eastAsia"/>
                <w:color w:val="auto"/>
                <w:lang w:val="en-US" w:eastAsia="zh-CN"/>
              </w:rPr>
              <w:t>0.001</w:t>
            </w:r>
          </w:p>
        </w:tc>
      </w:tr>
      <w:tr w14:paraId="7EF042D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39" w:hRule="atLeast"/>
        </w:trPr>
        <w:tc>
          <w:tcPr>
            <w:tcW w:w="1290" w:type="dxa"/>
            <w:vMerge w:val="continue"/>
            <w:tcBorders>
              <w:tl2br w:val="nil"/>
              <w:tr2bl w:val="nil"/>
            </w:tcBorders>
            <w:shd w:val="clear" w:color="auto" w:fill="auto"/>
            <w:noWrap/>
            <w:vAlign w:val="center"/>
          </w:tcPr>
          <w:p w14:paraId="5C41F0EC">
            <w:pPr>
              <w:pStyle w:val="34"/>
              <w:tabs>
                <w:tab w:val="left" w:pos="1389"/>
              </w:tabs>
              <w:bidi w:val="0"/>
              <w:jc w:val="center"/>
              <w:rPr>
                <w:rFonts w:hint="eastAsia"/>
                <w:color w:val="auto"/>
              </w:rPr>
            </w:pPr>
          </w:p>
        </w:tc>
        <w:tc>
          <w:tcPr>
            <w:tcW w:w="2233" w:type="dxa"/>
            <w:tcBorders>
              <w:tl2br w:val="nil"/>
              <w:tr2bl w:val="nil"/>
            </w:tcBorders>
            <w:shd w:val="clear" w:color="auto" w:fill="auto"/>
            <w:noWrap/>
            <w:vAlign w:val="center"/>
          </w:tcPr>
          <w:p w14:paraId="6CBE9AC3">
            <w:pPr>
              <w:pStyle w:val="34"/>
              <w:tabs>
                <w:tab w:val="left" w:pos="1389"/>
              </w:tabs>
              <w:bidi w:val="0"/>
              <w:jc w:val="center"/>
              <w:rPr>
                <w:rFonts w:hint="eastAsia"/>
                <w:color w:val="auto"/>
              </w:rPr>
            </w:pPr>
            <w:r>
              <w:rPr>
                <w:rFonts w:hint="eastAsia"/>
                <w:color w:val="auto"/>
                <w:lang w:val="en-US" w:eastAsia="zh-CN"/>
              </w:rPr>
              <w:t>暖温性石灰岩灌丛</w:t>
            </w:r>
          </w:p>
        </w:tc>
        <w:tc>
          <w:tcPr>
            <w:tcW w:w="1536" w:type="dxa"/>
            <w:tcBorders>
              <w:tl2br w:val="nil"/>
              <w:tr2bl w:val="nil"/>
            </w:tcBorders>
            <w:shd w:val="clear" w:color="auto" w:fill="auto"/>
            <w:noWrap/>
            <w:vAlign w:val="center"/>
          </w:tcPr>
          <w:p w14:paraId="0C2E00B3">
            <w:pPr>
              <w:pStyle w:val="34"/>
              <w:tabs>
                <w:tab w:val="left" w:pos="1389"/>
              </w:tabs>
              <w:bidi w:val="0"/>
              <w:rPr>
                <w:rFonts w:hint="eastAsia"/>
                <w:color w:val="auto"/>
              </w:rPr>
            </w:pPr>
            <w:r>
              <w:rPr>
                <w:rFonts w:hint="default"/>
                <w:color w:val="auto"/>
                <w:lang w:val="en-US" w:eastAsia="zh-CN"/>
              </w:rPr>
              <w:t>17.5925</w:t>
            </w:r>
          </w:p>
        </w:tc>
        <w:tc>
          <w:tcPr>
            <w:tcW w:w="1599" w:type="dxa"/>
            <w:tcBorders>
              <w:tl2br w:val="nil"/>
              <w:tr2bl w:val="nil"/>
            </w:tcBorders>
            <w:shd w:val="clear" w:color="auto" w:fill="auto"/>
            <w:noWrap/>
            <w:vAlign w:val="center"/>
          </w:tcPr>
          <w:p w14:paraId="38FF2E3B">
            <w:pPr>
              <w:pStyle w:val="34"/>
              <w:tabs>
                <w:tab w:val="left" w:pos="1389"/>
              </w:tabs>
              <w:bidi w:val="0"/>
              <w:jc w:val="center"/>
              <w:rPr>
                <w:rFonts w:hint="eastAsia"/>
                <w:color w:val="auto"/>
              </w:rPr>
            </w:pPr>
            <w:r>
              <w:rPr>
                <w:rFonts w:hint="eastAsia"/>
                <w:color w:val="auto"/>
                <w:lang w:val="en-US" w:eastAsia="zh-CN"/>
              </w:rPr>
              <w:t>0</w:t>
            </w:r>
          </w:p>
        </w:tc>
        <w:tc>
          <w:tcPr>
            <w:tcW w:w="2039" w:type="dxa"/>
            <w:tcBorders>
              <w:tl2br w:val="nil"/>
              <w:tr2bl w:val="nil"/>
            </w:tcBorders>
            <w:shd w:val="clear" w:color="auto" w:fill="auto"/>
            <w:noWrap/>
            <w:vAlign w:val="center"/>
          </w:tcPr>
          <w:p w14:paraId="79BED337">
            <w:pPr>
              <w:pStyle w:val="34"/>
              <w:tabs>
                <w:tab w:val="left" w:pos="1389"/>
              </w:tabs>
              <w:bidi w:val="0"/>
              <w:rPr>
                <w:rFonts w:hint="eastAsia"/>
                <w:color w:val="auto"/>
                <w:lang w:val="en-US" w:eastAsia="zh-CN"/>
              </w:rPr>
            </w:pPr>
            <w:r>
              <w:rPr>
                <w:rFonts w:hint="eastAsia"/>
                <w:color w:val="auto"/>
                <w:lang w:val="en-US" w:eastAsia="zh-CN"/>
              </w:rPr>
              <w:t>0.000</w:t>
            </w:r>
          </w:p>
        </w:tc>
      </w:tr>
      <w:tr w14:paraId="49887E1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3" w:hRule="atLeast"/>
        </w:trPr>
        <w:tc>
          <w:tcPr>
            <w:tcW w:w="1290" w:type="dxa"/>
            <w:vMerge w:val="continue"/>
            <w:tcBorders>
              <w:tl2br w:val="nil"/>
              <w:tr2bl w:val="nil"/>
            </w:tcBorders>
            <w:shd w:val="clear" w:color="auto" w:fill="auto"/>
            <w:noWrap/>
            <w:vAlign w:val="center"/>
          </w:tcPr>
          <w:p w14:paraId="2EDCE2AF">
            <w:pPr>
              <w:pStyle w:val="34"/>
              <w:tabs>
                <w:tab w:val="left" w:pos="1389"/>
              </w:tabs>
              <w:bidi w:val="0"/>
              <w:jc w:val="center"/>
              <w:rPr>
                <w:rFonts w:hint="eastAsia"/>
                <w:color w:val="auto"/>
              </w:rPr>
            </w:pPr>
          </w:p>
        </w:tc>
        <w:tc>
          <w:tcPr>
            <w:tcW w:w="2233" w:type="dxa"/>
            <w:tcBorders>
              <w:tl2br w:val="nil"/>
              <w:tr2bl w:val="nil"/>
            </w:tcBorders>
            <w:shd w:val="clear" w:color="auto" w:fill="auto"/>
            <w:noWrap/>
            <w:vAlign w:val="center"/>
          </w:tcPr>
          <w:p w14:paraId="263DDB87">
            <w:pPr>
              <w:pStyle w:val="34"/>
              <w:tabs>
                <w:tab w:val="left" w:pos="1389"/>
              </w:tabs>
              <w:bidi w:val="0"/>
              <w:jc w:val="center"/>
              <w:rPr>
                <w:rFonts w:hint="eastAsia"/>
                <w:color w:val="auto"/>
              </w:rPr>
            </w:pPr>
            <w:r>
              <w:rPr>
                <w:rFonts w:hint="eastAsia"/>
                <w:color w:val="auto"/>
                <w:lang w:val="en-US" w:eastAsia="zh-CN"/>
              </w:rPr>
              <w:t>禾草草丛</w:t>
            </w:r>
          </w:p>
        </w:tc>
        <w:tc>
          <w:tcPr>
            <w:tcW w:w="1536" w:type="dxa"/>
            <w:tcBorders>
              <w:tl2br w:val="nil"/>
              <w:tr2bl w:val="nil"/>
            </w:tcBorders>
            <w:shd w:val="clear" w:color="auto" w:fill="auto"/>
            <w:noWrap/>
            <w:vAlign w:val="center"/>
          </w:tcPr>
          <w:p w14:paraId="7E67F451">
            <w:pPr>
              <w:pStyle w:val="34"/>
              <w:tabs>
                <w:tab w:val="left" w:pos="1389"/>
              </w:tabs>
              <w:bidi w:val="0"/>
              <w:rPr>
                <w:rFonts w:hint="eastAsia"/>
                <w:color w:val="auto"/>
              </w:rPr>
            </w:pPr>
            <w:r>
              <w:rPr>
                <w:rFonts w:hint="default"/>
                <w:color w:val="auto"/>
                <w:lang w:val="en-US" w:eastAsia="zh-CN"/>
              </w:rPr>
              <w:t>120.4412</w:t>
            </w:r>
          </w:p>
        </w:tc>
        <w:tc>
          <w:tcPr>
            <w:tcW w:w="1599" w:type="dxa"/>
            <w:tcBorders>
              <w:tl2br w:val="nil"/>
              <w:tr2bl w:val="nil"/>
            </w:tcBorders>
            <w:shd w:val="clear" w:color="auto" w:fill="auto"/>
            <w:noWrap/>
            <w:vAlign w:val="center"/>
          </w:tcPr>
          <w:p w14:paraId="7FBB581A">
            <w:pPr>
              <w:pStyle w:val="34"/>
              <w:tabs>
                <w:tab w:val="left" w:pos="1389"/>
              </w:tabs>
              <w:bidi w:val="0"/>
              <w:jc w:val="center"/>
              <w:rPr>
                <w:rFonts w:hint="default"/>
                <w:color w:val="auto"/>
                <w:lang w:val="en-US"/>
              </w:rPr>
            </w:pPr>
            <w:r>
              <w:rPr>
                <w:rFonts w:hint="eastAsia"/>
                <w:color w:val="auto"/>
                <w:lang w:val="en-US" w:eastAsia="zh-CN"/>
              </w:rPr>
              <w:t>0.1541</w:t>
            </w:r>
          </w:p>
        </w:tc>
        <w:tc>
          <w:tcPr>
            <w:tcW w:w="2039" w:type="dxa"/>
            <w:tcBorders>
              <w:tl2br w:val="nil"/>
              <w:tr2bl w:val="nil"/>
            </w:tcBorders>
            <w:shd w:val="clear" w:color="auto" w:fill="auto"/>
            <w:noWrap/>
            <w:vAlign w:val="center"/>
          </w:tcPr>
          <w:p w14:paraId="251DAE58">
            <w:pPr>
              <w:pStyle w:val="34"/>
              <w:tabs>
                <w:tab w:val="left" w:pos="1389"/>
              </w:tabs>
              <w:bidi w:val="0"/>
              <w:rPr>
                <w:rFonts w:hint="default"/>
                <w:color w:val="auto"/>
                <w:lang w:val="en-US" w:eastAsia="zh-CN"/>
              </w:rPr>
            </w:pPr>
            <w:r>
              <w:rPr>
                <w:rFonts w:hint="eastAsia"/>
                <w:color w:val="auto"/>
                <w:lang w:val="en-US" w:eastAsia="zh-CN"/>
              </w:rPr>
              <w:t>0.139</w:t>
            </w:r>
          </w:p>
        </w:tc>
      </w:tr>
      <w:tr w14:paraId="374BC53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3" w:hRule="atLeast"/>
        </w:trPr>
        <w:tc>
          <w:tcPr>
            <w:tcW w:w="1290" w:type="dxa"/>
            <w:vMerge w:val="continue"/>
            <w:tcBorders>
              <w:tl2br w:val="nil"/>
              <w:tr2bl w:val="nil"/>
            </w:tcBorders>
            <w:shd w:val="clear" w:color="auto" w:fill="auto"/>
            <w:noWrap/>
            <w:vAlign w:val="center"/>
          </w:tcPr>
          <w:p w14:paraId="356D3093">
            <w:pPr>
              <w:pStyle w:val="34"/>
              <w:tabs>
                <w:tab w:val="left" w:pos="1389"/>
              </w:tabs>
              <w:bidi w:val="0"/>
              <w:jc w:val="center"/>
              <w:rPr>
                <w:rFonts w:hint="eastAsia"/>
                <w:color w:val="auto"/>
              </w:rPr>
            </w:pPr>
          </w:p>
        </w:tc>
        <w:tc>
          <w:tcPr>
            <w:tcW w:w="2233" w:type="dxa"/>
            <w:tcBorders>
              <w:tl2br w:val="nil"/>
              <w:tr2bl w:val="nil"/>
            </w:tcBorders>
            <w:shd w:val="clear" w:color="auto" w:fill="auto"/>
            <w:noWrap/>
            <w:vAlign w:val="center"/>
          </w:tcPr>
          <w:p w14:paraId="4ADFC639">
            <w:pPr>
              <w:pStyle w:val="34"/>
              <w:tabs>
                <w:tab w:val="left" w:pos="1389"/>
              </w:tabs>
              <w:bidi w:val="0"/>
              <w:jc w:val="center"/>
              <w:rPr>
                <w:rFonts w:hint="eastAsia"/>
                <w:color w:val="auto"/>
              </w:rPr>
            </w:pPr>
            <w:r>
              <w:rPr>
                <w:rFonts w:hint="eastAsia"/>
                <w:color w:val="auto"/>
                <w:lang w:val="en-US" w:eastAsia="zh-CN"/>
              </w:rPr>
              <w:t>小计</w:t>
            </w:r>
          </w:p>
        </w:tc>
        <w:tc>
          <w:tcPr>
            <w:tcW w:w="1536" w:type="dxa"/>
            <w:tcBorders>
              <w:tl2br w:val="nil"/>
              <w:tr2bl w:val="nil"/>
            </w:tcBorders>
            <w:shd w:val="clear" w:color="auto" w:fill="auto"/>
            <w:noWrap/>
            <w:vAlign w:val="center"/>
          </w:tcPr>
          <w:p w14:paraId="7586B59C">
            <w:pPr>
              <w:pStyle w:val="34"/>
              <w:tabs>
                <w:tab w:val="left" w:pos="1389"/>
              </w:tabs>
              <w:bidi w:val="0"/>
              <w:rPr>
                <w:rFonts w:hint="eastAsia"/>
                <w:color w:val="auto"/>
              </w:rPr>
            </w:pPr>
            <w:r>
              <w:rPr>
                <w:rFonts w:hint="default"/>
                <w:color w:val="auto"/>
                <w:lang w:val="en-US" w:eastAsia="zh-CN"/>
              </w:rPr>
              <w:t>202.9908</w:t>
            </w:r>
          </w:p>
        </w:tc>
        <w:tc>
          <w:tcPr>
            <w:tcW w:w="1599" w:type="dxa"/>
            <w:tcBorders>
              <w:tl2br w:val="nil"/>
              <w:tr2bl w:val="nil"/>
            </w:tcBorders>
            <w:shd w:val="clear" w:color="auto" w:fill="auto"/>
            <w:noWrap/>
            <w:vAlign w:val="center"/>
          </w:tcPr>
          <w:p w14:paraId="5D7686AC">
            <w:pPr>
              <w:pStyle w:val="34"/>
              <w:tabs>
                <w:tab w:val="left" w:pos="1389"/>
              </w:tabs>
              <w:bidi w:val="0"/>
              <w:jc w:val="center"/>
              <w:rPr>
                <w:rFonts w:hint="eastAsia"/>
                <w:color w:val="auto"/>
              </w:rPr>
            </w:pPr>
            <w:r>
              <w:rPr>
                <w:rFonts w:hint="eastAsia"/>
                <w:color w:val="auto"/>
                <w:lang w:val="en-US" w:eastAsia="zh-CN"/>
              </w:rPr>
              <w:t>0.1596</w:t>
            </w:r>
          </w:p>
        </w:tc>
        <w:tc>
          <w:tcPr>
            <w:tcW w:w="2039" w:type="dxa"/>
            <w:tcBorders>
              <w:tl2br w:val="nil"/>
              <w:tr2bl w:val="nil"/>
            </w:tcBorders>
            <w:shd w:val="clear" w:color="auto" w:fill="auto"/>
            <w:noWrap/>
            <w:vAlign w:val="center"/>
          </w:tcPr>
          <w:p w14:paraId="1FBFC74C">
            <w:pPr>
              <w:pStyle w:val="34"/>
              <w:tabs>
                <w:tab w:val="left" w:pos="1389"/>
              </w:tabs>
              <w:bidi w:val="0"/>
              <w:rPr>
                <w:rFonts w:hint="default"/>
                <w:color w:val="auto"/>
                <w:lang w:val="en-US" w:eastAsia="zh-CN"/>
              </w:rPr>
            </w:pPr>
            <w:r>
              <w:rPr>
                <w:rFonts w:hint="eastAsia"/>
                <w:color w:val="auto"/>
                <w:lang w:val="en-US" w:eastAsia="zh-CN"/>
              </w:rPr>
              <w:t>0.018</w:t>
            </w:r>
          </w:p>
        </w:tc>
      </w:tr>
      <w:tr w14:paraId="54F18D3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3" w:hRule="atLeast"/>
        </w:trPr>
        <w:tc>
          <w:tcPr>
            <w:tcW w:w="1290" w:type="dxa"/>
            <w:tcBorders>
              <w:tl2br w:val="nil"/>
              <w:tr2bl w:val="nil"/>
            </w:tcBorders>
            <w:shd w:val="clear" w:color="auto" w:fill="auto"/>
            <w:noWrap/>
            <w:vAlign w:val="center"/>
          </w:tcPr>
          <w:p w14:paraId="67A1901D">
            <w:pPr>
              <w:pStyle w:val="34"/>
              <w:tabs>
                <w:tab w:val="left" w:pos="1389"/>
              </w:tabs>
              <w:bidi w:val="0"/>
              <w:jc w:val="center"/>
              <w:rPr>
                <w:rFonts w:hint="eastAsia"/>
                <w:color w:val="auto"/>
              </w:rPr>
            </w:pPr>
            <w:r>
              <w:rPr>
                <w:rFonts w:hint="eastAsia"/>
                <w:color w:val="auto"/>
                <w:lang w:val="en-US" w:eastAsia="zh-CN"/>
              </w:rPr>
              <w:t>人工植被</w:t>
            </w:r>
          </w:p>
        </w:tc>
        <w:tc>
          <w:tcPr>
            <w:tcW w:w="2233" w:type="dxa"/>
            <w:tcBorders>
              <w:tl2br w:val="nil"/>
              <w:tr2bl w:val="nil"/>
            </w:tcBorders>
            <w:shd w:val="clear" w:color="auto" w:fill="auto"/>
            <w:noWrap/>
            <w:vAlign w:val="center"/>
          </w:tcPr>
          <w:p w14:paraId="57521FA4">
            <w:pPr>
              <w:pStyle w:val="34"/>
              <w:tabs>
                <w:tab w:val="left" w:pos="1389"/>
              </w:tabs>
              <w:bidi w:val="0"/>
              <w:jc w:val="center"/>
              <w:rPr>
                <w:rFonts w:hint="eastAsia"/>
                <w:color w:val="auto"/>
              </w:rPr>
            </w:pPr>
            <w:r>
              <w:rPr>
                <w:rFonts w:hint="eastAsia"/>
                <w:color w:val="auto"/>
                <w:lang w:val="en-US" w:eastAsia="zh-CN"/>
              </w:rPr>
              <w:t>耕地植被</w:t>
            </w:r>
          </w:p>
        </w:tc>
        <w:tc>
          <w:tcPr>
            <w:tcW w:w="1536" w:type="dxa"/>
            <w:tcBorders>
              <w:tl2br w:val="nil"/>
              <w:tr2bl w:val="nil"/>
            </w:tcBorders>
            <w:shd w:val="clear" w:color="auto" w:fill="auto"/>
            <w:noWrap/>
            <w:vAlign w:val="center"/>
          </w:tcPr>
          <w:p w14:paraId="27E3A30A">
            <w:pPr>
              <w:pStyle w:val="34"/>
              <w:tabs>
                <w:tab w:val="left" w:pos="1389"/>
              </w:tabs>
              <w:bidi w:val="0"/>
              <w:rPr>
                <w:rFonts w:hint="eastAsia"/>
                <w:color w:val="auto"/>
              </w:rPr>
            </w:pPr>
            <w:r>
              <w:rPr>
                <w:rFonts w:hint="default"/>
                <w:color w:val="auto"/>
                <w:lang w:val="en-US" w:eastAsia="zh-CN"/>
              </w:rPr>
              <w:t>2.7065</w:t>
            </w:r>
          </w:p>
        </w:tc>
        <w:tc>
          <w:tcPr>
            <w:tcW w:w="1599" w:type="dxa"/>
            <w:tcBorders>
              <w:tl2br w:val="nil"/>
              <w:tr2bl w:val="nil"/>
            </w:tcBorders>
            <w:shd w:val="clear" w:color="auto" w:fill="auto"/>
            <w:noWrap/>
            <w:vAlign w:val="center"/>
          </w:tcPr>
          <w:p w14:paraId="29191E42">
            <w:pPr>
              <w:pStyle w:val="34"/>
              <w:tabs>
                <w:tab w:val="left" w:pos="1389"/>
              </w:tabs>
              <w:bidi w:val="0"/>
              <w:jc w:val="center"/>
              <w:rPr>
                <w:rFonts w:hint="eastAsia"/>
                <w:color w:val="auto"/>
              </w:rPr>
            </w:pPr>
            <w:r>
              <w:rPr>
                <w:rFonts w:hint="eastAsia"/>
                <w:color w:val="auto"/>
                <w:lang w:val="en-US" w:eastAsia="zh-CN"/>
              </w:rPr>
              <w:t>0</w:t>
            </w:r>
          </w:p>
        </w:tc>
        <w:tc>
          <w:tcPr>
            <w:tcW w:w="2039" w:type="dxa"/>
            <w:tcBorders>
              <w:tl2br w:val="nil"/>
              <w:tr2bl w:val="nil"/>
            </w:tcBorders>
            <w:shd w:val="clear" w:color="auto" w:fill="auto"/>
            <w:noWrap/>
            <w:vAlign w:val="center"/>
          </w:tcPr>
          <w:p w14:paraId="5A61DC46">
            <w:pPr>
              <w:pStyle w:val="34"/>
              <w:tabs>
                <w:tab w:val="left" w:pos="1389"/>
              </w:tabs>
              <w:bidi w:val="0"/>
              <w:rPr>
                <w:rFonts w:hint="eastAsia"/>
                <w:color w:val="auto"/>
                <w:lang w:val="en-US" w:eastAsia="zh-CN"/>
              </w:rPr>
            </w:pPr>
            <w:r>
              <w:rPr>
                <w:rFonts w:hint="eastAsia"/>
                <w:color w:val="auto"/>
                <w:lang w:val="en-US" w:eastAsia="zh-CN"/>
              </w:rPr>
              <w:t>0.000</w:t>
            </w:r>
          </w:p>
        </w:tc>
      </w:tr>
      <w:tr w14:paraId="286228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93" w:hRule="atLeast"/>
        </w:trPr>
        <w:tc>
          <w:tcPr>
            <w:tcW w:w="3523" w:type="dxa"/>
            <w:gridSpan w:val="2"/>
            <w:tcBorders>
              <w:tl2br w:val="nil"/>
              <w:tr2bl w:val="nil"/>
            </w:tcBorders>
            <w:shd w:val="clear" w:color="auto" w:fill="auto"/>
            <w:noWrap/>
            <w:vAlign w:val="center"/>
          </w:tcPr>
          <w:p w14:paraId="13A4F2E1">
            <w:pPr>
              <w:pStyle w:val="34"/>
              <w:tabs>
                <w:tab w:val="left" w:pos="1389"/>
              </w:tabs>
              <w:bidi w:val="0"/>
              <w:jc w:val="center"/>
              <w:rPr>
                <w:rFonts w:hint="eastAsia"/>
                <w:color w:val="auto"/>
              </w:rPr>
            </w:pPr>
            <w:r>
              <w:rPr>
                <w:rFonts w:hint="eastAsia"/>
                <w:color w:val="auto"/>
                <w:lang w:val="en-US" w:eastAsia="zh-CN"/>
              </w:rPr>
              <w:t>无植被区</w:t>
            </w:r>
          </w:p>
        </w:tc>
        <w:tc>
          <w:tcPr>
            <w:tcW w:w="1536" w:type="dxa"/>
            <w:tcBorders>
              <w:tl2br w:val="nil"/>
              <w:tr2bl w:val="nil"/>
            </w:tcBorders>
            <w:shd w:val="clear" w:color="auto" w:fill="auto"/>
            <w:noWrap/>
            <w:vAlign w:val="center"/>
          </w:tcPr>
          <w:p w14:paraId="1C768156">
            <w:pPr>
              <w:pStyle w:val="34"/>
              <w:tabs>
                <w:tab w:val="left" w:pos="1389"/>
              </w:tabs>
              <w:bidi w:val="0"/>
              <w:rPr>
                <w:rFonts w:hint="eastAsia"/>
                <w:color w:val="auto"/>
              </w:rPr>
            </w:pPr>
            <w:r>
              <w:rPr>
                <w:rFonts w:hint="default"/>
                <w:color w:val="auto"/>
                <w:lang w:val="en-US" w:eastAsia="zh-CN"/>
              </w:rPr>
              <w:t>35.1851</w:t>
            </w:r>
          </w:p>
        </w:tc>
        <w:tc>
          <w:tcPr>
            <w:tcW w:w="1599" w:type="dxa"/>
            <w:tcBorders>
              <w:tl2br w:val="nil"/>
              <w:tr2bl w:val="nil"/>
            </w:tcBorders>
            <w:shd w:val="clear" w:color="auto" w:fill="auto"/>
            <w:noWrap/>
            <w:vAlign w:val="center"/>
          </w:tcPr>
          <w:p w14:paraId="42C9C671">
            <w:pPr>
              <w:pStyle w:val="34"/>
              <w:tabs>
                <w:tab w:val="left" w:pos="1389"/>
              </w:tabs>
              <w:bidi w:val="0"/>
              <w:jc w:val="center"/>
              <w:rPr>
                <w:rFonts w:hint="eastAsia"/>
                <w:color w:val="auto"/>
              </w:rPr>
            </w:pPr>
            <w:r>
              <w:rPr>
                <w:rFonts w:hint="eastAsia"/>
                <w:color w:val="auto"/>
                <w:lang w:val="en-US" w:eastAsia="zh-CN"/>
              </w:rPr>
              <w:t>0</w:t>
            </w:r>
          </w:p>
        </w:tc>
        <w:tc>
          <w:tcPr>
            <w:tcW w:w="2039" w:type="dxa"/>
            <w:tcBorders>
              <w:tl2br w:val="nil"/>
              <w:tr2bl w:val="nil"/>
            </w:tcBorders>
            <w:shd w:val="clear" w:color="auto" w:fill="auto"/>
            <w:noWrap/>
            <w:vAlign w:val="center"/>
          </w:tcPr>
          <w:p w14:paraId="0EDD06F7">
            <w:pPr>
              <w:pStyle w:val="34"/>
              <w:tabs>
                <w:tab w:val="left" w:pos="1389"/>
              </w:tabs>
              <w:bidi w:val="0"/>
              <w:rPr>
                <w:rFonts w:hint="eastAsia"/>
                <w:color w:val="auto"/>
                <w:lang w:val="en-US" w:eastAsia="zh-CN"/>
              </w:rPr>
            </w:pPr>
            <w:r>
              <w:rPr>
                <w:rFonts w:hint="eastAsia"/>
                <w:color w:val="auto"/>
                <w:lang w:val="en-US" w:eastAsia="zh-CN"/>
              </w:rPr>
              <w:t>0.000</w:t>
            </w:r>
          </w:p>
        </w:tc>
      </w:tr>
      <w:tr w14:paraId="2A7DDB0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302" w:hRule="atLeast"/>
        </w:trPr>
        <w:tc>
          <w:tcPr>
            <w:tcW w:w="3523" w:type="dxa"/>
            <w:gridSpan w:val="2"/>
            <w:tcBorders>
              <w:tl2br w:val="nil"/>
              <w:tr2bl w:val="nil"/>
            </w:tcBorders>
            <w:shd w:val="clear" w:color="auto" w:fill="auto"/>
            <w:noWrap/>
            <w:vAlign w:val="center"/>
          </w:tcPr>
          <w:p w14:paraId="58E34F38">
            <w:pPr>
              <w:pStyle w:val="34"/>
              <w:tabs>
                <w:tab w:val="left" w:pos="1389"/>
              </w:tabs>
              <w:bidi w:val="0"/>
              <w:jc w:val="center"/>
              <w:rPr>
                <w:rFonts w:hint="eastAsia"/>
                <w:color w:val="auto"/>
              </w:rPr>
            </w:pPr>
            <w:r>
              <w:rPr>
                <w:rFonts w:hint="eastAsia"/>
                <w:color w:val="auto"/>
                <w:lang w:val="en-US" w:eastAsia="zh-CN"/>
              </w:rPr>
              <w:t>合计</w:t>
            </w:r>
          </w:p>
        </w:tc>
        <w:tc>
          <w:tcPr>
            <w:tcW w:w="1536" w:type="dxa"/>
            <w:tcBorders>
              <w:tl2br w:val="nil"/>
              <w:tr2bl w:val="nil"/>
            </w:tcBorders>
            <w:shd w:val="clear" w:color="auto" w:fill="auto"/>
            <w:noWrap/>
            <w:vAlign w:val="center"/>
          </w:tcPr>
          <w:p w14:paraId="403F2192">
            <w:pPr>
              <w:pStyle w:val="34"/>
              <w:tabs>
                <w:tab w:val="left" w:pos="1389"/>
              </w:tabs>
              <w:bidi w:val="0"/>
              <w:rPr>
                <w:rFonts w:hint="eastAsia"/>
                <w:color w:val="auto"/>
              </w:rPr>
            </w:pPr>
            <w:r>
              <w:rPr>
                <w:rFonts w:hint="default"/>
                <w:color w:val="auto"/>
                <w:lang w:val="en-US" w:eastAsia="zh-CN"/>
              </w:rPr>
              <w:t>1135.3951</w:t>
            </w:r>
          </w:p>
        </w:tc>
        <w:tc>
          <w:tcPr>
            <w:tcW w:w="1599" w:type="dxa"/>
            <w:tcBorders>
              <w:tl2br w:val="nil"/>
              <w:tr2bl w:val="nil"/>
            </w:tcBorders>
            <w:shd w:val="clear" w:color="auto" w:fill="auto"/>
            <w:noWrap/>
            <w:vAlign w:val="center"/>
          </w:tcPr>
          <w:p w14:paraId="757BD2B9">
            <w:pPr>
              <w:pStyle w:val="34"/>
              <w:tabs>
                <w:tab w:val="left" w:pos="1389"/>
              </w:tabs>
              <w:bidi w:val="0"/>
              <w:jc w:val="center"/>
              <w:rPr>
                <w:rFonts w:hint="eastAsia"/>
                <w:color w:val="auto"/>
              </w:rPr>
            </w:pPr>
            <w:r>
              <w:rPr>
                <w:rFonts w:hint="eastAsia"/>
                <w:color w:val="auto"/>
                <w:lang w:val="en-US" w:eastAsia="zh-CN"/>
              </w:rPr>
              <w:t>0.1596</w:t>
            </w:r>
          </w:p>
        </w:tc>
        <w:tc>
          <w:tcPr>
            <w:tcW w:w="2039" w:type="dxa"/>
            <w:tcBorders>
              <w:tl2br w:val="nil"/>
              <w:tr2bl w:val="nil"/>
            </w:tcBorders>
            <w:shd w:val="clear" w:color="auto" w:fill="auto"/>
            <w:noWrap/>
            <w:vAlign w:val="center"/>
          </w:tcPr>
          <w:p w14:paraId="1742F69D">
            <w:pPr>
              <w:pStyle w:val="34"/>
              <w:tabs>
                <w:tab w:val="left" w:pos="1389"/>
              </w:tabs>
              <w:bidi w:val="0"/>
              <w:rPr>
                <w:rFonts w:hint="eastAsia"/>
                <w:color w:val="auto"/>
                <w:lang w:val="en-US" w:eastAsia="zh-CN"/>
              </w:rPr>
            </w:pPr>
            <w:r>
              <w:rPr>
                <w:rFonts w:hint="eastAsia"/>
                <w:color w:val="auto"/>
                <w:lang w:val="en-US" w:eastAsia="zh-CN"/>
              </w:rPr>
              <w:t>0.014</w:t>
            </w:r>
          </w:p>
        </w:tc>
      </w:tr>
    </w:tbl>
    <w:p w14:paraId="2316389E">
      <w:pPr>
        <w:pStyle w:val="41"/>
        <w:bidi w:val="0"/>
        <w:rPr>
          <w:rFonts w:hint="eastAsia"/>
          <w:b/>
          <w:bCs/>
          <w:color w:val="auto"/>
          <w:lang w:val="en-US" w:eastAsia="zh-CN"/>
        </w:rPr>
      </w:pPr>
      <w:r>
        <w:rPr>
          <w:rFonts w:hint="eastAsia"/>
          <w:b/>
          <w:bCs/>
          <w:color w:val="auto"/>
          <w:lang w:val="en-US" w:eastAsia="zh-CN"/>
        </w:rPr>
        <w:t>（2）临时占地的影响</w:t>
      </w:r>
    </w:p>
    <w:p w14:paraId="596D20D4">
      <w:pPr>
        <w:spacing w:line="360" w:lineRule="auto"/>
        <w:ind w:firstLine="480" w:firstLineChars="200"/>
        <w:rPr>
          <w:color w:val="auto"/>
          <w:kern w:val="0"/>
          <w:sz w:val="24"/>
          <w:highlight w:val="yellow"/>
        </w:rPr>
      </w:pPr>
      <w:r>
        <w:rPr>
          <w:rFonts w:hint="eastAsia"/>
          <w:color w:val="auto"/>
          <w:sz w:val="24"/>
          <w:highlight w:val="none"/>
        </w:rPr>
        <w:t>本项目</w:t>
      </w:r>
      <w:r>
        <w:rPr>
          <w:color w:val="auto"/>
          <w:sz w:val="24"/>
          <w:highlight w:val="none"/>
        </w:rPr>
        <w:t>临时用地</w:t>
      </w:r>
      <w:r>
        <w:rPr>
          <w:rFonts w:hint="eastAsia"/>
          <w:color w:val="auto"/>
          <w:sz w:val="24"/>
          <w:highlight w:val="none"/>
        </w:rPr>
        <w:t>主要为</w:t>
      </w:r>
      <w:r>
        <w:rPr>
          <w:color w:val="auto"/>
          <w:sz w:val="24"/>
          <w:highlight w:val="none"/>
        </w:rPr>
        <w:t>风电机组吊装平台</w:t>
      </w:r>
      <w:r>
        <w:rPr>
          <w:rFonts w:hint="eastAsia"/>
          <w:color w:val="auto"/>
          <w:sz w:val="24"/>
          <w:highlight w:val="none"/>
          <w:lang w:eastAsia="zh-CN"/>
        </w:rPr>
        <w:t>、</w:t>
      </w:r>
      <w:r>
        <w:rPr>
          <w:rFonts w:hint="eastAsia"/>
          <w:color w:val="auto"/>
          <w:sz w:val="24"/>
          <w:highlight w:val="none"/>
          <w:lang w:val="en-US" w:eastAsia="zh-CN"/>
        </w:rPr>
        <w:t>地埋电缆施工用地、新建道路</w:t>
      </w:r>
      <w:r>
        <w:rPr>
          <w:rFonts w:hint="eastAsia"/>
          <w:color w:val="auto"/>
          <w:sz w:val="24"/>
          <w:highlight w:val="none"/>
          <w:lang w:eastAsia="zh-CN"/>
        </w:rPr>
        <w:t>，</w:t>
      </w:r>
      <w:r>
        <w:rPr>
          <w:color w:val="auto"/>
          <w:sz w:val="24"/>
          <w:highlight w:val="none"/>
        </w:rPr>
        <w:t>临时占地面积为</w:t>
      </w:r>
      <w:r>
        <w:rPr>
          <w:rFonts w:hint="eastAsia"/>
          <w:color w:val="auto"/>
          <w:sz w:val="24"/>
          <w:highlight w:val="none"/>
          <w:lang w:val="en-US" w:eastAsia="zh-CN"/>
        </w:rPr>
        <w:t>2.7751</w:t>
      </w:r>
      <w:r>
        <w:rPr>
          <w:color w:val="auto"/>
          <w:sz w:val="24"/>
          <w:highlight w:val="none"/>
        </w:rPr>
        <w:t>hm</w:t>
      </w:r>
      <w:r>
        <w:rPr>
          <w:color w:val="auto"/>
          <w:sz w:val="24"/>
          <w:highlight w:val="none"/>
          <w:vertAlign w:val="superscript"/>
        </w:rPr>
        <w:t>2</w:t>
      </w:r>
      <w:r>
        <w:rPr>
          <w:color w:val="auto"/>
          <w:sz w:val="24"/>
          <w:highlight w:val="none"/>
        </w:rPr>
        <w:t>。根据现场调查及评价区植被分布图测算，临时</w:t>
      </w:r>
      <w:r>
        <w:rPr>
          <w:rFonts w:hint="eastAsia"/>
          <w:color w:val="auto"/>
          <w:sz w:val="24"/>
          <w:highlight w:val="none"/>
          <w:lang w:val="en-US" w:eastAsia="zh-CN"/>
        </w:rPr>
        <w:t>占地</w:t>
      </w:r>
      <w:r>
        <w:rPr>
          <w:color w:val="auto"/>
          <w:sz w:val="24"/>
          <w:highlight w:val="none"/>
        </w:rPr>
        <w:t>占用的植被类型</w:t>
      </w:r>
      <w:r>
        <w:rPr>
          <w:rFonts w:hint="eastAsia"/>
          <w:color w:val="auto"/>
          <w:sz w:val="24"/>
          <w:highlight w:val="none"/>
          <w:lang w:val="en-US" w:eastAsia="zh-CN"/>
        </w:rPr>
        <w:t>主要为暖温性针叶林、禾草草丛、旱冬瓜林</w:t>
      </w:r>
      <w:r>
        <w:rPr>
          <w:color w:val="auto"/>
          <w:sz w:val="24"/>
          <w:highlight w:val="none"/>
        </w:rPr>
        <w:t>等</w:t>
      </w:r>
      <w:r>
        <w:rPr>
          <w:rFonts w:hint="eastAsia"/>
          <w:color w:val="auto"/>
          <w:sz w:val="24"/>
          <w:highlight w:val="none"/>
          <w:lang w:eastAsia="zh-CN"/>
        </w:rPr>
        <w:t>，</w:t>
      </w:r>
      <w:r>
        <w:rPr>
          <w:rFonts w:hint="eastAsia"/>
          <w:color w:val="auto"/>
          <w:sz w:val="24"/>
          <w:szCs w:val="22"/>
          <w:highlight w:val="none"/>
          <w:lang w:val="en-US" w:eastAsia="zh-CN"/>
        </w:rPr>
        <w:t>不涉及占用滇青冈-滇石栎林</w:t>
      </w:r>
      <w:r>
        <w:rPr>
          <w:color w:val="auto"/>
          <w:sz w:val="24"/>
          <w:highlight w:val="none"/>
        </w:rPr>
        <w:t>。其中，以占用</w:t>
      </w:r>
      <w:r>
        <w:rPr>
          <w:rFonts w:hint="eastAsia"/>
          <w:color w:val="auto"/>
          <w:sz w:val="24"/>
          <w:highlight w:val="none"/>
        </w:rPr>
        <w:t>草地</w:t>
      </w:r>
      <w:r>
        <w:rPr>
          <w:color w:val="auto"/>
          <w:sz w:val="24"/>
          <w:highlight w:val="none"/>
        </w:rPr>
        <w:t>的面积为最大为</w:t>
      </w:r>
      <w:r>
        <w:rPr>
          <w:rFonts w:hint="eastAsia"/>
          <w:color w:val="auto"/>
          <w:sz w:val="24"/>
          <w:highlight w:val="none"/>
          <w:lang w:val="en-US" w:eastAsia="zh-CN"/>
        </w:rPr>
        <w:t>1.8713</w:t>
      </w:r>
      <w:r>
        <w:rPr>
          <w:color w:val="auto"/>
          <w:sz w:val="24"/>
          <w:highlight w:val="none"/>
        </w:rPr>
        <w:t>hm</w:t>
      </w:r>
      <w:r>
        <w:rPr>
          <w:color w:val="auto"/>
          <w:sz w:val="24"/>
          <w:highlight w:val="none"/>
          <w:vertAlign w:val="superscript"/>
        </w:rPr>
        <w:t>2</w:t>
      </w:r>
      <w:r>
        <w:rPr>
          <w:color w:val="auto"/>
          <w:kern w:val="0"/>
          <w:sz w:val="24"/>
          <w:highlight w:val="none"/>
        </w:rPr>
        <w:t>，占评价区</w:t>
      </w:r>
      <w:r>
        <w:rPr>
          <w:color w:val="auto"/>
          <w:sz w:val="24"/>
          <w:highlight w:val="none"/>
        </w:rPr>
        <w:t>同类植被面积的</w:t>
      </w:r>
      <w:r>
        <w:rPr>
          <w:rFonts w:hint="eastAsia"/>
          <w:color w:val="auto"/>
          <w:sz w:val="24"/>
          <w:highlight w:val="none"/>
          <w:lang w:val="en-US" w:eastAsia="zh-CN"/>
        </w:rPr>
        <w:t>1.55</w:t>
      </w:r>
      <w:r>
        <w:rPr>
          <w:color w:val="auto"/>
          <w:kern w:val="0"/>
          <w:sz w:val="24"/>
          <w:highlight w:val="none"/>
        </w:rPr>
        <w:t>%；其次，占用</w:t>
      </w:r>
      <w:r>
        <w:rPr>
          <w:rFonts w:hint="eastAsia"/>
          <w:color w:val="auto"/>
          <w:kern w:val="0"/>
          <w:sz w:val="24"/>
          <w:highlight w:val="none"/>
        </w:rPr>
        <w:t>暖温性针叶林</w:t>
      </w:r>
      <w:r>
        <w:rPr>
          <w:rFonts w:hint="eastAsia"/>
          <w:color w:val="auto"/>
          <w:kern w:val="0"/>
          <w:sz w:val="24"/>
          <w:highlight w:val="none"/>
          <w:lang w:val="en-US" w:eastAsia="zh-CN"/>
        </w:rPr>
        <w:t>0.5682</w:t>
      </w:r>
      <w:r>
        <w:rPr>
          <w:color w:val="auto"/>
          <w:sz w:val="24"/>
          <w:highlight w:val="none"/>
        </w:rPr>
        <w:t>hm</w:t>
      </w:r>
      <w:r>
        <w:rPr>
          <w:color w:val="auto"/>
          <w:sz w:val="24"/>
          <w:highlight w:val="none"/>
          <w:vertAlign w:val="superscript"/>
        </w:rPr>
        <w:t>2</w:t>
      </w:r>
      <w:r>
        <w:rPr>
          <w:color w:val="auto"/>
          <w:kern w:val="0"/>
          <w:sz w:val="24"/>
          <w:highlight w:val="none"/>
        </w:rPr>
        <w:t>，占评价区同类植被面积的</w:t>
      </w:r>
      <w:r>
        <w:rPr>
          <w:rFonts w:hint="eastAsia"/>
          <w:color w:val="auto"/>
          <w:kern w:val="0"/>
          <w:sz w:val="24"/>
          <w:highlight w:val="none"/>
          <w:lang w:val="en-US" w:eastAsia="zh-CN"/>
        </w:rPr>
        <w:t>0.08</w:t>
      </w:r>
      <w:r>
        <w:rPr>
          <w:color w:val="auto"/>
          <w:kern w:val="0"/>
          <w:sz w:val="24"/>
          <w:highlight w:val="none"/>
        </w:rPr>
        <w:t>%。</w:t>
      </w:r>
    </w:p>
    <w:p w14:paraId="38417642">
      <w:pPr>
        <w:spacing w:line="360" w:lineRule="auto"/>
        <w:ind w:firstLine="480" w:firstLineChars="200"/>
        <w:jc w:val="left"/>
        <w:rPr>
          <w:rFonts w:hint="eastAsia"/>
          <w:color w:val="auto"/>
          <w:sz w:val="24"/>
          <w:highlight w:val="none"/>
        </w:rPr>
      </w:pPr>
      <w:r>
        <w:rPr>
          <w:rFonts w:hint="eastAsia"/>
          <w:color w:val="auto"/>
          <w:sz w:val="24"/>
          <w:highlight w:val="none"/>
          <w:lang w:val="en-US" w:eastAsia="zh-CN"/>
        </w:rPr>
        <w:t>项目</w:t>
      </w:r>
      <w:r>
        <w:rPr>
          <w:color w:val="auto"/>
          <w:sz w:val="24"/>
          <w:highlight w:val="none"/>
        </w:rPr>
        <w:t>临时占地面积</w:t>
      </w:r>
      <w:r>
        <w:rPr>
          <w:rFonts w:hint="eastAsia"/>
          <w:color w:val="auto"/>
          <w:sz w:val="24"/>
          <w:highlight w:val="none"/>
          <w:lang w:val="en-US" w:eastAsia="zh-CN"/>
        </w:rPr>
        <w:t>2.7751</w:t>
      </w:r>
      <w:r>
        <w:rPr>
          <w:color w:val="auto"/>
          <w:sz w:val="24"/>
          <w:highlight w:val="none"/>
        </w:rPr>
        <w:t>hm</w:t>
      </w:r>
      <w:r>
        <w:rPr>
          <w:color w:val="auto"/>
          <w:sz w:val="24"/>
          <w:highlight w:val="none"/>
          <w:vertAlign w:val="superscript"/>
        </w:rPr>
        <w:t>2</w:t>
      </w:r>
      <w:r>
        <w:rPr>
          <w:color w:val="auto"/>
          <w:sz w:val="24"/>
          <w:highlight w:val="none"/>
        </w:rPr>
        <w:t>，显著大于永久占地面积</w:t>
      </w:r>
      <w:r>
        <w:rPr>
          <w:rFonts w:hint="eastAsia"/>
          <w:color w:val="auto"/>
          <w:kern w:val="0"/>
          <w:sz w:val="24"/>
          <w:highlight w:val="none"/>
          <w:lang w:val="en-US" w:eastAsia="zh-CN"/>
        </w:rPr>
        <w:t>0.1596</w:t>
      </w:r>
      <w:r>
        <w:rPr>
          <w:color w:val="auto"/>
          <w:kern w:val="0"/>
          <w:sz w:val="24"/>
          <w:highlight w:val="none"/>
        </w:rPr>
        <w:t>h</w:t>
      </w:r>
      <w:r>
        <w:rPr>
          <w:color w:val="auto"/>
          <w:sz w:val="24"/>
          <w:highlight w:val="none"/>
        </w:rPr>
        <w:t>m</w:t>
      </w:r>
      <w:r>
        <w:rPr>
          <w:color w:val="auto"/>
          <w:sz w:val="24"/>
          <w:highlight w:val="none"/>
          <w:vertAlign w:val="superscript"/>
        </w:rPr>
        <w:t>2</w:t>
      </w:r>
      <w:r>
        <w:rPr>
          <w:color w:val="auto"/>
          <w:sz w:val="24"/>
          <w:highlight w:val="none"/>
        </w:rPr>
        <w:t>，但因上述临时占地在工程竣工后，通过实施植被恢复，可以逐渐恢复到施工前的植被状态，故而对评价区植被的影响和对其生物多样性的影响可以逐渐得到恢复。具体详见下表</w:t>
      </w:r>
      <w:r>
        <w:rPr>
          <w:rFonts w:hint="eastAsia"/>
          <w:color w:val="auto"/>
          <w:sz w:val="24"/>
          <w:highlight w:val="none"/>
        </w:rPr>
        <w:t>。</w:t>
      </w:r>
    </w:p>
    <w:p w14:paraId="5214BC65">
      <w:pPr>
        <w:pStyle w:val="42"/>
        <w:bidi w:val="0"/>
        <w:rPr>
          <w:color w:val="auto"/>
        </w:rPr>
      </w:pPr>
      <w:r>
        <w:rPr>
          <w:color w:val="auto"/>
        </w:rPr>
        <w:t>表</w:t>
      </w:r>
      <w:r>
        <w:rPr>
          <w:rFonts w:hint="eastAsia"/>
          <w:color w:val="auto"/>
          <w:lang w:val="en-US" w:eastAsia="zh-CN"/>
        </w:rPr>
        <w:t>3</w:t>
      </w:r>
      <w:r>
        <w:rPr>
          <w:color w:val="auto"/>
        </w:rPr>
        <w:t>-2</w:t>
      </w:r>
      <w:r>
        <w:rPr>
          <w:rFonts w:hint="eastAsia"/>
          <w:color w:val="auto"/>
          <w:lang w:val="en-US" w:eastAsia="zh-CN"/>
        </w:rPr>
        <w:t xml:space="preserve">  </w:t>
      </w:r>
      <w:r>
        <w:rPr>
          <w:color w:val="auto"/>
        </w:rPr>
        <w:t>工程临时占地影响植被类型一览表单位：hm</w:t>
      </w:r>
      <w:r>
        <w:rPr>
          <w:color w:val="auto"/>
          <w:vertAlign w:val="superscript"/>
        </w:rPr>
        <w:t>2</w:t>
      </w:r>
    </w:p>
    <w:tbl>
      <w:tblPr>
        <w:tblStyle w:val="20"/>
        <w:tblW w:w="8987" w:type="dxa"/>
        <w:tblInd w:w="93"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733"/>
        <w:gridCol w:w="1263"/>
        <w:gridCol w:w="1275"/>
        <w:gridCol w:w="1139"/>
        <w:gridCol w:w="1229"/>
        <w:gridCol w:w="1252"/>
        <w:gridCol w:w="867"/>
        <w:gridCol w:w="1229"/>
      </w:tblGrid>
      <w:tr w14:paraId="60081E4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1996" w:type="dxa"/>
            <w:gridSpan w:val="2"/>
            <w:vMerge w:val="restart"/>
            <w:tcBorders>
              <w:tl2br w:val="nil"/>
              <w:tr2bl w:val="nil"/>
            </w:tcBorders>
            <w:shd w:val="clear" w:color="auto" w:fill="auto"/>
            <w:noWrap/>
            <w:vAlign w:val="center"/>
          </w:tcPr>
          <w:p w14:paraId="078BEA95">
            <w:pPr>
              <w:pStyle w:val="34"/>
              <w:tabs>
                <w:tab w:val="left" w:pos="1389"/>
              </w:tabs>
              <w:bidi w:val="0"/>
              <w:rPr>
                <w:rFonts w:hint="eastAsia"/>
                <w:b/>
                <w:bCs/>
                <w:color w:val="auto"/>
              </w:rPr>
            </w:pPr>
            <w:r>
              <w:rPr>
                <w:rFonts w:hint="eastAsia"/>
                <w:b/>
                <w:bCs/>
                <w:color w:val="auto"/>
                <w:lang w:val="en-US" w:eastAsia="zh-CN"/>
              </w:rPr>
              <w:t>工程内容</w:t>
            </w:r>
          </w:p>
        </w:tc>
        <w:tc>
          <w:tcPr>
            <w:tcW w:w="1275" w:type="dxa"/>
            <w:vMerge w:val="restart"/>
            <w:tcBorders>
              <w:tl2br w:val="nil"/>
              <w:tr2bl w:val="nil"/>
            </w:tcBorders>
            <w:shd w:val="clear" w:color="auto" w:fill="auto"/>
            <w:noWrap/>
            <w:vAlign w:val="center"/>
          </w:tcPr>
          <w:p w14:paraId="6027D3C7">
            <w:pPr>
              <w:pStyle w:val="34"/>
              <w:tabs>
                <w:tab w:val="left" w:pos="1389"/>
              </w:tabs>
              <w:bidi w:val="0"/>
              <w:rPr>
                <w:rFonts w:hint="eastAsia"/>
                <w:b/>
                <w:bCs/>
                <w:color w:val="auto"/>
              </w:rPr>
            </w:pPr>
            <w:r>
              <w:rPr>
                <w:rFonts w:hint="eastAsia"/>
                <w:b/>
                <w:bCs/>
                <w:color w:val="auto"/>
                <w:lang w:val="en-US" w:eastAsia="zh-CN"/>
              </w:rPr>
              <w:t>评价区面积</w:t>
            </w:r>
          </w:p>
        </w:tc>
        <w:tc>
          <w:tcPr>
            <w:tcW w:w="4487" w:type="dxa"/>
            <w:gridSpan w:val="4"/>
            <w:tcBorders>
              <w:tl2br w:val="nil"/>
              <w:tr2bl w:val="nil"/>
            </w:tcBorders>
            <w:shd w:val="clear" w:color="auto" w:fill="auto"/>
            <w:noWrap/>
            <w:vAlign w:val="center"/>
          </w:tcPr>
          <w:p w14:paraId="0CDA45B5">
            <w:pPr>
              <w:pStyle w:val="34"/>
              <w:tabs>
                <w:tab w:val="left" w:pos="1389"/>
              </w:tabs>
              <w:bidi w:val="0"/>
              <w:rPr>
                <w:rFonts w:hint="eastAsia"/>
                <w:b/>
                <w:bCs/>
                <w:color w:val="auto"/>
              </w:rPr>
            </w:pPr>
            <w:r>
              <w:rPr>
                <w:rFonts w:hint="eastAsia"/>
                <w:b/>
                <w:bCs/>
                <w:color w:val="auto"/>
                <w:lang w:val="en-US" w:eastAsia="zh-CN"/>
              </w:rPr>
              <w:t>占地面积</w:t>
            </w:r>
          </w:p>
        </w:tc>
        <w:tc>
          <w:tcPr>
            <w:tcW w:w="1229" w:type="dxa"/>
            <w:vMerge w:val="restart"/>
            <w:tcBorders>
              <w:tl2br w:val="nil"/>
              <w:tr2bl w:val="nil"/>
            </w:tcBorders>
            <w:shd w:val="clear" w:color="auto" w:fill="auto"/>
            <w:vAlign w:val="center"/>
          </w:tcPr>
          <w:p w14:paraId="42E797A1">
            <w:pPr>
              <w:pStyle w:val="34"/>
              <w:tabs>
                <w:tab w:val="left" w:pos="1389"/>
              </w:tabs>
              <w:bidi w:val="0"/>
              <w:rPr>
                <w:rFonts w:hint="eastAsia"/>
                <w:color w:val="auto"/>
              </w:rPr>
            </w:pPr>
            <w:r>
              <w:rPr>
                <w:rFonts w:hint="eastAsia"/>
                <w:b/>
                <w:bCs/>
                <w:color w:val="auto"/>
                <w:lang w:val="en-US" w:eastAsia="zh-CN"/>
              </w:rPr>
              <w:t>占用面积占评价区面积的百分比（%）</w:t>
            </w:r>
          </w:p>
        </w:tc>
      </w:tr>
      <w:tr w14:paraId="600138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1996" w:type="dxa"/>
            <w:gridSpan w:val="2"/>
            <w:vMerge w:val="continue"/>
            <w:tcBorders>
              <w:tl2br w:val="nil"/>
              <w:tr2bl w:val="nil"/>
            </w:tcBorders>
            <w:shd w:val="clear" w:color="auto" w:fill="auto"/>
            <w:noWrap/>
            <w:vAlign w:val="center"/>
          </w:tcPr>
          <w:p w14:paraId="252E2949">
            <w:pPr>
              <w:pStyle w:val="34"/>
              <w:tabs>
                <w:tab w:val="left" w:pos="1389"/>
              </w:tabs>
              <w:bidi w:val="0"/>
              <w:rPr>
                <w:rFonts w:hint="eastAsia"/>
                <w:b/>
                <w:bCs/>
                <w:color w:val="auto"/>
              </w:rPr>
            </w:pPr>
          </w:p>
        </w:tc>
        <w:tc>
          <w:tcPr>
            <w:tcW w:w="1275" w:type="dxa"/>
            <w:vMerge w:val="continue"/>
            <w:tcBorders>
              <w:tl2br w:val="nil"/>
              <w:tr2bl w:val="nil"/>
            </w:tcBorders>
            <w:shd w:val="clear" w:color="auto" w:fill="auto"/>
            <w:noWrap/>
            <w:vAlign w:val="center"/>
          </w:tcPr>
          <w:p w14:paraId="6BFBE65C">
            <w:pPr>
              <w:pStyle w:val="34"/>
              <w:tabs>
                <w:tab w:val="left" w:pos="1389"/>
              </w:tabs>
              <w:bidi w:val="0"/>
              <w:rPr>
                <w:rFonts w:hint="eastAsia"/>
                <w:b/>
                <w:bCs/>
                <w:color w:val="auto"/>
              </w:rPr>
            </w:pPr>
          </w:p>
        </w:tc>
        <w:tc>
          <w:tcPr>
            <w:tcW w:w="1139" w:type="dxa"/>
            <w:tcBorders>
              <w:tl2br w:val="nil"/>
              <w:tr2bl w:val="nil"/>
            </w:tcBorders>
            <w:shd w:val="clear" w:color="auto" w:fill="auto"/>
            <w:noWrap/>
            <w:vAlign w:val="center"/>
          </w:tcPr>
          <w:p w14:paraId="70E6944C">
            <w:pPr>
              <w:pStyle w:val="34"/>
              <w:tabs>
                <w:tab w:val="left" w:pos="1389"/>
              </w:tabs>
              <w:bidi w:val="0"/>
              <w:rPr>
                <w:rFonts w:hint="eastAsia"/>
                <w:b/>
                <w:bCs/>
                <w:color w:val="auto"/>
              </w:rPr>
            </w:pPr>
            <w:r>
              <w:rPr>
                <w:rFonts w:hint="eastAsia"/>
                <w:b/>
                <w:bCs/>
                <w:color w:val="auto"/>
                <w:lang w:val="en-US" w:eastAsia="zh-CN"/>
              </w:rPr>
              <w:t>风机吊装平台</w:t>
            </w:r>
          </w:p>
        </w:tc>
        <w:tc>
          <w:tcPr>
            <w:tcW w:w="1229" w:type="dxa"/>
            <w:tcBorders>
              <w:tl2br w:val="nil"/>
              <w:tr2bl w:val="nil"/>
            </w:tcBorders>
            <w:shd w:val="clear" w:color="auto" w:fill="auto"/>
            <w:noWrap/>
            <w:vAlign w:val="center"/>
          </w:tcPr>
          <w:p w14:paraId="3655D554">
            <w:pPr>
              <w:pStyle w:val="34"/>
              <w:tabs>
                <w:tab w:val="left" w:pos="1389"/>
              </w:tabs>
              <w:bidi w:val="0"/>
              <w:rPr>
                <w:rFonts w:hint="eastAsia"/>
                <w:b/>
                <w:bCs/>
                <w:color w:val="auto"/>
              </w:rPr>
            </w:pPr>
            <w:r>
              <w:rPr>
                <w:rFonts w:hint="eastAsia"/>
                <w:b/>
                <w:bCs/>
                <w:color w:val="auto"/>
                <w:lang w:val="en-US" w:eastAsia="zh-CN"/>
              </w:rPr>
              <w:t>集电线路</w:t>
            </w:r>
          </w:p>
        </w:tc>
        <w:tc>
          <w:tcPr>
            <w:tcW w:w="1252" w:type="dxa"/>
            <w:tcBorders>
              <w:tl2br w:val="nil"/>
              <w:tr2bl w:val="nil"/>
            </w:tcBorders>
            <w:shd w:val="clear" w:color="auto" w:fill="auto"/>
            <w:noWrap/>
            <w:vAlign w:val="center"/>
          </w:tcPr>
          <w:p w14:paraId="382B0C15">
            <w:pPr>
              <w:pStyle w:val="34"/>
              <w:tabs>
                <w:tab w:val="left" w:pos="1389"/>
              </w:tabs>
              <w:bidi w:val="0"/>
              <w:rPr>
                <w:rFonts w:hint="eastAsia"/>
                <w:b/>
                <w:bCs/>
                <w:color w:val="auto"/>
              </w:rPr>
            </w:pPr>
            <w:r>
              <w:rPr>
                <w:rFonts w:hint="eastAsia"/>
                <w:b/>
                <w:bCs/>
                <w:color w:val="auto"/>
                <w:lang w:val="en-US" w:eastAsia="zh-CN"/>
              </w:rPr>
              <w:t>新建道路</w:t>
            </w:r>
          </w:p>
        </w:tc>
        <w:tc>
          <w:tcPr>
            <w:tcW w:w="867" w:type="dxa"/>
            <w:tcBorders>
              <w:tl2br w:val="nil"/>
              <w:tr2bl w:val="nil"/>
            </w:tcBorders>
            <w:shd w:val="clear" w:color="auto" w:fill="auto"/>
            <w:noWrap/>
            <w:vAlign w:val="center"/>
          </w:tcPr>
          <w:p w14:paraId="286BBF0C">
            <w:pPr>
              <w:pStyle w:val="34"/>
              <w:tabs>
                <w:tab w:val="left" w:pos="1389"/>
              </w:tabs>
              <w:bidi w:val="0"/>
              <w:rPr>
                <w:rFonts w:hint="eastAsia"/>
                <w:b/>
                <w:bCs/>
                <w:color w:val="auto"/>
              </w:rPr>
            </w:pPr>
            <w:r>
              <w:rPr>
                <w:rFonts w:hint="eastAsia"/>
                <w:b/>
                <w:bCs/>
                <w:color w:val="auto"/>
                <w:lang w:val="en-US" w:eastAsia="zh-CN"/>
              </w:rPr>
              <w:t>合计</w:t>
            </w:r>
          </w:p>
        </w:tc>
        <w:tc>
          <w:tcPr>
            <w:tcW w:w="1229" w:type="dxa"/>
            <w:vMerge w:val="continue"/>
            <w:tcBorders>
              <w:tl2br w:val="nil"/>
              <w:tr2bl w:val="nil"/>
            </w:tcBorders>
            <w:shd w:val="clear" w:color="auto" w:fill="auto"/>
            <w:vAlign w:val="center"/>
          </w:tcPr>
          <w:p w14:paraId="7F78EE31">
            <w:pPr>
              <w:pStyle w:val="34"/>
              <w:tabs>
                <w:tab w:val="left" w:pos="1389"/>
              </w:tabs>
              <w:bidi w:val="0"/>
              <w:rPr>
                <w:rFonts w:hint="eastAsia"/>
                <w:color w:val="auto"/>
              </w:rPr>
            </w:pPr>
          </w:p>
        </w:tc>
      </w:tr>
      <w:tr w14:paraId="5E6F8B0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33" w:type="dxa"/>
            <w:vMerge w:val="restart"/>
            <w:tcBorders>
              <w:tl2br w:val="nil"/>
              <w:tr2bl w:val="nil"/>
            </w:tcBorders>
            <w:shd w:val="clear" w:color="auto" w:fill="auto"/>
            <w:noWrap/>
            <w:vAlign w:val="center"/>
          </w:tcPr>
          <w:p w14:paraId="64C8E039">
            <w:pPr>
              <w:pStyle w:val="34"/>
              <w:tabs>
                <w:tab w:val="left" w:pos="1389"/>
              </w:tabs>
              <w:bidi w:val="0"/>
              <w:rPr>
                <w:rFonts w:hint="eastAsia"/>
                <w:color w:val="auto"/>
              </w:rPr>
            </w:pPr>
            <w:r>
              <w:rPr>
                <w:rFonts w:hint="eastAsia"/>
                <w:color w:val="auto"/>
                <w:lang w:val="en-US" w:eastAsia="zh-CN"/>
              </w:rPr>
              <w:t>自然植被</w:t>
            </w:r>
          </w:p>
        </w:tc>
        <w:tc>
          <w:tcPr>
            <w:tcW w:w="1263" w:type="dxa"/>
            <w:tcBorders>
              <w:tl2br w:val="nil"/>
              <w:tr2bl w:val="nil"/>
            </w:tcBorders>
            <w:shd w:val="clear" w:color="auto" w:fill="auto"/>
            <w:noWrap/>
            <w:vAlign w:val="center"/>
          </w:tcPr>
          <w:p w14:paraId="0EF3B62C">
            <w:pPr>
              <w:pStyle w:val="34"/>
              <w:tabs>
                <w:tab w:val="left" w:pos="1389"/>
              </w:tabs>
              <w:bidi w:val="0"/>
              <w:rPr>
                <w:rFonts w:hint="eastAsia"/>
                <w:color w:val="auto"/>
              </w:rPr>
            </w:pPr>
            <w:r>
              <w:rPr>
                <w:rFonts w:hint="eastAsia"/>
                <w:color w:val="auto"/>
                <w:lang w:val="en-US" w:eastAsia="zh-CN"/>
              </w:rPr>
              <w:t>常绿阔叶林</w:t>
            </w:r>
          </w:p>
        </w:tc>
        <w:tc>
          <w:tcPr>
            <w:tcW w:w="1275" w:type="dxa"/>
            <w:tcBorders>
              <w:tl2br w:val="nil"/>
              <w:tr2bl w:val="nil"/>
            </w:tcBorders>
            <w:shd w:val="clear" w:color="auto" w:fill="auto"/>
            <w:noWrap/>
            <w:vAlign w:val="center"/>
          </w:tcPr>
          <w:p w14:paraId="1683D2AC">
            <w:pPr>
              <w:pStyle w:val="34"/>
              <w:tabs>
                <w:tab w:val="left" w:pos="1389"/>
              </w:tabs>
              <w:bidi w:val="0"/>
              <w:rPr>
                <w:rFonts w:hint="eastAsia"/>
                <w:color w:val="auto"/>
              </w:rPr>
            </w:pPr>
            <w:r>
              <w:rPr>
                <w:rFonts w:hint="eastAsia"/>
                <w:color w:val="auto"/>
                <w:lang w:val="en-US" w:eastAsia="zh-CN"/>
              </w:rPr>
              <w:t>43.3047</w:t>
            </w:r>
          </w:p>
        </w:tc>
        <w:tc>
          <w:tcPr>
            <w:tcW w:w="1139" w:type="dxa"/>
            <w:tcBorders>
              <w:tl2br w:val="nil"/>
              <w:tr2bl w:val="nil"/>
            </w:tcBorders>
            <w:shd w:val="clear" w:color="auto" w:fill="auto"/>
            <w:noWrap/>
            <w:vAlign w:val="center"/>
          </w:tcPr>
          <w:p w14:paraId="70395F94">
            <w:pPr>
              <w:pStyle w:val="34"/>
              <w:tabs>
                <w:tab w:val="left" w:pos="1389"/>
              </w:tabs>
              <w:bidi w:val="0"/>
              <w:rPr>
                <w:rFonts w:hint="eastAsia"/>
                <w:color w:val="auto"/>
              </w:rPr>
            </w:pPr>
            <w:r>
              <w:rPr>
                <w:rFonts w:hint="eastAsia"/>
                <w:color w:val="auto"/>
                <w:lang w:val="en-US" w:eastAsia="zh-CN"/>
              </w:rPr>
              <w:t>0</w:t>
            </w:r>
          </w:p>
        </w:tc>
        <w:tc>
          <w:tcPr>
            <w:tcW w:w="1229" w:type="dxa"/>
            <w:tcBorders>
              <w:tl2br w:val="nil"/>
              <w:tr2bl w:val="nil"/>
            </w:tcBorders>
            <w:shd w:val="clear" w:color="auto" w:fill="auto"/>
            <w:noWrap/>
            <w:vAlign w:val="center"/>
          </w:tcPr>
          <w:p w14:paraId="340116A7">
            <w:pPr>
              <w:pStyle w:val="34"/>
              <w:tabs>
                <w:tab w:val="left" w:pos="1389"/>
              </w:tabs>
              <w:bidi w:val="0"/>
              <w:rPr>
                <w:rFonts w:hint="eastAsia"/>
                <w:color w:val="auto"/>
              </w:rPr>
            </w:pPr>
            <w:r>
              <w:rPr>
                <w:rFonts w:hint="eastAsia"/>
                <w:color w:val="auto"/>
                <w:lang w:val="en-US" w:eastAsia="zh-CN"/>
              </w:rPr>
              <w:t>0</w:t>
            </w:r>
          </w:p>
        </w:tc>
        <w:tc>
          <w:tcPr>
            <w:tcW w:w="1252" w:type="dxa"/>
            <w:tcBorders>
              <w:tl2br w:val="nil"/>
              <w:tr2bl w:val="nil"/>
            </w:tcBorders>
            <w:shd w:val="clear" w:color="auto" w:fill="auto"/>
            <w:noWrap/>
            <w:vAlign w:val="center"/>
          </w:tcPr>
          <w:p w14:paraId="39CB9D21">
            <w:pPr>
              <w:pStyle w:val="34"/>
              <w:tabs>
                <w:tab w:val="left" w:pos="1389"/>
              </w:tabs>
              <w:bidi w:val="0"/>
              <w:rPr>
                <w:rFonts w:hint="eastAsia"/>
                <w:color w:val="auto"/>
              </w:rPr>
            </w:pPr>
            <w:r>
              <w:rPr>
                <w:rFonts w:hint="eastAsia"/>
                <w:color w:val="auto"/>
                <w:lang w:val="en-US" w:eastAsia="zh-CN"/>
              </w:rPr>
              <w:t>0</w:t>
            </w:r>
          </w:p>
        </w:tc>
        <w:tc>
          <w:tcPr>
            <w:tcW w:w="867" w:type="dxa"/>
            <w:tcBorders>
              <w:tl2br w:val="nil"/>
              <w:tr2bl w:val="nil"/>
            </w:tcBorders>
            <w:shd w:val="clear" w:color="auto" w:fill="auto"/>
            <w:noWrap/>
            <w:vAlign w:val="center"/>
          </w:tcPr>
          <w:p w14:paraId="7CAAC843">
            <w:pPr>
              <w:pStyle w:val="34"/>
              <w:tabs>
                <w:tab w:val="left" w:pos="1389"/>
              </w:tabs>
              <w:bidi w:val="0"/>
              <w:rPr>
                <w:rFonts w:hint="eastAsia"/>
                <w:color w:val="auto"/>
              </w:rPr>
            </w:pPr>
            <w:r>
              <w:rPr>
                <w:rFonts w:hint="eastAsia"/>
                <w:color w:val="auto"/>
                <w:lang w:val="en-US" w:eastAsia="zh-CN"/>
              </w:rPr>
              <w:t>0</w:t>
            </w:r>
          </w:p>
        </w:tc>
        <w:tc>
          <w:tcPr>
            <w:tcW w:w="1229" w:type="dxa"/>
            <w:tcBorders>
              <w:tl2br w:val="nil"/>
              <w:tr2bl w:val="nil"/>
            </w:tcBorders>
            <w:shd w:val="clear" w:color="auto" w:fill="auto"/>
            <w:vAlign w:val="center"/>
          </w:tcPr>
          <w:p w14:paraId="56995947">
            <w:pPr>
              <w:pStyle w:val="34"/>
              <w:tabs>
                <w:tab w:val="left" w:pos="1389"/>
              </w:tabs>
              <w:bidi w:val="0"/>
              <w:rPr>
                <w:rFonts w:hint="eastAsia"/>
                <w:color w:val="auto"/>
              </w:rPr>
            </w:pPr>
            <w:r>
              <w:rPr>
                <w:rFonts w:hint="eastAsia"/>
                <w:color w:val="auto"/>
                <w:lang w:val="en-US" w:eastAsia="zh-CN"/>
              </w:rPr>
              <w:t>0.00</w:t>
            </w:r>
          </w:p>
        </w:tc>
      </w:tr>
      <w:tr w14:paraId="310B33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33" w:type="dxa"/>
            <w:vMerge w:val="continue"/>
            <w:tcBorders>
              <w:tl2br w:val="nil"/>
              <w:tr2bl w:val="nil"/>
            </w:tcBorders>
            <w:shd w:val="clear" w:color="auto" w:fill="auto"/>
            <w:noWrap/>
            <w:vAlign w:val="center"/>
          </w:tcPr>
          <w:p w14:paraId="5F0B714F">
            <w:pPr>
              <w:pStyle w:val="34"/>
              <w:tabs>
                <w:tab w:val="left" w:pos="1389"/>
              </w:tabs>
              <w:bidi w:val="0"/>
              <w:rPr>
                <w:rFonts w:hint="eastAsia"/>
                <w:color w:val="auto"/>
              </w:rPr>
            </w:pPr>
          </w:p>
        </w:tc>
        <w:tc>
          <w:tcPr>
            <w:tcW w:w="1263" w:type="dxa"/>
            <w:tcBorders>
              <w:tl2br w:val="nil"/>
              <w:tr2bl w:val="nil"/>
            </w:tcBorders>
            <w:shd w:val="clear" w:color="auto" w:fill="auto"/>
            <w:noWrap/>
            <w:vAlign w:val="center"/>
          </w:tcPr>
          <w:p w14:paraId="2181D819">
            <w:pPr>
              <w:pStyle w:val="34"/>
              <w:tabs>
                <w:tab w:val="left" w:pos="1389"/>
              </w:tabs>
              <w:bidi w:val="0"/>
              <w:rPr>
                <w:rFonts w:hint="eastAsia"/>
                <w:color w:val="auto"/>
              </w:rPr>
            </w:pPr>
            <w:r>
              <w:rPr>
                <w:rFonts w:hint="eastAsia"/>
                <w:color w:val="auto"/>
                <w:lang w:val="en-US" w:eastAsia="zh-CN"/>
              </w:rPr>
              <w:t>旱冬瓜林</w:t>
            </w:r>
          </w:p>
        </w:tc>
        <w:tc>
          <w:tcPr>
            <w:tcW w:w="1275" w:type="dxa"/>
            <w:tcBorders>
              <w:tl2br w:val="nil"/>
              <w:tr2bl w:val="nil"/>
            </w:tcBorders>
            <w:shd w:val="clear" w:color="auto" w:fill="auto"/>
            <w:noWrap/>
            <w:vAlign w:val="center"/>
          </w:tcPr>
          <w:p w14:paraId="13236CEC">
            <w:pPr>
              <w:pStyle w:val="34"/>
              <w:tabs>
                <w:tab w:val="left" w:pos="1389"/>
              </w:tabs>
              <w:bidi w:val="0"/>
              <w:rPr>
                <w:rFonts w:hint="eastAsia"/>
                <w:color w:val="auto"/>
              </w:rPr>
            </w:pPr>
            <w:r>
              <w:rPr>
                <w:rFonts w:hint="eastAsia"/>
                <w:color w:val="auto"/>
                <w:lang w:val="en-US" w:eastAsia="zh-CN"/>
              </w:rPr>
              <w:t>17.5925</w:t>
            </w:r>
          </w:p>
        </w:tc>
        <w:tc>
          <w:tcPr>
            <w:tcW w:w="1139" w:type="dxa"/>
            <w:tcBorders>
              <w:tl2br w:val="nil"/>
              <w:tr2bl w:val="nil"/>
            </w:tcBorders>
            <w:shd w:val="clear" w:color="auto" w:fill="auto"/>
            <w:noWrap/>
            <w:vAlign w:val="center"/>
          </w:tcPr>
          <w:p w14:paraId="4F014A4A">
            <w:pPr>
              <w:pStyle w:val="34"/>
              <w:tabs>
                <w:tab w:val="left" w:pos="1389"/>
              </w:tabs>
              <w:bidi w:val="0"/>
              <w:rPr>
                <w:rFonts w:hint="eastAsia"/>
                <w:color w:val="auto"/>
              </w:rPr>
            </w:pPr>
            <w:r>
              <w:rPr>
                <w:rFonts w:hint="eastAsia"/>
                <w:color w:val="auto"/>
                <w:lang w:val="en-US" w:eastAsia="zh-CN"/>
              </w:rPr>
              <w:t>0</w:t>
            </w:r>
          </w:p>
        </w:tc>
        <w:tc>
          <w:tcPr>
            <w:tcW w:w="1229" w:type="dxa"/>
            <w:tcBorders>
              <w:tl2br w:val="nil"/>
              <w:tr2bl w:val="nil"/>
            </w:tcBorders>
            <w:shd w:val="clear" w:color="auto" w:fill="auto"/>
            <w:noWrap/>
            <w:vAlign w:val="center"/>
          </w:tcPr>
          <w:p w14:paraId="78601F3F">
            <w:pPr>
              <w:pStyle w:val="34"/>
              <w:tabs>
                <w:tab w:val="left" w:pos="1389"/>
              </w:tabs>
              <w:bidi w:val="0"/>
              <w:rPr>
                <w:rFonts w:hint="eastAsia"/>
                <w:color w:val="auto"/>
              </w:rPr>
            </w:pPr>
            <w:r>
              <w:rPr>
                <w:rFonts w:hint="eastAsia"/>
                <w:color w:val="auto"/>
                <w:lang w:val="en-US" w:eastAsia="zh-CN"/>
              </w:rPr>
              <w:t>0.1193</w:t>
            </w:r>
          </w:p>
        </w:tc>
        <w:tc>
          <w:tcPr>
            <w:tcW w:w="1252" w:type="dxa"/>
            <w:tcBorders>
              <w:tl2br w:val="nil"/>
              <w:tr2bl w:val="nil"/>
            </w:tcBorders>
            <w:shd w:val="clear" w:color="auto" w:fill="auto"/>
            <w:noWrap/>
            <w:vAlign w:val="center"/>
          </w:tcPr>
          <w:p w14:paraId="66D5B705">
            <w:pPr>
              <w:pStyle w:val="34"/>
              <w:tabs>
                <w:tab w:val="left" w:pos="1389"/>
              </w:tabs>
              <w:bidi w:val="0"/>
              <w:rPr>
                <w:rFonts w:hint="eastAsia"/>
                <w:color w:val="auto"/>
              </w:rPr>
            </w:pPr>
            <w:r>
              <w:rPr>
                <w:rFonts w:hint="eastAsia"/>
                <w:color w:val="auto"/>
                <w:lang w:val="en-US" w:eastAsia="zh-CN"/>
              </w:rPr>
              <w:t>0</w:t>
            </w:r>
          </w:p>
        </w:tc>
        <w:tc>
          <w:tcPr>
            <w:tcW w:w="867" w:type="dxa"/>
            <w:tcBorders>
              <w:tl2br w:val="nil"/>
              <w:tr2bl w:val="nil"/>
            </w:tcBorders>
            <w:shd w:val="clear" w:color="auto" w:fill="auto"/>
            <w:noWrap/>
            <w:vAlign w:val="center"/>
          </w:tcPr>
          <w:p w14:paraId="7195A3B8">
            <w:pPr>
              <w:pStyle w:val="34"/>
              <w:tabs>
                <w:tab w:val="left" w:pos="1389"/>
              </w:tabs>
              <w:bidi w:val="0"/>
              <w:rPr>
                <w:rFonts w:hint="eastAsia"/>
                <w:color w:val="auto"/>
              </w:rPr>
            </w:pPr>
            <w:r>
              <w:rPr>
                <w:rFonts w:hint="eastAsia"/>
                <w:color w:val="auto"/>
                <w:lang w:val="en-US" w:eastAsia="zh-CN"/>
              </w:rPr>
              <w:t>0.1193</w:t>
            </w:r>
          </w:p>
        </w:tc>
        <w:tc>
          <w:tcPr>
            <w:tcW w:w="1229" w:type="dxa"/>
            <w:tcBorders>
              <w:tl2br w:val="nil"/>
              <w:tr2bl w:val="nil"/>
            </w:tcBorders>
            <w:shd w:val="clear" w:color="auto" w:fill="auto"/>
            <w:vAlign w:val="center"/>
          </w:tcPr>
          <w:p w14:paraId="6FF3A225">
            <w:pPr>
              <w:pStyle w:val="34"/>
              <w:tabs>
                <w:tab w:val="left" w:pos="1389"/>
              </w:tabs>
              <w:bidi w:val="0"/>
              <w:rPr>
                <w:rFonts w:hint="eastAsia"/>
                <w:color w:val="auto"/>
              </w:rPr>
            </w:pPr>
            <w:r>
              <w:rPr>
                <w:rFonts w:hint="eastAsia"/>
                <w:color w:val="auto"/>
                <w:lang w:val="en-US" w:eastAsia="zh-CN"/>
              </w:rPr>
              <w:t>0.68</w:t>
            </w:r>
          </w:p>
        </w:tc>
      </w:tr>
      <w:tr w14:paraId="12E7827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33" w:type="dxa"/>
            <w:vMerge w:val="continue"/>
            <w:tcBorders>
              <w:tl2br w:val="nil"/>
              <w:tr2bl w:val="nil"/>
            </w:tcBorders>
            <w:shd w:val="clear" w:color="auto" w:fill="auto"/>
            <w:noWrap/>
            <w:vAlign w:val="center"/>
          </w:tcPr>
          <w:p w14:paraId="6E0CC8D5">
            <w:pPr>
              <w:pStyle w:val="34"/>
              <w:tabs>
                <w:tab w:val="left" w:pos="1389"/>
              </w:tabs>
              <w:bidi w:val="0"/>
              <w:rPr>
                <w:rFonts w:hint="eastAsia"/>
                <w:color w:val="auto"/>
              </w:rPr>
            </w:pPr>
          </w:p>
        </w:tc>
        <w:tc>
          <w:tcPr>
            <w:tcW w:w="1263" w:type="dxa"/>
            <w:tcBorders>
              <w:tl2br w:val="nil"/>
              <w:tr2bl w:val="nil"/>
            </w:tcBorders>
            <w:shd w:val="clear" w:color="auto" w:fill="auto"/>
            <w:noWrap/>
            <w:vAlign w:val="center"/>
          </w:tcPr>
          <w:p w14:paraId="217E1CEB">
            <w:pPr>
              <w:pStyle w:val="34"/>
              <w:tabs>
                <w:tab w:val="left" w:pos="1389"/>
              </w:tabs>
              <w:bidi w:val="0"/>
              <w:rPr>
                <w:rFonts w:hint="eastAsia"/>
                <w:color w:val="auto"/>
              </w:rPr>
            </w:pPr>
            <w:r>
              <w:rPr>
                <w:rFonts w:hint="eastAsia"/>
                <w:color w:val="auto"/>
                <w:lang w:val="en-US" w:eastAsia="zh-CN"/>
              </w:rPr>
              <w:t>暖温性针叶林</w:t>
            </w:r>
          </w:p>
        </w:tc>
        <w:tc>
          <w:tcPr>
            <w:tcW w:w="1275" w:type="dxa"/>
            <w:tcBorders>
              <w:tl2br w:val="nil"/>
              <w:tr2bl w:val="nil"/>
            </w:tcBorders>
            <w:shd w:val="clear" w:color="auto" w:fill="auto"/>
            <w:noWrap/>
            <w:vAlign w:val="center"/>
          </w:tcPr>
          <w:p w14:paraId="62F7405A">
            <w:pPr>
              <w:pStyle w:val="34"/>
              <w:tabs>
                <w:tab w:val="left" w:pos="1389"/>
              </w:tabs>
              <w:bidi w:val="0"/>
              <w:rPr>
                <w:rFonts w:hint="eastAsia"/>
                <w:color w:val="auto"/>
              </w:rPr>
            </w:pPr>
            <w:r>
              <w:rPr>
                <w:rFonts w:hint="eastAsia"/>
                <w:color w:val="auto"/>
                <w:lang w:val="en-US" w:eastAsia="zh-CN"/>
              </w:rPr>
              <w:t>695.5817</w:t>
            </w:r>
          </w:p>
        </w:tc>
        <w:tc>
          <w:tcPr>
            <w:tcW w:w="1139" w:type="dxa"/>
            <w:tcBorders>
              <w:tl2br w:val="nil"/>
              <w:tr2bl w:val="nil"/>
            </w:tcBorders>
            <w:shd w:val="clear" w:color="auto" w:fill="auto"/>
            <w:noWrap/>
            <w:vAlign w:val="center"/>
          </w:tcPr>
          <w:p w14:paraId="2AEE6B9C">
            <w:pPr>
              <w:pStyle w:val="34"/>
              <w:tabs>
                <w:tab w:val="left" w:pos="1389"/>
              </w:tabs>
              <w:bidi w:val="0"/>
              <w:rPr>
                <w:rFonts w:hint="eastAsia"/>
                <w:color w:val="auto"/>
              </w:rPr>
            </w:pPr>
            <w:r>
              <w:rPr>
                <w:rFonts w:hint="eastAsia"/>
                <w:color w:val="auto"/>
                <w:lang w:val="en-US" w:eastAsia="zh-CN"/>
              </w:rPr>
              <w:t>0.2080</w:t>
            </w:r>
          </w:p>
        </w:tc>
        <w:tc>
          <w:tcPr>
            <w:tcW w:w="1229" w:type="dxa"/>
            <w:tcBorders>
              <w:tl2br w:val="nil"/>
              <w:tr2bl w:val="nil"/>
            </w:tcBorders>
            <w:shd w:val="clear" w:color="auto" w:fill="auto"/>
            <w:noWrap/>
            <w:vAlign w:val="center"/>
          </w:tcPr>
          <w:p w14:paraId="486B8E90">
            <w:pPr>
              <w:pStyle w:val="34"/>
              <w:tabs>
                <w:tab w:val="left" w:pos="1389"/>
              </w:tabs>
              <w:bidi w:val="0"/>
              <w:rPr>
                <w:rFonts w:hint="eastAsia"/>
                <w:color w:val="auto"/>
              </w:rPr>
            </w:pPr>
            <w:r>
              <w:rPr>
                <w:rFonts w:hint="eastAsia"/>
                <w:color w:val="auto"/>
                <w:lang w:val="en-US" w:eastAsia="zh-CN"/>
              </w:rPr>
              <w:t>0.2138</w:t>
            </w:r>
          </w:p>
        </w:tc>
        <w:tc>
          <w:tcPr>
            <w:tcW w:w="1252" w:type="dxa"/>
            <w:tcBorders>
              <w:tl2br w:val="nil"/>
              <w:tr2bl w:val="nil"/>
            </w:tcBorders>
            <w:shd w:val="clear" w:color="auto" w:fill="auto"/>
            <w:noWrap/>
            <w:vAlign w:val="center"/>
          </w:tcPr>
          <w:p w14:paraId="1E221789">
            <w:pPr>
              <w:pStyle w:val="34"/>
              <w:tabs>
                <w:tab w:val="left" w:pos="1389"/>
              </w:tabs>
              <w:bidi w:val="0"/>
              <w:rPr>
                <w:rFonts w:hint="eastAsia"/>
                <w:color w:val="auto"/>
              </w:rPr>
            </w:pPr>
            <w:r>
              <w:rPr>
                <w:rFonts w:hint="eastAsia"/>
                <w:color w:val="auto"/>
                <w:lang w:val="en-US" w:eastAsia="zh-CN"/>
              </w:rPr>
              <w:t>0.1464</w:t>
            </w:r>
          </w:p>
        </w:tc>
        <w:tc>
          <w:tcPr>
            <w:tcW w:w="867" w:type="dxa"/>
            <w:tcBorders>
              <w:tl2br w:val="nil"/>
              <w:tr2bl w:val="nil"/>
            </w:tcBorders>
            <w:shd w:val="clear" w:color="auto" w:fill="auto"/>
            <w:noWrap/>
            <w:vAlign w:val="center"/>
          </w:tcPr>
          <w:p w14:paraId="1BF57E13">
            <w:pPr>
              <w:pStyle w:val="34"/>
              <w:tabs>
                <w:tab w:val="left" w:pos="1389"/>
              </w:tabs>
              <w:bidi w:val="0"/>
              <w:rPr>
                <w:rFonts w:hint="eastAsia"/>
                <w:color w:val="auto"/>
              </w:rPr>
            </w:pPr>
            <w:r>
              <w:rPr>
                <w:rFonts w:hint="eastAsia"/>
                <w:color w:val="auto"/>
                <w:lang w:val="en-US" w:eastAsia="zh-CN"/>
              </w:rPr>
              <w:t>0.5682</w:t>
            </w:r>
          </w:p>
        </w:tc>
        <w:tc>
          <w:tcPr>
            <w:tcW w:w="1229" w:type="dxa"/>
            <w:tcBorders>
              <w:tl2br w:val="nil"/>
              <w:tr2bl w:val="nil"/>
            </w:tcBorders>
            <w:shd w:val="clear" w:color="auto" w:fill="auto"/>
            <w:vAlign w:val="center"/>
          </w:tcPr>
          <w:p w14:paraId="72EFF43E">
            <w:pPr>
              <w:pStyle w:val="34"/>
              <w:tabs>
                <w:tab w:val="left" w:pos="1389"/>
              </w:tabs>
              <w:bidi w:val="0"/>
              <w:rPr>
                <w:rFonts w:hint="eastAsia"/>
                <w:color w:val="auto"/>
              </w:rPr>
            </w:pPr>
            <w:r>
              <w:rPr>
                <w:rFonts w:hint="eastAsia"/>
                <w:color w:val="auto"/>
                <w:lang w:val="en-US" w:eastAsia="zh-CN"/>
              </w:rPr>
              <w:t>0.08</w:t>
            </w:r>
          </w:p>
        </w:tc>
      </w:tr>
      <w:tr w14:paraId="7E7C83B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733" w:type="dxa"/>
            <w:vMerge w:val="continue"/>
            <w:tcBorders>
              <w:tl2br w:val="nil"/>
              <w:tr2bl w:val="nil"/>
            </w:tcBorders>
            <w:shd w:val="clear" w:color="auto" w:fill="auto"/>
            <w:noWrap/>
            <w:vAlign w:val="center"/>
          </w:tcPr>
          <w:p w14:paraId="5C9C7239">
            <w:pPr>
              <w:pStyle w:val="34"/>
              <w:tabs>
                <w:tab w:val="left" w:pos="1389"/>
              </w:tabs>
              <w:bidi w:val="0"/>
              <w:rPr>
                <w:rFonts w:hint="eastAsia"/>
                <w:color w:val="auto"/>
              </w:rPr>
            </w:pPr>
          </w:p>
        </w:tc>
        <w:tc>
          <w:tcPr>
            <w:tcW w:w="1263" w:type="dxa"/>
            <w:tcBorders>
              <w:tl2br w:val="nil"/>
              <w:tr2bl w:val="nil"/>
            </w:tcBorders>
            <w:shd w:val="clear" w:color="auto" w:fill="auto"/>
            <w:noWrap/>
            <w:vAlign w:val="center"/>
          </w:tcPr>
          <w:p w14:paraId="2DB78403">
            <w:pPr>
              <w:pStyle w:val="34"/>
              <w:tabs>
                <w:tab w:val="left" w:pos="1389"/>
              </w:tabs>
              <w:bidi w:val="0"/>
              <w:rPr>
                <w:rFonts w:hint="eastAsia"/>
                <w:color w:val="auto"/>
              </w:rPr>
            </w:pPr>
            <w:r>
              <w:rPr>
                <w:rFonts w:hint="eastAsia"/>
                <w:color w:val="auto"/>
                <w:lang w:val="en-US" w:eastAsia="zh-CN"/>
              </w:rPr>
              <w:t>暖温性石灰岩灌丛</w:t>
            </w:r>
          </w:p>
        </w:tc>
        <w:tc>
          <w:tcPr>
            <w:tcW w:w="1275" w:type="dxa"/>
            <w:tcBorders>
              <w:tl2br w:val="nil"/>
              <w:tr2bl w:val="nil"/>
            </w:tcBorders>
            <w:shd w:val="clear" w:color="auto" w:fill="auto"/>
            <w:noWrap/>
            <w:vAlign w:val="center"/>
          </w:tcPr>
          <w:p w14:paraId="4595AAEA">
            <w:pPr>
              <w:pStyle w:val="34"/>
              <w:tabs>
                <w:tab w:val="left" w:pos="1389"/>
              </w:tabs>
              <w:bidi w:val="0"/>
              <w:rPr>
                <w:rFonts w:hint="eastAsia"/>
                <w:color w:val="auto"/>
              </w:rPr>
            </w:pPr>
            <w:r>
              <w:rPr>
                <w:rFonts w:hint="eastAsia"/>
                <w:color w:val="auto"/>
                <w:lang w:val="en-US" w:eastAsia="zh-CN"/>
              </w:rPr>
              <w:t>17.5925</w:t>
            </w:r>
          </w:p>
        </w:tc>
        <w:tc>
          <w:tcPr>
            <w:tcW w:w="1139" w:type="dxa"/>
            <w:tcBorders>
              <w:tl2br w:val="nil"/>
              <w:tr2bl w:val="nil"/>
            </w:tcBorders>
            <w:shd w:val="clear" w:color="auto" w:fill="auto"/>
            <w:noWrap/>
            <w:vAlign w:val="center"/>
          </w:tcPr>
          <w:p w14:paraId="294D5693">
            <w:pPr>
              <w:pStyle w:val="34"/>
              <w:tabs>
                <w:tab w:val="left" w:pos="1389"/>
              </w:tabs>
              <w:bidi w:val="0"/>
              <w:rPr>
                <w:rFonts w:hint="eastAsia"/>
                <w:color w:val="auto"/>
              </w:rPr>
            </w:pPr>
            <w:r>
              <w:rPr>
                <w:rFonts w:hint="eastAsia"/>
                <w:color w:val="auto"/>
                <w:lang w:val="en-US" w:eastAsia="zh-CN"/>
              </w:rPr>
              <w:t>0</w:t>
            </w:r>
          </w:p>
        </w:tc>
        <w:tc>
          <w:tcPr>
            <w:tcW w:w="1229" w:type="dxa"/>
            <w:tcBorders>
              <w:tl2br w:val="nil"/>
              <w:tr2bl w:val="nil"/>
            </w:tcBorders>
            <w:shd w:val="clear" w:color="auto" w:fill="auto"/>
            <w:noWrap/>
            <w:vAlign w:val="center"/>
          </w:tcPr>
          <w:p w14:paraId="0C407553">
            <w:pPr>
              <w:pStyle w:val="34"/>
              <w:tabs>
                <w:tab w:val="left" w:pos="1389"/>
              </w:tabs>
              <w:bidi w:val="0"/>
              <w:rPr>
                <w:rFonts w:hint="eastAsia"/>
                <w:color w:val="auto"/>
              </w:rPr>
            </w:pPr>
            <w:r>
              <w:rPr>
                <w:rFonts w:hint="eastAsia"/>
                <w:color w:val="auto"/>
                <w:lang w:val="en-US" w:eastAsia="zh-CN"/>
              </w:rPr>
              <w:t>0</w:t>
            </w:r>
          </w:p>
        </w:tc>
        <w:tc>
          <w:tcPr>
            <w:tcW w:w="1252" w:type="dxa"/>
            <w:tcBorders>
              <w:tl2br w:val="nil"/>
              <w:tr2bl w:val="nil"/>
            </w:tcBorders>
            <w:shd w:val="clear" w:color="auto" w:fill="auto"/>
            <w:noWrap/>
            <w:vAlign w:val="center"/>
          </w:tcPr>
          <w:p w14:paraId="0B177BA9">
            <w:pPr>
              <w:pStyle w:val="34"/>
              <w:tabs>
                <w:tab w:val="left" w:pos="1389"/>
              </w:tabs>
              <w:bidi w:val="0"/>
              <w:rPr>
                <w:rFonts w:hint="eastAsia"/>
                <w:color w:val="auto"/>
              </w:rPr>
            </w:pPr>
            <w:r>
              <w:rPr>
                <w:rFonts w:hint="eastAsia"/>
                <w:color w:val="auto"/>
                <w:lang w:val="en-US" w:eastAsia="zh-CN"/>
              </w:rPr>
              <w:t>0</w:t>
            </w:r>
          </w:p>
        </w:tc>
        <w:tc>
          <w:tcPr>
            <w:tcW w:w="867" w:type="dxa"/>
            <w:tcBorders>
              <w:tl2br w:val="nil"/>
              <w:tr2bl w:val="nil"/>
            </w:tcBorders>
            <w:shd w:val="clear" w:color="auto" w:fill="auto"/>
            <w:noWrap/>
            <w:vAlign w:val="center"/>
          </w:tcPr>
          <w:p w14:paraId="199B9197">
            <w:pPr>
              <w:pStyle w:val="34"/>
              <w:tabs>
                <w:tab w:val="left" w:pos="1389"/>
              </w:tabs>
              <w:bidi w:val="0"/>
              <w:rPr>
                <w:rFonts w:hint="eastAsia"/>
                <w:color w:val="auto"/>
              </w:rPr>
            </w:pPr>
            <w:r>
              <w:rPr>
                <w:rFonts w:hint="eastAsia"/>
                <w:color w:val="auto"/>
                <w:lang w:val="en-US" w:eastAsia="zh-CN"/>
              </w:rPr>
              <w:t>0</w:t>
            </w:r>
          </w:p>
        </w:tc>
        <w:tc>
          <w:tcPr>
            <w:tcW w:w="1229" w:type="dxa"/>
            <w:tcBorders>
              <w:tl2br w:val="nil"/>
              <w:tr2bl w:val="nil"/>
            </w:tcBorders>
            <w:shd w:val="clear" w:color="auto" w:fill="auto"/>
            <w:vAlign w:val="center"/>
          </w:tcPr>
          <w:p w14:paraId="09772E59">
            <w:pPr>
              <w:pStyle w:val="34"/>
              <w:tabs>
                <w:tab w:val="left" w:pos="1389"/>
              </w:tabs>
              <w:bidi w:val="0"/>
              <w:rPr>
                <w:rFonts w:hint="eastAsia"/>
                <w:color w:val="auto"/>
              </w:rPr>
            </w:pPr>
            <w:r>
              <w:rPr>
                <w:rFonts w:hint="eastAsia"/>
                <w:color w:val="auto"/>
                <w:lang w:val="en-US" w:eastAsia="zh-CN"/>
              </w:rPr>
              <w:t>0.00</w:t>
            </w:r>
          </w:p>
        </w:tc>
      </w:tr>
      <w:tr w14:paraId="71A5106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33" w:type="dxa"/>
            <w:vMerge w:val="continue"/>
            <w:tcBorders>
              <w:tl2br w:val="nil"/>
              <w:tr2bl w:val="nil"/>
            </w:tcBorders>
            <w:shd w:val="clear" w:color="auto" w:fill="auto"/>
            <w:noWrap/>
            <w:vAlign w:val="center"/>
          </w:tcPr>
          <w:p w14:paraId="5F551EC1">
            <w:pPr>
              <w:pStyle w:val="34"/>
              <w:tabs>
                <w:tab w:val="left" w:pos="1389"/>
              </w:tabs>
              <w:bidi w:val="0"/>
              <w:rPr>
                <w:rFonts w:hint="eastAsia"/>
                <w:color w:val="auto"/>
              </w:rPr>
            </w:pPr>
          </w:p>
        </w:tc>
        <w:tc>
          <w:tcPr>
            <w:tcW w:w="1263" w:type="dxa"/>
            <w:tcBorders>
              <w:tl2br w:val="nil"/>
              <w:tr2bl w:val="nil"/>
            </w:tcBorders>
            <w:shd w:val="clear" w:color="auto" w:fill="auto"/>
            <w:noWrap/>
            <w:vAlign w:val="center"/>
          </w:tcPr>
          <w:p w14:paraId="28904D47">
            <w:pPr>
              <w:pStyle w:val="34"/>
              <w:tabs>
                <w:tab w:val="left" w:pos="1389"/>
              </w:tabs>
              <w:bidi w:val="0"/>
              <w:rPr>
                <w:rFonts w:hint="eastAsia"/>
                <w:color w:val="auto"/>
              </w:rPr>
            </w:pPr>
            <w:r>
              <w:rPr>
                <w:rFonts w:hint="eastAsia"/>
                <w:color w:val="auto"/>
                <w:lang w:val="en-US" w:eastAsia="zh-CN"/>
              </w:rPr>
              <w:t>禾草草丛</w:t>
            </w:r>
          </w:p>
        </w:tc>
        <w:tc>
          <w:tcPr>
            <w:tcW w:w="1275" w:type="dxa"/>
            <w:tcBorders>
              <w:tl2br w:val="nil"/>
              <w:tr2bl w:val="nil"/>
            </w:tcBorders>
            <w:shd w:val="clear" w:color="auto" w:fill="auto"/>
            <w:noWrap/>
            <w:vAlign w:val="center"/>
          </w:tcPr>
          <w:p w14:paraId="1A4B3BA6">
            <w:pPr>
              <w:pStyle w:val="34"/>
              <w:tabs>
                <w:tab w:val="left" w:pos="1389"/>
              </w:tabs>
              <w:bidi w:val="0"/>
              <w:rPr>
                <w:rFonts w:hint="eastAsia"/>
                <w:color w:val="auto"/>
              </w:rPr>
            </w:pPr>
            <w:r>
              <w:rPr>
                <w:rFonts w:hint="eastAsia"/>
                <w:color w:val="auto"/>
                <w:lang w:val="en-US" w:eastAsia="zh-CN"/>
              </w:rPr>
              <w:t>120.4412</w:t>
            </w:r>
          </w:p>
        </w:tc>
        <w:tc>
          <w:tcPr>
            <w:tcW w:w="1139" w:type="dxa"/>
            <w:tcBorders>
              <w:tl2br w:val="nil"/>
              <w:tr2bl w:val="nil"/>
            </w:tcBorders>
            <w:shd w:val="clear" w:color="auto" w:fill="auto"/>
            <w:noWrap/>
            <w:vAlign w:val="center"/>
          </w:tcPr>
          <w:p w14:paraId="0548AA46">
            <w:pPr>
              <w:pStyle w:val="34"/>
              <w:tabs>
                <w:tab w:val="left" w:pos="1389"/>
              </w:tabs>
              <w:bidi w:val="0"/>
              <w:rPr>
                <w:rFonts w:hint="eastAsia"/>
                <w:color w:val="auto"/>
              </w:rPr>
            </w:pPr>
            <w:r>
              <w:rPr>
                <w:rFonts w:hint="eastAsia"/>
                <w:color w:val="auto"/>
                <w:lang w:val="en-US" w:eastAsia="zh-CN"/>
              </w:rPr>
              <w:t>0.9813</w:t>
            </w:r>
          </w:p>
        </w:tc>
        <w:tc>
          <w:tcPr>
            <w:tcW w:w="1229" w:type="dxa"/>
            <w:tcBorders>
              <w:tl2br w:val="nil"/>
              <w:tr2bl w:val="nil"/>
            </w:tcBorders>
            <w:shd w:val="clear" w:color="auto" w:fill="auto"/>
            <w:noWrap/>
            <w:vAlign w:val="center"/>
          </w:tcPr>
          <w:p w14:paraId="0BD1575D">
            <w:pPr>
              <w:pStyle w:val="34"/>
              <w:tabs>
                <w:tab w:val="left" w:pos="1389"/>
              </w:tabs>
              <w:bidi w:val="0"/>
              <w:rPr>
                <w:rFonts w:hint="eastAsia"/>
                <w:color w:val="auto"/>
              </w:rPr>
            </w:pPr>
            <w:r>
              <w:rPr>
                <w:rFonts w:hint="eastAsia"/>
                <w:color w:val="auto"/>
                <w:lang w:val="en-US" w:eastAsia="zh-CN"/>
              </w:rPr>
              <w:t>0.7185</w:t>
            </w:r>
          </w:p>
        </w:tc>
        <w:tc>
          <w:tcPr>
            <w:tcW w:w="1252" w:type="dxa"/>
            <w:tcBorders>
              <w:tl2br w:val="nil"/>
              <w:tr2bl w:val="nil"/>
            </w:tcBorders>
            <w:shd w:val="clear" w:color="auto" w:fill="auto"/>
            <w:noWrap/>
            <w:vAlign w:val="center"/>
          </w:tcPr>
          <w:p w14:paraId="57FDBB74">
            <w:pPr>
              <w:pStyle w:val="34"/>
              <w:tabs>
                <w:tab w:val="left" w:pos="1389"/>
              </w:tabs>
              <w:bidi w:val="0"/>
              <w:rPr>
                <w:rFonts w:hint="eastAsia"/>
                <w:color w:val="auto"/>
              </w:rPr>
            </w:pPr>
            <w:r>
              <w:rPr>
                <w:rFonts w:hint="eastAsia"/>
                <w:color w:val="auto"/>
                <w:lang w:val="en-US" w:eastAsia="zh-CN"/>
              </w:rPr>
              <w:t>0.1714</w:t>
            </w:r>
          </w:p>
        </w:tc>
        <w:tc>
          <w:tcPr>
            <w:tcW w:w="867" w:type="dxa"/>
            <w:tcBorders>
              <w:tl2br w:val="nil"/>
              <w:tr2bl w:val="nil"/>
            </w:tcBorders>
            <w:shd w:val="clear" w:color="auto" w:fill="auto"/>
            <w:noWrap/>
            <w:vAlign w:val="center"/>
          </w:tcPr>
          <w:p w14:paraId="78F7F3CF">
            <w:pPr>
              <w:pStyle w:val="34"/>
              <w:tabs>
                <w:tab w:val="left" w:pos="1389"/>
              </w:tabs>
              <w:bidi w:val="0"/>
              <w:rPr>
                <w:rFonts w:hint="eastAsia"/>
                <w:color w:val="auto"/>
              </w:rPr>
            </w:pPr>
            <w:r>
              <w:rPr>
                <w:rFonts w:hint="eastAsia"/>
                <w:color w:val="auto"/>
                <w:lang w:val="en-US" w:eastAsia="zh-CN"/>
              </w:rPr>
              <w:t>1.8713</w:t>
            </w:r>
          </w:p>
        </w:tc>
        <w:tc>
          <w:tcPr>
            <w:tcW w:w="1229" w:type="dxa"/>
            <w:tcBorders>
              <w:tl2br w:val="nil"/>
              <w:tr2bl w:val="nil"/>
            </w:tcBorders>
            <w:shd w:val="clear" w:color="auto" w:fill="auto"/>
            <w:vAlign w:val="center"/>
          </w:tcPr>
          <w:p w14:paraId="6DC170FB">
            <w:pPr>
              <w:pStyle w:val="34"/>
              <w:tabs>
                <w:tab w:val="left" w:pos="1389"/>
              </w:tabs>
              <w:bidi w:val="0"/>
              <w:rPr>
                <w:rFonts w:hint="eastAsia"/>
                <w:color w:val="auto"/>
              </w:rPr>
            </w:pPr>
            <w:r>
              <w:rPr>
                <w:rFonts w:hint="eastAsia"/>
                <w:color w:val="auto"/>
                <w:lang w:val="en-US" w:eastAsia="zh-CN"/>
              </w:rPr>
              <w:t>1.55</w:t>
            </w:r>
          </w:p>
        </w:tc>
      </w:tr>
      <w:tr w14:paraId="18B9FEC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733" w:type="dxa"/>
            <w:vMerge w:val="continue"/>
            <w:tcBorders>
              <w:tl2br w:val="nil"/>
              <w:tr2bl w:val="nil"/>
            </w:tcBorders>
            <w:shd w:val="clear" w:color="auto" w:fill="auto"/>
            <w:noWrap/>
            <w:vAlign w:val="center"/>
          </w:tcPr>
          <w:p w14:paraId="5E494108">
            <w:pPr>
              <w:pStyle w:val="34"/>
              <w:tabs>
                <w:tab w:val="left" w:pos="1389"/>
              </w:tabs>
              <w:bidi w:val="0"/>
              <w:rPr>
                <w:rFonts w:hint="eastAsia"/>
                <w:color w:val="auto"/>
              </w:rPr>
            </w:pPr>
          </w:p>
        </w:tc>
        <w:tc>
          <w:tcPr>
            <w:tcW w:w="1263" w:type="dxa"/>
            <w:tcBorders>
              <w:tl2br w:val="nil"/>
              <w:tr2bl w:val="nil"/>
            </w:tcBorders>
            <w:shd w:val="clear" w:color="auto" w:fill="auto"/>
            <w:noWrap/>
            <w:vAlign w:val="center"/>
          </w:tcPr>
          <w:p w14:paraId="4CED116D">
            <w:pPr>
              <w:pStyle w:val="34"/>
              <w:tabs>
                <w:tab w:val="left" w:pos="1389"/>
              </w:tabs>
              <w:bidi w:val="0"/>
              <w:rPr>
                <w:rFonts w:hint="eastAsia"/>
                <w:color w:val="auto"/>
              </w:rPr>
            </w:pPr>
            <w:r>
              <w:rPr>
                <w:rFonts w:hint="eastAsia"/>
                <w:color w:val="auto"/>
                <w:lang w:val="en-US" w:eastAsia="zh-CN"/>
              </w:rPr>
              <w:t>小计</w:t>
            </w:r>
          </w:p>
        </w:tc>
        <w:tc>
          <w:tcPr>
            <w:tcW w:w="1275" w:type="dxa"/>
            <w:tcBorders>
              <w:tl2br w:val="nil"/>
              <w:tr2bl w:val="nil"/>
            </w:tcBorders>
            <w:shd w:val="clear" w:color="auto" w:fill="auto"/>
            <w:noWrap/>
            <w:vAlign w:val="center"/>
          </w:tcPr>
          <w:p w14:paraId="14B9E17B">
            <w:pPr>
              <w:pStyle w:val="34"/>
              <w:tabs>
                <w:tab w:val="left" w:pos="1389"/>
              </w:tabs>
              <w:bidi w:val="0"/>
              <w:rPr>
                <w:rFonts w:hint="eastAsia"/>
                <w:color w:val="auto"/>
              </w:rPr>
            </w:pPr>
            <w:r>
              <w:rPr>
                <w:rFonts w:hint="eastAsia"/>
                <w:color w:val="auto"/>
                <w:lang w:val="en-US" w:eastAsia="zh-CN"/>
              </w:rPr>
              <w:t>894.5127</w:t>
            </w:r>
          </w:p>
        </w:tc>
        <w:tc>
          <w:tcPr>
            <w:tcW w:w="1139" w:type="dxa"/>
            <w:tcBorders>
              <w:tl2br w:val="nil"/>
              <w:tr2bl w:val="nil"/>
            </w:tcBorders>
            <w:shd w:val="clear" w:color="auto" w:fill="auto"/>
            <w:noWrap/>
            <w:vAlign w:val="center"/>
          </w:tcPr>
          <w:p w14:paraId="344263D1">
            <w:pPr>
              <w:pStyle w:val="34"/>
              <w:tabs>
                <w:tab w:val="left" w:pos="1389"/>
              </w:tabs>
              <w:bidi w:val="0"/>
              <w:rPr>
                <w:rFonts w:hint="eastAsia"/>
                <w:color w:val="auto"/>
              </w:rPr>
            </w:pPr>
            <w:r>
              <w:rPr>
                <w:rFonts w:hint="eastAsia"/>
                <w:color w:val="auto"/>
                <w:lang w:val="en-US" w:eastAsia="zh-CN"/>
              </w:rPr>
              <w:t>1.1893</w:t>
            </w:r>
          </w:p>
        </w:tc>
        <w:tc>
          <w:tcPr>
            <w:tcW w:w="1229" w:type="dxa"/>
            <w:tcBorders>
              <w:tl2br w:val="nil"/>
              <w:tr2bl w:val="nil"/>
            </w:tcBorders>
            <w:shd w:val="clear" w:color="auto" w:fill="auto"/>
            <w:noWrap/>
            <w:vAlign w:val="center"/>
          </w:tcPr>
          <w:p w14:paraId="0334F4F8">
            <w:pPr>
              <w:pStyle w:val="34"/>
              <w:tabs>
                <w:tab w:val="left" w:pos="1389"/>
              </w:tabs>
              <w:bidi w:val="0"/>
              <w:rPr>
                <w:rFonts w:hint="eastAsia"/>
                <w:color w:val="auto"/>
              </w:rPr>
            </w:pPr>
            <w:r>
              <w:rPr>
                <w:rFonts w:hint="eastAsia"/>
                <w:color w:val="auto"/>
                <w:lang w:val="en-US" w:eastAsia="zh-CN"/>
              </w:rPr>
              <w:t>1.0515</w:t>
            </w:r>
          </w:p>
        </w:tc>
        <w:tc>
          <w:tcPr>
            <w:tcW w:w="1252" w:type="dxa"/>
            <w:tcBorders>
              <w:tl2br w:val="nil"/>
              <w:tr2bl w:val="nil"/>
            </w:tcBorders>
            <w:shd w:val="clear" w:color="auto" w:fill="auto"/>
            <w:noWrap/>
            <w:vAlign w:val="center"/>
          </w:tcPr>
          <w:p w14:paraId="314AB310">
            <w:pPr>
              <w:pStyle w:val="34"/>
              <w:tabs>
                <w:tab w:val="left" w:pos="1389"/>
              </w:tabs>
              <w:bidi w:val="0"/>
              <w:rPr>
                <w:rFonts w:hint="eastAsia"/>
                <w:color w:val="auto"/>
              </w:rPr>
            </w:pPr>
            <w:r>
              <w:rPr>
                <w:rFonts w:hint="eastAsia"/>
                <w:color w:val="auto"/>
                <w:lang w:val="en-US" w:eastAsia="zh-CN"/>
              </w:rPr>
              <w:t>0.3179</w:t>
            </w:r>
          </w:p>
        </w:tc>
        <w:tc>
          <w:tcPr>
            <w:tcW w:w="867" w:type="dxa"/>
            <w:tcBorders>
              <w:tl2br w:val="nil"/>
              <w:tr2bl w:val="nil"/>
            </w:tcBorders>
            <w:shd w:val="clear" w:color="auto" w:fill="auto"/>
            <w:noWrap/>
            <w:vAlign w:val="center"/>
          </w:tcPr>
          <w:p w14:paraId="0E50300D">
            <w:pPr>
              <w:pStyle w:val="34"/>
              <w:tabs>
                <w:tab w:val="left" w:pos="1389"/>
              </w:tabs>
              <w:bidi w:val="0"/>
              <w:rPr>
                <w:rFonts w:hint="eastAsia"/>
                <w:color w:val="auto"/>
              </w:rPr>
            </w:pPr>
            <w:r>
              <w:rPr>
                <w:rFonts w:hint="eastAsia"/>
                <w:color w:val="auto"/>
                <w:lang w:val="en-US" w:eastAsia="zh-CN"/>
              </w:rPr>
              <w:t>2.5587</w:t>
            </w:r>
          </w:p>
        </w:tc>
        <w:tc>
          <w:tcPr>
            <w:tcW w:w="1229" w:type="dxa"/>
            <w:tcBorders>
              <w:tl2br w:val="nil"/>
              <w:tr2bl w:val="nil"/>
            </w:tcBorders>
            <w:shd w:val="clear" w:color="auto" w:fill="auto"/>
            <w:vAlign w:val="center"/>
          </w:tcPr>
          <w:p w14:paraId="0A899DF1">
            <w:pPr>
              <w:pStyle w:val="34"/>
              <w:tabs>
                <w:tab w:val="left" w:pos="1389"/>
              </w:tabs>
              <w:bidi w:val="0"/>
              <w:rPr>
                <w:rFonts w:hint="eastAsia"/>
                <w:color w:val="auto"/>
              </w:rPr>
            </w:pPr>
            <w:r>
              <w:rPr>
                <w:rFonts w:hint="eastAsia"/>
                <w:color w:val="auto"/>
                <w:lang w:val="en-US" w:eastAsia="zh-CN"/>
              </w:rPr>
              <w:t>0.29</w:t>
            </w:r>
          </w:p>
        </w:tc>
      </w:tr>
      <w:tr w14:paraId="316F51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733" w:type="dxa"/>
            <w:tcBorders>
              <w:tl2br w:val="nil"/>
              <w:tr2bl w:val="nil"/>
            </w:tcBorders>
            <w:shd w:val="clear" w:color="auto" w:fill="auto"/>
            <w:noWrap/>
            <w:vAlign w:val="center"/>
          </w:tcPr>
          <w:p w14:paraId="33FBDAC7">
            <w:pPr>
              <w:pStyle w:val="34"/>
              <w:tabs>
                <w:tab w:val="left" w:pos="1389"/>
              </w:tabs>
              <w:bidi w:val="0"/>
              <w:rPr>
                <w:rFonts w:hint="eastAsia"/>
                <w:color w:val="auto"/>
              </w:rPr>
            </w:pPr>
            <w:r>
              <w:rPr>
                <w:rFonts w:hint="eastAsia"/>
                <w:color w:val="auto"/>
                <w:lang w:val="en-US" w:eastAsia="zh-CN"/>
              </w:rPr>
              <w:t>人工植被</w:t>
            </w:r>
          </w:p>
        </w:tc>
        <w:tc>
          <w:tcPr>
            <w:tcW w:w="1263" w:type="dxa"/>
            <w:tcBorders>
              <w:tl2br w:val="nil"/>
              <w:tr2bl w:val="nil"/>
            </w:tcBorders>
            <w:shd w:val="clear" w:color="auto" w:fill="auto"/>
            <w:noWrap/>
            <w:vAlign w:val="center"/>
          </w:tcPr>
          <w:p w14:paraId="376C3914">
            <w:pPr>
              <w:pStyle w:val="34"/>
              <w:tabs>
                <w:tab w:val="left" w:pos="1389"/>
              </w:tabs>
              <w:bidi w:val="0"/>
              <w:rPr>
                <w:rFonts w:hint="eastAsia"/>
                <w:color w:val="auto"/>
              </w:rPr>
            </w:pPr>
            <w:r>
              <w:rPr>
                <w:rFonts w:hint="eastAsia"/>
                <w:color w:val="auto"/>
                <w:lang w:val="en-US" w:eastAsia="zh-CN"/>
              </w:rPr>
              <w:t>耕地植被</w:t>
            </w:r>
          </w:p>
        </w:tc>
        <w:tc>
          <w:tcPr>
            <w:tcW w:w="1275" w:type="dxa"/>
            <w:tcBorders>
              <w:tl2br w:val="nil"/>
              <w:tr2bl w:val="nil"/>
            </w:tcBorders>
            <w:shd w:val="clear" w:color="auto" w:fill="auto"/>
            <w:noWrap/>
            <w:vAlign w:val="center"/>
          </w:tcPr>
          <w:p w14:paraId="17B14274">
            <w:pPr>
              <w:pStyle w:val="34"/>
              <w:tabs>
                <w:tab w:val="left" w:pos="1389"/>
              </w:tabs>
              <w:bidi w:val="0"/>
              <w:rPr>
                <w:rFonts w:hint="eastAsia"/>
                <w:color w:val="auto"/>
              </w:rPr>
            </w:pPr>
            <w:r>
              <w:rPr>
                <w:rFonts w:hint="eastAsia"/>
                <w:color w:val="auto"/>
                <w:lang w:val="en-US" w:eastAsia="zh-CN"/>
              </w:rPr>
              <w:t>202.9908</w:t>
            </w:r>
          </w:p>
        </w:tc>
        <w:tc>
          <w:tcPr>
            <w:tcW w:w="1139" w:type="dxa"/>
            <w:tcBorders>
              <w:tl2br w:val="nil"/>
              <w:tr2bl w:val="nil"/>
            </w:tcBorders>
            <w:shd w:val="clear" w:color="auto" w:fill="auto"/>
            <w:noWrap/>
            <w:vAlign w:val="center"/>
          </w:tcPr>
          <w:p w14:paraId="2259CE1F">
            <w:pPr>
              <w:pStyle w:val="34"/>
              <w:tabs>
                <w:tab w:val="left" w:pos="1389"/>
              </w:tabs>
              <w:bidi w:val="0"/>
              <w:rPr>
                <w:rFonts w:hint="eastAsia"/>
                <w:color w:val="auto"/>
              </w:rPr>
            </w:pPr>
            <w:r>
              <w:rPr>
                <w:rFonts w:hint="eastAsia"/>
                <w:color w:val="auto"/>
                <w:lang w:val="en-US" w:eastAsia="zh-CN"/>
              </w:rPr>
              <w:t>0</w:t>
            </w:r>
          </w:p>
        </w:tc>
        <w:tc>
          <w:tcPr>
            <w:tcW w:w="1229" w:type="dxa"/>
            <w:tcBorders>
              <w:tl2br w:val="nil"/>
              <w:tr2bl w:val="nil"/>
            </w:tcBorders>
            <w:shd w:val="clear" w:color="auto" w:fill="auto"/>
            <w:noWrap/>
            <w:vAlign w:val="center"/>
          </w:tcPr>
          <w:p w14:paraId="089E429F">
            <w:pPr>
              <w:pStyle w:val="34"/>
              <w:tabs>
                <w:tab w:val="left" w:pos="1389"/>
              </w:tabs>
              <w:bidi w:val="0"/>
              <w:rPr>
                <w:rFonts w:hint="eastAsia"/>
                <w:color w:val="auto"/>
              </w:rPr>
            </w:pPr>
            <w:r>
              <w:rPr>
                <w:rFonts w:hint="eastAsia"/>
                <w:color w:val="auto"/>
                <w:lang w:val="en-US" w:eastAsia="zh-CN"/>
              </w:rPr>
              <w:t>0.0439</w:t>
            </w:r>
          </w:p>
        </w:tc>
        <w:tc>
          <w:tcPr>
            <w:tcW w:w="1252" w:type="dxa"/>
            <w:tcBorders>
              <w:tl2br w:val="nil"/>
              <w:tr2bl w:val="nil"/>
            </w:tcBorders>
            <w:shd w:val="clear" w:color="auto" w:fill="auto"/>
            <w:noWrap/>
            <w:vAlign w:val="center"/>
          </w:tcPr>
          <w:p w14:paraId="7E3416BB">
            <w:pPr>
              <w:pStyle w:val="34"/>
              <w:tabs>
                <w:tab w:val="left" w:pos="1389"/>
              </w:tabs>
              <w:bidi w:val="0"/>
              <w:rPr>
                <w:rFonts w:hint="eastAsia"/>
                <w:color w:val="auto"/>
              </w:rPr>
            </w:pPr>
            <w:r>
              <w:rPr>
                <w:rFonts w:hint="eastAsia"/>
                <w:color w:val="auto"/>
                <w:lang w:val="en-US" w:eastAsia="zh-CN"/>
              </w:rPr>
              <w:t>0</w:t>
            </w:r>
          </w:p>
        </w:tc>
        <w:tc>
          <w:tcPr>
            <w:tcW w:w="867" w:type="dxa"/>
            <w:tcBorders>
              <w:tl2br w:val="nil"/>
              <w:tr2bl w:val="nil"/>
            </w:tcBorders>
            <w:shd w:val="clear" w:color="auto" w:fill="auto"/>
            <w:noWrap/>
            <w:vAlign w:val="center"/>
          </w:tcPr>
          <w:p w14:paraId="0FA3F872">
            <w:pPr>
              <w:pStyle w:val="34"/>
              <w:tabs>
                <w:tab w:val="left" w:pos="1389"/>
              </w:tabs>
              <w:bidi w:val="0"/>
              <w:rPr>
                <w:rFonts w:hint="eastAsia"/>
                <w:color w:val="auto"/>
              </w:rPr>
            </w:pPr>
            <w:r>
              <w:rPr>
                <w:rFonts w:hint="eastAsia"/>
                <w:color w:val="auto"/>
                <w:lang w:val="en-US" w:eastAsia="zh-CN"/>
              </w:rPr>
              <w:t>0.0439</w:t>
            </w:r>
          </w:p>
        </w:tc>
        <w:tc>
          <w:tcPr>
            <w:tcW w:w="1229" w:type="dxa"/>
            <w:tcBorders>
              <w:tl2br w:val="nil"/>
              <w:tr2bl w:val="nil"/>
            </w:tcBorders>
            <w:shd w:val="clear" w:color="auto" w:fill="auto"/>
            <w:vAlign w:val="center"/>
          </w:tcPr>
          <w:p w14:paraId="294304E3">
            <w:pPr>
              <w:pStyle w:val="34"/>
              <w:tabs>
                <w:tab w:val="left" w:pos="1389"/>
              </w:tabs>
              <w:bidi w:val="0"/>
              <w:rPr>
                <w:rFonts w:hint="eastAsia"/>
                <w:color w:val="auto"/>
              </w:rPr>
            </w:pPr>
            <w:r>
              <w:rPr>
                <w:rFonts w:hint="eastAsia"/>
                <w:color w:val="auto"/>
                <w:lang w:val="en-US" w:eastAsia="zh-CN"/>
              </w:rPr>
              <w:t>0.02</w:t>
            </w:r>
          </w:p>
        </w:tc>
      </w:tr>
      <w:tr w14:paraId="11145F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996" w:type="dxa"/>
            <w:gridSpan w:val="2"/>
            <w:tcBorders>
              <w:tl2br w:val="nil"/>
              <w:tr2bl w:val="nil"/>
            </w:tcBorders>
            <w:shd w:val="clear" w:color="auto" w:fill="auto"/>
            <w:noWrap/>
            <w:vAlign w:val="center"/>
          </w:tcPr>
          <w:p w14:paraId="2385861E">
            <w:pPr>
              <w:pStyle w:val="34"/>
              <w:tabs>
                <w:tab w:val="left" w:pos="1389"/>
              </w:tabs>
              <w:bidi w:val="0"/>
              <w:rPr>
                <w:rFonts w:hint="eastAsia"/>
                <w:color w:val="auto"/>
              </w:rPr>
            </w:pPr>
            <w:r>
              <w:rPr>
                <w:rFonts w:hint="eastAsia"/>
                <w:color w:val="auto"/>
                <w:lang w:val="en-US" w:eastAsia="zh-CN"/>
              </w:rPr>
              <w:t>无植被区</w:t>
            </w:r>
          </w:p>
        </w:tc>
        <w:tc>
          <w:tcPr>
            <w:tcW w:w="1275" w:type="dxa"/>
            <w:tcBorders>
              <w:tl2br w:val="nil"/>
              <w:tr2bl w:val="nil"/>
            </w:tcBorders>
            <w:shd w:val="clear" w:color="auto" w:fill="auto"/>
            <w:noWrap/>
            <w:vAlign w:val="center"/>
          </w:tcPr>
          <w:p w14:paraId="08682D67">
            <w:pPr>
              <w:pStyle w:val="34"/>
              <w:tabs>
                <w:tab w:val="left" w:pos="1389"/>
              </w:tabs>
              <w:bidi w:val="0"/>
              <w:rPr>
                <w:rFonts w:hint="eastAsia"/>
                <w:color w:val="auto"/>
              </w:rPr>
            </w:pPr>
            <w:r>
              <w:rPr>
                <w:rFonts w:hint="eastAsia"/>
                <w:color w:val="auto"/>
                <w:lang w:val="en-US" w:eastAsia="zh-CN"/>
              </w:rPr>
              <w:t>37.8916</w:t>
            </w:r>
          </w:p>
        </w:tc>
        <w:tc>
          <w:tcPr>
            <w:tcW w:w="1139" w:type="dxa"/>
            <w:tcBorders>
              <w:tl2br w:val="nil"/>
              <w:tr2bl w:val="nil"/>
            </w:tcBorders>
            <w:shd w:val="clear" w:color="auto" w:fill="auto"/>
            <w:noWrap/>
            <w:vAlign w:val="center"/>
          </w:tcPr>
          <w:p w14:paraId="456D8556">
            <w:pPr>
              <w:pStyle w:val="34"/>
              <w:tabs>
                <w:tab w:val="left" w:pos="1389"/>
              </w:tabs>
              <w:bidi w:val="0"/>
              <w:rPr>
                <w:rFonts w:hint="eastAsia"/>
                <w:color w:val="auto"/>
              </w:rPr>
            </w:pPr>
            <w:r>
              <w:rPr>
                <w:rFonts w:hint="eastAsia"/>
                <w:color w:val="auto"/>
                <w:lang w:val="en-US" w:eastAsia="zh-CN"/>
              </w:rPr>
              <w:t>0.0385</w:t>
            </w:r>
          </w:p>
        </w:tc>
        <w:tc>
          <w:tcPr>
            <w:tcW w:w="1229" w:type="dxa"/>
            <w:tcBorders>
              <w:tl2br w:val="nil"/>
              <w:tr2bl w:val="nil"/>
            </w:tcBorders>
            <w:shd w:val="clear" w:color="auto" w:fill="auto"/>
            <w:noWrap/>
            <w:vAlign w:val="center"/>
          </w:tcPr>
          <w:p w14:paraId="6E0857C9">
            <w:pPr>
              <w:pStyle w:val="34"/>
              <w:tabs>
                <w:tab w:val="left" w:pos="1389"/>
              </w:tabs>
              <w:bidi w:val="0"/>
              <w:rPr>
                <w:rFonts w:hint="eastAsia"/>
                <w:color w:val="auto"/>
              </w:rPr>
            </w:pPr>
            <w:r>
              <w:rPr>
                <w:rFonts w:hint="eastAsia"/>
                <w:color w:val="auto"/>
                <w:lang w:val="en-US" w:eastAsia="zh-CN"/>
              </w:rPr>
              <w:t>0.1340</w:t>
            </w:r>
          </w:p>
        </w:tc>
        <w:tc>
          <w:tcPr>
            <w:tcW w:w="1252" w:type="dxa"/>
            <w:tcBorders>
              <w:tl2br w:val="nil"/>
              <w:tr2bl w:val="nil"/>
            </w:tcBorders>
            <w:shd w:val="clear" w:color="auto" w:fill="auto"/>
            <w:noWrap/>
            <w:vAlign w:val="center"/>
          </w:tcPr>
          <w:p w14:paraId="41593345">
            <w:pPr>
              <w:pStyle w:val="34"/>
              <w:tabs>
                <w:tab w:val="left" w:pos="1389"/>
              </w:tabs>
              <w:bidi w:val="0"/>
              <w:rPr>
                <w:rFonts w:hint="eastAsia"/>
                <w:color w:val="auto"/>
              </w:rPr>
            </w:pPr>
            <w:r>
              <w:rPr>
                <w:rFonts w:hint="eastAsia"/>
                <w:color w:val="auto"/>
                <w:lang w:val="en-US" w:eastAsia="zh-CN"/>
              </w:rPr>
              <w:t>0</w:t>
            </w:r>
          </w:p>
        </w:tc>
        <w:tc>
          <w:tcPr>
            <w:tcW w:w="867" w:type="dxa"/>
            <w:tcBorders>
              <w:tl2br w:val="nil"/>
              <w:tr2bl w:val="nil"/>
            </w:tcBorders>
            <w:shd w:val="clear" w:color="auto" w:fill="auto"/>
            <w:noWrap/>
            <w:vAlign w:val="center"/>
          </w:tcPr>
          <w:p w14:paraId="537A5505">
            <w:pPr>
              <w:pStyle w:val="34"/>
              <w:tabs>
                <w:tab w:val="left" w:pos="1389"/>
              </w:tabs>
              <w:bidi w:val="0"/>
              <w:rPr>
                <w:rFonts w:hint="eastAsia"/>
                <w:color w:val="auto"/>
              </w:rPr>
            </w:pPr>
            <w:r>
              <w:rPr>
                <w:rFonts w:hint="eastAsia"/>
                <w:color w:val="auto"/>
                <w:lang w:val="en-US" w:eastAsia="zh-CN"/>
              </w:rPr>
              <w:t>0.1725</w:t>
            </w:r>
          </w:p>
        </w:tc>
        <w:tc>
          <w:tcPr>
            <w:tcW w:w="1229" w:type="dxa"/>
            <w:tcBorders>
              <w:tl2br w:val="nil"/>
              <w:tr2bl w:val="nil"/>
            </w:tcBorders>
            <w:shd w:val="clear" w:color="auto" w:fill="auto"/>
            <w:vAlign w:val="center"/>
          </w:tcPr>
          <w:p w14:paraId="46F5C16D">
            <w:pPr>
              <w:pStyle w:val="34"/>
              <w:tabs>
                <w:tab w:val="left" w:pos="1389"/>
              </w:tabs>
              <w:bidi w:val="0"/>
              <w:rPr>
                <w:rFonts w:hint="eastAsia"/>
                <w:color w:val="auto"/>
              </w:rPr>
            </w:pPr>
            <w:r>
              <w:rPr>
                <w:rFonts w:hint="eastAsia"/>
                <w:color w:val="auto"/>
                <w:lang w:val="en-US" w:eastAsia="zh-CN"/>
              </w:rPr>
              <w:t>0.46</w:t>
            </w:r>
          </w:p>
        </w:tc>
      </w:tr>
      <w:tr w14:paraId="5B6FC84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996" w:type="dxa"/>
            <w:gridSpan w:val="2"/>
            <w:tcBorders>
              <w:tl2br w:val="nil"/>
              <w:tr2bl w:val="nil"/>
            </w:tcBorders>
            <w:shd w:val="clear" w:color="auto" w:fill="auto"/>
            <w:noWrap/>
            <w:vAlign w:val="center"/>
          </w:tcPr>
          <w:p w14:paraId="4236A5E2">
            <w:pPr>
              <w:pStyle w:val="34"/>
              <w:tabs>
                <w:tab w:val="left" w:pos="1389"/>
              </w:tabs>
              <w:bidi w:val="0"/>
              <w:rPr>
                <w:rFonts w:hint="eastAsia"/>
                <w:color w:val="auto"/>
              </w:rPr>
            </w:pPr>
            <w:r>
              <w:rPr>
                <w:rFonts w:hint="eastAsia"/>
                <w:color w:val="auto"/>
                <w:lang w:val="en-US" w:eastAsia="zh-CN"/>
              </w:rPr>
              <w:t>合计</w:t>
            </w:r>
          </w:p>
        </w:tc>
        <w:tc>
          <w:tcPr>
            <w:tcW w:w="1275" w:type="dxa"/>
            <w:tcBorders>
              <w:tl2br w:val="nil"/>
              <w:tr2bl w:val="nil"/>
            </w:tcBorders>
            <w:shd w:val="clear" w:color="auto" w:fill="auto"/>
            <w:noWrap/>
            <w:vAlign w:val="center"/>
          </w:tcPr>
          <w:p w14:paraId="0173973D">
            <w:pPr>
              <w:pStyle w:val="34"/>
              <w:tabs>
                <w:tab w:val="left" w:pos="1389"/>
              </w:tabs>
              <w:bidi w:val="0"/>
              <w:rPr>
                <w:rFonts w:hint="eastAsia"/>
                <w:color w:val="auto"/>
              </w:rPr>
            </w:pPr>
            <w:r>
              <w:rPr>
                <w:rFonts w:hint="eastAsia"/>
                <w:color w:val="auto"/>
                <w:lang w:val="en-US" w:eastAsia="zh-CN"/>
              </w:rPr>
              <w:t>1135.3951</w:t>
            </w:r>
          </w:p>
        </w:tc>
        <w:tc>
          <w:tcPr>
            <w:tcW w:w="1139" w:type="dxa"/>
            <w:tcBorders>
              <w:tl2br w:val="nil"/>
              <w:tr2bl w:val="nil"/>
            </w:tcBorders>
            <w:shd w:val="clear" w:color="auto" w:fill="auto"/>
            <w:noWrap/>
            <w:vAlign w:val="center"/>
          </w:tcPr>
          <w:p w14:paraId="5B210CE3">
            <w:pPr>
              <w:pStyle w:val="34"/>
              <w:tabs>
                <w:tab w:val="left" w:pos="1389"/>
              </w:tabs>
              <w:bidi w:val="0"/>
              <w:rPr>
                <w:rFonts w:hint="eastAsia"/>
                <w:color w:val="auto"/>
              </w:rPr>
            </w:pPr>
            <w:r>
              <w:rPr>
                <w:rFonts w:hint="eastAsia"/>
                <w:color w:val="auto"/>
                <w:lang w:val="en-US" w:eastAsia="zh-CN"/>
              </w:rPr>
              <w:t>1.2278</w:t>
            </w:r>
          </w:p>
        </w:tc>
        <w:tc>
          <w:tcPr>
            <w:tcW w:w="1229" w:type="dxa"/>
            <w:tcBorders>
              <w:tl2br w:val="nil"/>
              <w:tr2bl w:val="nil"/>
            </w:tcBorders>
            <w:shd w:val="clear" w:color="auto" w:fill="auto"/>
            <w:noWrap/>
            <w:vAlign w:val="center"/>
          </w:tcPr>
          <w:p w14:paraId="4CA7155C">
            <w:pPr>
              <w:pStyle w:val="34"/>
              <w:tabs>
                <w:tab w:val="left" w:pos="1389"/>
              </w:tabs>
              <w:bidi w:val="0"/>
              <w:rPr>
                <w:rFonts w:hint="eastAsia"/>
                <w:color w:val="auto"/>
              </w:rPr>
            </w:pPr>
            <w:r>
              <w:rPr>
                <w:rFonts w:hint="eastAsia"/>
                <w:color w:val="auto"/>
                <w:lang w:val="en-US" w:eastAsia="zh-CN"/>
              </w:rPr>
              <w:t>1.2294</w:t>
            </w:r>
          </w:p>
        </w:tc>
        <w:tc>
          <w:tcPr>
            <w:tcW w:w="1252" w:type="dxa"/>
            <w:tcBorders>
              <w:tl2br w:val="nil"/>
              <w:tr2bl w:val="nil"/>
            </w:tcBorders>
            <w:shd w:val="clear" w:color="auto" w:fill="auto"/>
            <w:noWrap/>
            <w:vAlign w:val="center"/>
          </w:tcPr>
          <w:p w14:paraId="218785AA">
            <w:pPr>
              <w:pStyle w:val="34"/>
              <w:tabs>
                <w:tab w:val="left" w:pos="1389"/>
              </w:tabs>
              <w:bidi w:val="0"/>
              <w:rPr>
                <w:rFonts w:hint="eastAsia"/>
                <w:color w:val="auto"/>
              </w:rPr>
            </w:pPr>
            <w:r>
              <w:rPr>
                <w:rFonts w:hint="eastAsia"/>
                <w:color w:val="auto"/>
                <w:lang w:val="en-US" w:eastAsia="zh-CN"/>
              </w:rPr>
              <w:t>0.3179</w:t>
            </w:r>
          </w:p>
        </w:tc>
        <w:tc>
          <w:tcPr>
            <w:tcW w:w="867" w:type="dxa"/>
            <w:tcBorders>
              <w:tl2br w:val="nil"/>
              <w:tr2bl w:val="nil"/>
            </w:tcBorders>
            <w:shd w:val="clear" w:color="auto" w:fill="auto"/>
            <w:noWrap/>
            <w:vAlign w:val="center"/>
          </w:tcPr>
          <w:p w14:paraId="7997FD27">
            <w:pPr>
              <w:pStyle w:val="34"/>
              <w:tabs>
                <w:tab w:val="left" w:pos="1389"/>
              </w:tabs>
              <w:bidi w:val="0"/>
              <w:rPr>
                <w:rFonts w:hint="eastAsia"/>
                <w:color w:val="auto"/>
              </w:rPr>
            </w:pPr>
            <w:r>
              <w:rPr>
                <w:rFonts w:hint="eastAsia"/>
                <w:color w:val="auto"/>
                <w:lang w:val="en-US" w:eastAsia="zh-CN"/>
              </w:rPr>
              <w:t>2.7751</w:t>
            </w:r>
          </w:p>
        </w:tc>
        <w:tc>
          <w:tcPr>
            <w:tcW w:w="1229" w:type="dxa"/>
            <w:tcBorders>
              <w:tl2br w:val="nil"/>
              <w:tr2bl w:val="nil"/>
            </w:tcBorders>
            <w:shd w:val="clear" w:color="auto" w:fill="auto"/>
            <w:vAlign w:val="center"/>
          </w:tcPr>
          <w:p w14:paraId="1658A77D">
            <w:pPr>
              <w:pStyle w:val="34"/>
              <w:tabs>
                <w:tab w:val="left" w:pos="1389"/>
              </w:tabs>
              <w:bidi w:val="0"/>
              <w:rPr>
                <w:rFonts w:hint="eastAsia"/>
                <w:color w:val="auto"/>
              </w:rPr>
            </w:pPr>
            <w:r>
              <w:rPr>
                <w:rFonts w:hint="eastAsia"/>
                <w:color w:val="auto"/>
                <w:lang w:val="en-US" w:eastAsia="zh-CN"/>
              </w:rPr>
              <w:t>0.24</w:t>
            </w:r>
          </w:p>
        </w:tc>
      </w:tr>
    </w:tbl>
    <w:p w14:paraId="01AFC108">
      <w:pPr>
        <w:pStyle w:val="41"/>
        <w:bidi w:val="0"/>
        <w:rPr>
          <w:rFonts w:hint="eastAsia"/>
          <w:color w:val="auto"/>
          <w:lang w:val="en-US" w:eastAsia="zh-CN"/>
        </w:rPr>
      </w:pPr>
      <w:r>
        <w:rPr>
          <w:rFonts w:hint="eastAsia"/>
          <w:color w:val="auto"/>
          <w:lang w:val="en-US" w:eastAsia="zh-CN"/>
        </w:rPr>
        <w:t>综上，项目施工期永久和临时占地受影响的植被类型主要为禾草草丛、暖温性针叶林和少量的次生旱冬瓜林，其中禾草草丛以常见的次生性禾草植被为主，暖温性针叶林以次生性的云南松林和华山松林为主，此外，项目地埋电缆施工可能会造成部分耕地植被如玉米的破坏。在做好施工期管控的前提下，项目不超范围施工，不会对区域内的以滇青冈、滇石栎为主的半湿润常绿阔叶林和以粉叶小檗、栒子为主的暖温性石灰岩灌丛造成破坏。</w:t>
      </w:r>
    </w:p>
    <w:p w14:paraId="1AF6AE37">
      <w:pPr>
        <w:pStyle w:val="4"/>
        <w:bidi w:val="0"/>
        <w:rPr>
          <w:rFonts w:hint="default"/>
          <w:color w:val="auto"/>
          <w:lang w:val="en-US" w:eastAsia="zh-CN"/>
        </w:rPr>
      </w:pPr>
      <w:r>
        <w:rPr>
          <w:rFonts w:hint="eastAsia"/>
          <w:color w:val="auto"/>
          <w:lang w:val="en-US" w:eastAsia="zh-CN"/>
        </w:rPr>
        <w:t>3.2.2</w:t>
      </w:r>
      <w:r>
        <w:rPr>
          <w:rFonts w:hint="default"/>
          <w:color w:val="auto"/>
          <w:lang w:val="en-US" w:eastAsia="zh-CN"/>
        </w:rPr>
        <w:t>架空线路和升压站区</w:t>
      </w:r>
    </w:p>
    <w:p w14:paraId="4CF11957">
      <w:pPr>
        <w:pStyle w:val="41"/>
        <w:bidi w:val="0"/>
        <w:rPr>
          <w:rFonts w:hint="default"/>
          <w:color w:val="auto"/>
          <w:lang w:val="en-US" w:eastAsia="zh-CN"/>
        </w:rPr>
      </w:pPr>
      <w:r>
        <w:rPr>
          <w:rFonts w:hint="eastAsia"/>
          <w:color w:val="auto"/>
          <w:lang w:val="en-US" w:eastAsia="zh-CN"/>
        </w:rPr>
        <w:t>项目架空线路和升压站区不新增永久或临时占地，项目施工期做好施工管理，不超范围施工，约束施工人员活动，不乱砍滥伐，避免干扰周边自然植被，几乎不会对周边的植被造成不利影响。</w:t>
      </w:r>
    </w:p>
    <w:p w14:paraId="085BCE21">
      <w:pPr>
        <w:pStyle w:val="3"/>
        <w:bidi w:val="0"/>
        <w:rPr>
          <w:rFonts w:hint="eastAsia"/>
          <w:color w:val="auto"/>
          <w:lang w:val="en-US" w:eastAsia="zh-CN"/>
        </w:rPr>
      </w:pPr>
      <w:r>
        <w:rPr>
          <w:rFonts w:hint="eastAsia"/>
          <w:color w:val="auto"/>
          <w:lang w:val="en-US" w:eastAsia="zh-CN"/>
        </w:rPr>
        <w:t>3.3对植物资源的影响</w:t>
      </w:r>
    </w:p>
    <w:p w14:paraId="409FF94C">
      <w:pPr>
        <w:pStyle w:val="4"/>
        <w:bidi w:val="0"/>
        <w:rPr>
          <w:rFonts w:hint="eastAsia"/>
          <w:color w:val="auto"/>
          <w:lang w:val="en-US" w:eastAsia="zh-CN"/>
        </w:rPr>
      </w:pPr>
      <w:r>
        <w:rPr>
          <w:rFonts w:hint="eastAsia"/>
          <w:color w:val="auto"/>
          <w:lang w:val="en-US" w:eastAsia="zh-CN"/>
        </w:rPr>
        <w:t>3.3.1对评价区重点保护植物的影响</w:t>
      </w:r>
    </w:p>
    <w:p w14:paraId="6415512A">
      <w:pPr>
        <w:widowControl/>
        <w:adjustRightInd w:val="0"/>
        <w:spacing w:line="360" w:lineRule="auto"/>
        <w:ind w:firstLine="480" w:firstLineChars="200"/>
        <w:textAlignment w:val="baseline"/>
        <w:rPr>
          <w:rFonts w:hint="eastAsia"/>
          <w:color w:val="auto"/>
          <w:sz w:val="24"/>
          <w:highlight w:val="none"/>
        </w:rPr>
      </w:pPr>
      <w:r>
        <w:rPr>
          <w:color w:val="auto"/>
          <w:sz w:val="24"/>
          <w:szCs w:val="28"/>
          <w:highlight w:val="none"/>
        </w:rPr>
        <w:t>对照《国家重点保护野生植物名录》</w:t>
      </w:r>
      <w:r>
        <w:rPr>
          <w:rFonts w:hint="eastAsia" w:ascii="Times New Roman" w:hAnsi="Times New Roman" w:eastAsia="宋体" w:cs="Times New Roman"/>
          <w:color w:val="auto"/>
          <w:sz w:val="24"/>
          <w:szCs w:val="24"/>
        </w:rPr>
        <w:t>（2</w:t>
      </w:r>
      <w:r>
        <w:rPr>
          <w:rFonts w:hint="default" w:ascii="Times New Roman" w:hAnsi="Times New Roman" w:eastAsia="宋体" w:cs="Times New Roman"/>
          <w:color w:val="auto"/>
          <w:sz w:val="24"/>
          <w:szCs w:val="24"/>
        </w:rPr>
        <w:t>021</w:t>
      </w:r>
      <w:r>
        <w:rPr>
          <w:rFonts w:hint="eastAsia" w:ascii="Times New Roman" w:hAnsi="Times New Roman" w:eastAsia="宋体" w:cs="Times New Roman"/>
          <w:color w:val="auto"/>
          <w:sz w:val="24"/>
          <w:szCs w:val="24"/>
        </w:rPr>
        <w:t>版）</w:t>
      </w:r>
      <w:r>
        <w:rPr>
          <w:rFonts w:hint="eastAsia"/>
          <w:color w:val="auto"/>
          <w:sz w:val="24"/>
          <w:szCs w:val="28"/>
          <w:highlight w:val="none"/>
          <w:lang w:eastAsia="zh-CN"/>
        </w:rPr>
        <w:t>、</w:t>
      </w:r>
      <w:r>
        <w:rPr>
          <w:color w:val="auto"/>
          <w:sz w:val="24"/>
          <w:highlight w:val="none"/>
        </w:rPr>
        <w:t>《云南省重点保护野生植物名录》</w:t>
      </w:r>
      <w:r>
        <w:rPr>
          <w:rFonts w:hint="eastAsia" w:ascii="Times New Roman" w:hAnsi="Times New Roman" w:eastAsia="宋体" w:cs="Times New Roman"/>
          <w:color w:val="auto"/>
          <w:sz w:val="24"/>
          <w:szCs w:val="24"/>
        </w:rPr>
        <w:t>（2</w:t>
      </w:r>
      <w:r>
        <w:rPr>
          <w:rFonts w:hint="default" w:ascii="Times New Roman" w:hAnsi="Times New Roman" w:eastAsia="宋体" w:cs="Times New Roman"/>
          <w:color w:val="auto"/>
          <w:sz w:val="24"/>
          <w:szCs w:val="24"/>
        </w:rPr>
        <w:t>02</w:t>
      </w:r>
      <w:r>
        <w:rPr>
          <w:rFonts w:hint="eastAsia" w:cs="Times New Roman"/>
          <w:color w:val="auto"/>
          <w:sz w:val="24"/>
          <w:szCs w:val="24"/>
          <w:lang w:val="en-US" w:eastAsia="zh-CN"/>
        </w:rPr>
        <w:t>3</w:t>
      </w:r>
      <w:r>
        <w:rPr>
          <w:rFonts w:hint="eastAsia" w:ascii="Times New Roman" w:hAnsi="Times New Roman" w:eastAsia="宋体" w:cs="Times New Roman"/>
          <w:color w:val="auto"/>
          <w:sz w:val="24"/>
          <w:szCs w:val="24"/>
        </w:rPr>
        <w:t>版）</w:t>
      </w:r>
      <w:r>
        <w:rPr>
          <w:rFonts w:hint="eastAsia" w:cs="Times New Roman"/>
          <w:color w:val="auto"/>
          <w:sz w:val="24"/>
          <w:szCs w:val="24"/>
          <w:lang w:val="en-US" w:eastAsia="zh-CN"/>
        </w:rPr>
        <w:t>和</w:t>
      </w:r>
      <w:r>
        <w:rPr>
          <w:rFonts w:hint="eastAsia" w:ascii="Times New Roman" w:hAnsi="Times New Roman" w:eastAsia="宋体" w:cs="Times New Roman"/>
          <w:color w:val="auto"/>
          <w:sz w:val="24"/>
          <w:szCs w:val="24"/>
        </w:rPr>
        <w:t>《云南省极小种群野生植物保护名录》（2</w:t>
      </w:r>
      <w:r>
        <w:rPr>
          <w:rFonts w:hint="default" w:ascii="Times New Roman" w:hAnsi="Times New Roman" w:eastAsia="宋体" w:cs="Times New Roman"/>
          <w:color w:val="auto"/>
          <w:sz w:val="24"/>
          <w:szCs w:val="24"/>
        </w:rPr>
        <w:t>021</w:t>
      </w:r>
      <w:r>
        <w:rPr>
          <w:rFonts w:hint="eastAsia" w:ascii="Times New Roman" w:hAnsi="Times New Roman" w:eastAsia="宋体" w:cs="Times New Roman"/>
          <w:color w:val="auto"/>
          <w:sz w:val="24"/>
          <w:szCs w:val="24"/>
        </w:rPr>
        <w:t>版）</w:t>
      </w:r>
      <w:r>
        <w:rPr>
          <w:color w:val="auto"/>
          <w:sz w:val="24"/>
          <w:szCs w:val="28"/>
          <w:highlight w:val="none"/>
        </w:rPr>
        <w:t>，</w:t>
      </w:r>
      <w:r>
        <w:rPr>
          <w:rFonts w:hint="eastAsia"/>
          <w:color w:val="auto"/>
          <w:sz w:val="24"/>
          <w:szCs w:val="28"/>
          <w:highlight w:val="none"/>
          <w:lang w:val="en-US" w:eastAsia="zh-CN"/>
        </w:rPr>
        <w:t>项目评价区未发现国家和地方重点保护野生植物；</w:t>
      </w:r>
      <w:r>
        <w:rPr>
          <w:rFonts w:hint="eastAsia" w:ascii="Times New Roman" w:hAnsi="Times New Roman" w:eastAsia="宋体" w:cs="Times New Roman"/>
          <w:color w:val="auto"/>
          <w:kern w:val="0"/>
          <w:sz w:val="24"/>
          <w:szCs w:val="24"/>
          <w:highlight w:val="none"/>
          <w:lang w:val="en-US" w:eastAsia="zh-CN"/>
        </w:rPr>
        <w:t>对照《中国生物多样性红色名录——高等植物卷》（2020），评价区未调查到极危、濒危、易危等受威胁的物种</w:t>
      </w:r>
      <w:r>
        <w:rPr>
          <w:rFonts w:hint="eastAsia" w:cs="Times New Roman"/>
          <w:color w:val="auto"/>
          <w:kern w:val="0"/>
          <w:sz w:val="24"/>
          <w:szCs w:val="24"/>
          <w:highlight w:val="none"/>
          <w:lang w:val="en-US" w:eastAsia="zh-CN"/>
        </w:rPr>
        <w:t>；</w:t>
      </w:r>
      <w:r>
        <w:rPr>
          <w:rFonts w:hint="eastAsia"/>
          <w:color w:val="auto"/>
          <w:sz w:val="24"/>
          <w:highlight w:val="none"/>
        </w:rPr>
        <w:t>依据《云南省极小种群野生植物保护名录（2021年）》及《全国极小种群野生植物拯救保护工程规划（2011—2015年）》本次调查未见有极小种群物种分布。</w:t>
      </w:r>
    </w:p>
    <w:p w14:paraId="518ED0F5">
      <w:pPr>
        <w:pStyle w:val="41"/>
        <w:bidi w:val="0"/>
        <w:rPr>
          <w:rFonts w:hint="default"/>
          <w:color w:val="auto"/>
          <w:lang w:val="en-US"/>
        </w:rPr>
      </w:pPr>
      <w:r>
        <w:rPr>
          <w:rFonts w:hint="eastAsia" w:cs="Times New Roman"/>
          <w:color w:val="auto"/>
          <w:kern w:val="0"/>
          <w:sz w:val="24"/>
          <w:szCs w:val="24"/>
          <w:highlight w:val="none"/>
          <w:lang w:val="en-US" w:eastAsia="zh-CN"/>
        </w:rPr>
        <w:t>综上，由于未在评价区内发现重要植物，因此项目建设对重点保护植物基本不会造成影响。由于热水镇乃至整个宣威市都属于云南省常见国家二级保护植物金荞麦和金铁锁的分布区域，项目在施工中需留意这两种保护植物，施工期间一旦发现金荞麦和金铁锁应进行挂牌保护。</w:t>
      </w:r>
    </w:p>
    <w:p w14:paraId="486239F2">
      <w:pPr>
        <w:pStyle w:val="4"/>
        <w:bidi w:val="0"/>
        <w:rPr>
          <w:rFonts w:hint="eastAsia"/>
          <w:color w:val="auto"/>
          <w:lang w:val="en-US" w:eastAsia="zh-CN"/>
        </w:rPr>
      </w:pPr>
      <w:r>
        <w:rPr>
          <w:rFonts w:hint="eastAsia"/>
          <w:color w:val="auto"/>
          <w:lang w:val="en-US" w:eastAsia="zh-CN"/>
        </w:rPr>
        <w:t>3.3.2对一般植物物种的影响</w:t>
      </w:r>
    </w:p>
    <w:p w14:paraId="7B0ECF10">
      <w:pPr>
        <w:pStyle w:val="41"/>
        <w:bidi w:val="0"/>
        <w:rPr>
          <w:color w:val="auto"/>
          <w:highlight w:val="none"/>
        </w:rPr>
      </w:pPr>
      <w:r>
        <w:rPr>
          <w:color w:val="auto"/>
        </w:rPr>
        <w:t>现场调查表明，工程</w:t>
      </w:r>
      <w:r>
        <w:rPr>
          <w:rFonts w:hint="eastAsia"/>
          <w:color w:val="auto"/>
          <w:lang w:val="en-US" w:eastAsia="zh-CN"/>
        </w:rPr>
        <w:t>区域内</w:t>
      </w:r>
      <w:r>
        <w:rPr>
          <w:color w:val="auto"/>
        </w:rPr>
        <w:t>分布野生维管束植物种类多数是当地以及滇东、滇东</w:t>
      </w:r>
      <w:r>
        <w:rPr>
          <w:color w:val="auto"/>
          <w:highlight w:val="none"/>
        </w:rPr>
        <w:t>北地区乃至云南省常见的种类，或者俗称的田间杂草，如</w:t>
      </w:r>
      <w:r>
        <w:rPr>
          <w:rFonts w:hint="eastAsia"/>
          <w:color w:val="auto"/>
          <w:highlight w:val="none"/>
          <w:lang w:val="en-US" w:eastAsia="zh-CN"/>
        </w:rPr>
        <w:t>蕨</w:t>
      </w:r>
      <w:r>
        <w:rPr>
          <w:rFonts w:hint="default"/>
          <w:i/>
          <w:iCs/>
          <w:color w:val="auto"/>
          <w:highlight w:val="none"/>
          <w:lang w:val="en-US" w:eastAsia="zh-CN"/>
        </w:rPr>
        <w:t>Pteridiuma</w:t>
      </w:r>
      <w:r>
        <w:rPr>
          <w:rFonts w:hint="eastAsia"/>
          <w:i/>
          <w:iCs/>
          <w:color w:val="auto"/>
          <w:highlight w:val="none"/>
          <w:lang w:val="en-US" w:eastAsia="zh-CN"/>
        </w:rPr>
        <w:t xml:space="preserve"> </w:t>
      </w:r>
      <w:r>
        <w:rPr>
          <w:rFonts w:hint="default"/>
          <w:i/>
          <w:iCs/>
          <w:color w:val="auto"/>
          <w:highlight w:val="none"/>
          <w:lang w:val="en-US" w:eastAsia="zh-CN"/>
        </w:rPr>
        <w:t>quilinum</w:t>
      </w:r>
      <w:r>
        <w:rPr>
          <w:rFonts w:hint="eastAsia"/>
          <w:color w:val="auto"/>
          <w:highlight w:val="none"/>
          <w:lang w:val="en-US" w:eastAsia="zh-CN"/>
        </w:rPr>
        <w:t>、白茅</w:t>
      </w:r>
      <w:r>
        <w:rPr>
          <w:rFonts w:hint="eastAsia"/>
          <w:i/>
          <w:iCs/>
          <w:color w:val="auto"/>
          <w:highlight w:val="none"/>
          <w:lang w:val="en-US" w:eastAsia="zh-CN"/>
        </w:rPr>
        <w:t>Imperata cylindrica</w:t>
      </w:r>
      <w:r>
        <w:rPr>
          <w:rFonts w:hint="eastAsia"/>
          <w:color w:val="auto"/>
          <w:highlight w:val="none"/>
          <w:lang w:val="en-US" w:eastAsia="zh-CN"/>
        </w:rPr>
        <w:t>、西南委陵菜</w:t>
      </w:r>
      <w:r>
        <w:rPr>
          <w:rFonts w:hint="eastAsia"/>
          <w:i/>
          <w:iCs/>
          <w:color w:val="auto"/>
          <w:highlight w:val="none"/>
          <w:lang w:val="en-US" w:eastAsia="zh-CN"/>
        </w:rPr>
        <w:t>Potentillaf ulgens</w:t>
      </w:r>
      <w:r>
        <w:rPr>
          <w:rFonts w:hint="eastAsia"/>
          <w:color w:val="auto"/>
          <w:highlight w:val="none"/>
          <w:lang w:val="en-US" w:eastAsia="zh-CN"/>
        </w:rPr>
        <w:t>、云南莎草</w:t>
      </w:r>
      <w:r>
        <w:rPr>
          <w:rFonts w:hint="eastAsia"/>
          <w:i/>
          <w:iCs/>
          <w:color w:val="auto"/>
          <w:highlight w:val="none"/>
          <w:lang w:val="en-US" w:eastAsia="zh-CN"/>
        </w:rPr>
        <w:t>Cyperus duclouxii</w:t>
      </w:r>
      <w:r>
        <w:rPr>
          <w:rFonts w:hint="eastAsia"/>
          <w:color w:val="auto"/>
          <w:highlight w:val="none"/>
          <w:lang w:val="en-US" w:eastAsia="zh-CN"/>
        </w:rPr>
        <w:t>、滇香薷</w:t>
      </w:r>
      <w:r>
        <w:rPr>
          <w:rFonts w:hint="eastAsia"/>
          <w:i/>
          <w:iCs/>
          <w:color w:val="auto"/>
          <w:highlight w:val="none"/>
          <w:lang w:val="en-US" w:eastAsia="zh-CN"/>
        </w:rPr>
        <w:t>Origanum vulgare</w:t>
      </w:r>
      <w:r>
        <w:rPr>
          <w:rFonts w:hint="eastAsia"/>
          <w:color w:val="auto"/>
          <w:highlight w:val="none"/>
          <w:lang w:val="en-US" w:eastAsia="zh-CN"/>
        </w:rPr>
        <w:t>、荩草</w:t>
      </w:r>
      <w:r>
        <w:rPr>
          <w:rFonts w:hint="eastAsia"/>
          <w:i/>
          <w:iCs/>
          <w:color w:val="auto"/>
          <w:highlight w:val="none"/>
          <w:lang w:val="en-US" w:eastAsia="zh-CN"/>
        </w:rPr>
        <w:t>Arthraxoni spidus</w:t>
      </w:r>
      <w:r>
        <w:rPr>
          <w:rFonts w:hint="eastAsia"/>
          <w:color w:val="auto"/>
          <w:highlight w:val="none"/>
          <w:lang w:val="en-US" w:eastAsia="zh-CN"/>
        </w:rPr>
        <w:t>、云南龙胆</w:t>
      </w:r>
      <w:r>
        <w:rPr>
          <w:rFonts w:hint="default"/>
          <w:i/>
          <w:iCs/>
          <w:color w:val="auto"/>
          <w:highlight w:val="none"/>
          <w:lang w:val="en-US" w:eastAsia="zh-CN"/>
        </w:rPr>
        <w:t>Gentiana</w:t>
      </w:r>
      <w:r>
        <w:rPr>
          <w:rFonts w:hint="eastAsia"/>
          <w:i/>
          <w:iCs/>
          <w:color w:val="auto"/>
          <w:highlight w:val="none"/>
          <w:lang w:val="en-US" w:eastAsia="zh-CN"/>
        </w:rPr>
        <w:t xml:space="preserve"> </w:t>
      </w:r>
      <w:r>
        <w:rPr>
          <w:rFonts w:hint="default"/>
          <w:i/>
          <w:iCs/>
          <w:color w:val="auto"/>
          <w:highlight w:val="none"/>
          <w:lang w:val="en-US" w:eastAsia="zh-CN"/>
        </w:rPr>
        <w:t>yunnanensis</w:t>
      </w:r>
      <w:r>
        <w:rPr>
          <w:rFonts w:hint="eastAsia"/>
          <w:color w:val="auto"/>
          <w:highlight w:val="none"/>
          <w:lang w:val="en-US" w:eastAsia="zh-CN"/>
        </w:rPr>
        <w:t>、蔗茅</w:t>
      </w:r>
      <w:r>
        <w:rPr>
          <w:rFonts w:hint="default"/>
          <w:i/>
          <w:iCs/>
          <w:color w:val="auto"/>
          <w:highlight w:val="none"/>
          <w:lang w:val="en-US" w:eastAsia="zh-CN"/>
        </w:rPr>
        <w:t>Erianthusru</w:t>
      </w:r>
      <w:r>
        <w:rPr>
          <w:rFonts w:hint="eastAsia"/>
          <w:i/>
          <w:iCs/>
          <w:color w:val="auto"/>
          <w:highlight w:val="none"/>
          <w:lang w:val="en-US" w:eastAsia="zh-CN"/>
        </w:rPr>
        <w:t xml:space="preserve"> </w:t>
      </w:r>
      <w:r>
        <w:rPr>
          <w:rFonts w:hint="default"/>
          <w:i/>
          <w:iCs/>
          <w:color w:val="auto"/>
          <w:highlight w:val="none"/>
          <w:lang w:val="en-US" w:eastAsia="zh-CN"/>
        </w:rPr>
        <w:t>fipilus</w:t>
      </w:r>
      <w:r>
        <w:rPr>
          <w:color w:val="auto"/>
          <w:highlight w:val="none"/>
        </w:rPr>
        <w:t>等。</w:t>
      </w:r>
    </w:p>
    <w:p w14:paraId="136F3435">
      <w:pPr>
        <w:pStyle w:val="41"/>
        <w:bidi w:val="0"/>
        <w:rPr>
          <w:color w:val="auto"/>
        </w:rPr>
      </w:pPr>
      <w:r>
        <w:rPr>
          <w:color w:val="auto"/>
        </w:rPr>
        <w:t>这些常见植物在评价区分布很广，虽然其中部分个体会随着工程建设而消失，对评价区的生物多样性产生一定的负面影响。但是，由于它们是一些广布种，甚至是阳性杂草，在评价区内外分布广泛，受工程影响的个体较少，没有一个物种种群结构</w:t>
      </w:r>
      <w:r>
        <w:rPr>
          <w:rFonts w:hint="eastAsia"/>
          <w:color w:val="auto"/>
          <w:lang w:eastAsia="zh-CN"/>
        </w:rPr>
        <w:t>的</w:t>
      </w:r>
      <w:r>
        <w:rPr>
          <w:rFonts w:hint="eastAsia"/>
          <w:color w:val="auto"/>
          <w:lang w:val="en-US" w:eastAsia="zh-CN"/>
        </w:rPr>
        <w:t>繁衍</w:t>
      </w:r>
      <w:r>
        <w:rPr>
          <w:color w:val="auto"/>
        </w:rPr>
        <w:t>会因此受到显著影响，更不会</w:t>
      </w:r>
      <w:r>
        <w:rPr>
          <w:rFonts w:hint="eastAsia"/>
          <w:color w:val="auto"/>
          <w:lang w:val="en-US" w:eastAsia="zh-CN"/>
        </w:rPr>
        <w:t>灭绝</w:t>
      </w:r>
      <w:r>
        <w:rPr>
          <w:color w:val="auto"/>
        </w:rPr>
        <w:t>。因此，该工程建设对评价区的植物种类的影响</w:t>
      </w:r>
      <w:r>
        <w:rPr>
          <w:rFonts w:hint="eastAsia"/>
          <w:color w:val="auto"/>
        </w:rPr>
        <w:t>小</w:t>
      </w:r>
      <w:r>
        <w:rPr>
          <w:color w:val="auto"/>
        </w:rPr>
        <w:t>。</w:t>
      </w:r>
    </w:p>
    <w:p w14:paraId="4B212D9E">
      <w:pPr>
        <w:pStyle w:val="41"/>
        <w:bidi w:val="0"/>
        <w:rPr>
          <w:rFonts w:hint="eastAsia"/>
          <w:color w:val="auto"/>
        </w:rPr>
      </w:pPr>
      <w:r>
        <w:rPr>
          <w:rFonts w:hint="eastAsia"/>
          <w:color w:val="auto"/>
        </w:rPr>
        <w:t>综上所述，本项目的建设对评价区内的植物资源影响低。</w:t>
      </w:r>
    </w:p>
    <w:p w14:paraId="4156E564">
      <w:pPr>
        <w:pStyle w:val="3"/>
        <w:bidi w:val="0"/>
        <w:rPr>
          <w:rFonts w:hint="eastAsia"/>
          <w:color w:val="auto"/>
        </w:rPr>
      </w:pPr>
      <w:r>
        <w:rPr>
          <w:rFonts w:hint="eastAsia"/>
          <w:color w:val="auto"/>
          <w:lang w:val="en-US" w:eastAsia="zh-CN"/>
        </w:rPr>
        <w:t>3.4对动物资源的影响评价</w:t>
      </w:r>
    </w:p>
    <w:p w14:paraId="7D24B872">
      <w:pPr>
        <w:numPr>
          <w:ilvl w:val="0"/>
          <w:numId w:val="0"/>
        </w:numPr>
        <w:spacing w:line="360" w:lineRule="auto"/>
        <w:ind w:firstLine="480" w:firstLineChars="200"/>
        <w:rPr>
          <w:color w:val="auto"/>
          <w:sz w:val="24"/>
          <w:highlight w:val="none"/>
        </w:rPr>
      </w:pPr>
      <w:r>
        <w:rPr>
          <w:rFonts w:ascii="宋体" w:hAnsi="宋体" w:eastAsia="宋体" w:cs="宋体"/>
          <w:b w:val="0"/>
          <w:bCs w:val="0"/>
          <w:color w:val="auto"/>
          <w:sz w:val="24"/>
          <w:szCs w:val="24"/>
        </w:rPr>
        <w:t>施工活动导致施工区局部范围内的环境发生变化，其中也包括植被的变化，可能改变</w:t>
      </w:r>
      <w:r>
        <w:rPr>
          <w:rFonts w:hint="eastAsia" w:ascii="宋体" w:hAnsi="宋体" w:eastAsia="宋体" w:cs="宋体"/>
          <w:b w:val="0"/>
          <w:bCs w:val="0"/>
          <w:color w:val="auto"/>
          <w:sz w:val="24"/>
          <w:szCs w:val="24"/>
          <w:lang w:val="en-US" w:eastAsia="zh-CN"/>
        </w:rPr>
        <w:t>部分</w:t>
      </w:r>
      <w:r>
        <w:rPr>
          <w:rFonts w:ascii="宋体" w:hAnsi="宋体" w:eastAsia="宋体" w:cs="宋体"/>
          <w:b w:val="0"/>
          <w:bCs w:val="0"/>
          <w:color w:val="auto"/>
          <w:sz w:val="24"/>
          <w:szCs w:val="24"/>
        </w:rPr>
        <w:t>动物的栖息环境，将影响兽类、爬行类和两栖类等动物原有的</w:t>
      </w:r>
      <w:r>
        <w:rPr>
          <w:rFonts w:hint="eastAsia" w:ascii="宋体" w:hAnsi="宋体" w:eastAsia="宋体" w:cs="宋体"/>
          <w:b w:val="0"/>
          <w:bCs w:val="0"/>
          <w:color w:val="auto"/>
          <w:sz w:val="24"/>
          <w:szCs w:val="24"/>
          <w:lang w:val="en-US" w:eastAsia="zh-CN"/>
        </w:rPr>
        <w:t>食源、繁殖地和</w:t>
      </w:r>
      <w:r>
        <w:rPr>
          <w:rFonts w:ascii="宋体" w:hAnsi="宋体" w:eastAsia="宋体" w:cs="宋体"/>
          <w:b w:val="0"/>
          <w:bCs w:val="0"/>
          <w:color w:val="auto"/>
          <w:sz w:val="24"/>
          <w:szCs w:val="24"/>
        </w:rPr>
        <w:t>栖息地等</w:t>
      </w:r>
      <w:r>
        <w:rPr>
          <w:rFonts w:hint="eastAsia" w:ascii="宋体" w:hAnsi="宋体" w:cs="宋体"/>
          <w:b w:val="0"/>
          <w:bCs w:val="0"/>
          <w:color w:val="auto"/>
          <w:sz w:val="24"/>
          <w:szCs w:val="24"/>
          <w:lang w:eastAsia="zh-CN"/>
        </w:rPr>
        <w:t>。</w:t>
      </w:r>
      <w:r>
        <w:rPr>
          <w:rFonts w:hint="eastAsia" w:ascii="宋体" w:hAnsi="宋体" w:cs="宋体"/>
          <w:b w:val="0"/>
          <w:bCs w:val="0"/>
          <w:color w:val="auto"/>
          <w:sz w:val="24"/>
          <w:szCs w:val="24"/>
          <w:lang w:val="en-US" w:eastAsia="zh-CN"/>
        </w:rPr>
        <w:t>此外，</w:t>
      </w:r>
      <w:r>
        <w:rPr>
          <w:color w:val="auto"/>
          <w:sz w:val="24"/>
          <w:highlight w:val="none"/>
        </w:rPr>
        <w:t>施工机械噪声和人员活动噪声</w:t>
      </w:r>
      <w:r>
        <w:rPr>
          <w:rFonts w:hint="eastAsia"/>
          <w:color w:val="auto"/>
          <w:sz w:val="24"/>
          <w:highlight w:val="none"/>
          <w:lang w:val="en-US" w:eastAsia="zh-CN"/>
        </w:rPr>
        <w:t>较大，</w:t>
      </w:r>
      <w:r>
        <w:rPr>
          <w:rFonts w:ascii="宋体" w:hAnsi="宋体" w:eastAsia="宋体" w:cs="宋体"/>
          <w:b w:val="0"/>
          <w:bCs w:val="0"/>
          <w:color w:val="auto"/>
          <w:sz w:val="24"/>
          <w:szCs w:val="24"/>
        </w:rPr>
        <w:t>驱使动物远离施工现场，选择适宜的生境</w:t>
      </w:r>
      <w:r>
        <w:rPr>
          <w:rFonts w:hint="eastAsia" w:ascii="宋体" w:hAnsi="宋体" w:cs="宋体"/>
          <w:b w:val="0"/>
          <w:bCs w:val="0"/>
          <w:color w:val="auto"/>
          <w:sz w:val="24"/>
          <w:szCs w:val="24"/>
          <w:lang w:val="en-US" w:eastAsia="zh-CN"/>
        </w:rPr>
        <w:t>活动，</w:t>
      </w:r>
      <w:r>
        <w:rPr>
          <w:rFonts w:ascii="宋体" w:hAnsi="宋体" w:eastAsia="宋体" w:cs="宋体"/>
          <w:b w:val="0"/>
          <w:bCs w:val="0"/>
          <w:color w:val="auto"/>
          <w:sz w:val="24"/>
          <w:szCs w:val="24"/>
        </w:rPr>
        <w:t>不会造成动物大量直接死亡。待施工结束，这些动物又会回迁到该</w:t>
      </w:r>
      <w:r>
        <w:rPr>
          <w:rFonts w:hint="eastAsia" w:ascii="宋体" w:hAnsi="宋体" w:eastAsia="宋体" w:cs="宋体"/>
          <w:b w:val="0"/>
          <w:bCs w:val="0"/>
          <w:color w:val="auto"/>
          <w:sz w:val="24"/>
          <w:szCs w:val="24"/>
          <w:lang w:val="en-US" w:eastAsia="zh-CN"/>
        </w:rPr>
        <w:t>区域</w:t>
      </w:r>
      <w:r>
        <w:rPr>
          <w:rFonts w:ascii="宋体" w:hAnsi="宋体" w:eastAsia="宋体" w:cs="宋体"/>
          <w:b w:val="0"/>
          <w:bCs w:val="0"/>
          <w:color w:val="auto"/>
          <w:sz w:val="24"/>
          <w:szCs w:val="24"/>
        </w:rPr>
        <w:t>活动。</w:t>
      </w:r>
    </w:p>
    <w:p w14:paraId="43A0F28B">
      <w:pPr>
        <w:pStyle w:val="4"/>
        <w:bidi w:val="0"/>
        <w:rPr>
          <w:color w:val="auto"/>
        </w:rPr>
      </w:pPr>
      <w:r>
        <w:rPr>
          <w:rFonts w:hint="eastAsia"/>
          <w:color w:val="auto"/>
          <w:lang w:val="en-US" w:eastAsia="zh-CN"/>
        </w:rPr>
        <w:t>3.4.1</w:t>
      </w:r>
      <w:r>
        <w:rPr>
          <w:color w:val="auto"/>
        </w:rPr>
        <w:t>对两栖爬行类的影响</w:t>
      </w:r>
    </w:p>
    <w:p w14:paraId="23192A3B">
      <w:pPr>
        <w:spacing w:line="360" w:lineRule="auto"/>
        <w:ind w:firstLine="480" w:firstLineChars="200"/>
        <w:rPr>
          <w:color w:val="auto"/>
          <w:sz w:val="24"/>
          <w:highlight w:val="none"/>
        </w:rPr>
      </w:pPr>
      <w:r>
        <w:rPr>
          <w:color w:val="auto"/>
          <w:sz w:val="24"/>
          <w:highlight w:val="none"/>
        </w:rPr>
        <w:t>施工机械</w:t>
      </w:r>
      <w:r>
        <w:rPr>
          <w:rFonts w:hint="eastAsia"/>
          <w:color w:val="auto"/>
          <w:sz w:val="24"/>
          <w:highlight w:val="none"/>
          <w:lang w:val="en-US" w:eastAsia="zh-CN"/>
        </w:rPr>
        <w:t>设备及</w:t>
      </w:r>
      <w:r>
        <w:rPr>
          <w:color w:val="auto"/>
          <w:sz w:val="24"/>
          <w:highlight w:val="none"/>
        </w:rPr>
        <w:t>人员进入</w:t>
      </w:r>
      <w:r>
        <w:rPr>
          <w:rFonts w:hint="eastAsia"/>
          <w:color w:val="auto"/>
          <w:sz w:val="24"/>
          <w:highlight w:val="none"/>
          <w:lang w:val="en-US" w:eastAsia="zh-CN"/>
        </w:rPr>
        <w:t>施工区</w:t>
      </w:r>
      <w:r>
        <w:rPr>
          <w:rFonts w:hint="eastAsia"/>
          <w:color w:val="auto"/>
          <w:sz w:val="24"/>
          <w:highlight w:val="none"/>
          <w:lang w:eastAsia="zh-CN"/>
        </w:rPr>
        <w:t>，</w:t>
      </w:r>
      <w:r>
        <w:rPr>
          <w:color w:val="auto"/>
          <w:sz w:val="24"/>
          <w:highlight w:val="none"/>
        </w:rPr>
        <w:t>临时施工场地</w:t>
      </w:r>
      <w:r>
        <w:rPr>
          <w:rFonts w:hint="eastAsia"/>
          <w:color w:val="auto"/>
          <w:sz w:val="24"/>
          <w:highlight w:val="none"/>
          <w:lang w:eastAsia="zh-CN"/>
        </w:rPr>
        <w:t>、</w:t>
      </w:r>
      <w:r>
        <w:rPr>
          <w:color w:val="auto"/>
          <w:sz w:val="24"/>
          <w:highlight w:val="none"/>
        </w:rPr>
        <w:t>道路</w:t>
      </w:r>
      <w:r>
        <w:rPr>
          <w:rFonts w:hint="eastAsia"/>
          <w:color w:val="auto"/>
          <w:sz w:val="24"/>
          <w:highlight w:val="none"/>
          <w:lang w:eastAsia="zh-CN"/>
        </w:rPr>
        <w:t>、</w:t>
      </w:r>
      <w:r>
        <w:rPr>
          <w:rFonts w:hint="eastAsia"/>
          <w:color w:val="auto"/>
          <w:sz w:val="24"/>
          <w:highlight w:val="none"/>
          <w:lang w:val="en-US" w:eastAsia="zh-CN"/>
        </w:rPr>
        <w:t>风机平台的建设</w:t>
      </w:r>
      <w:r>
        <w:rPr>
          <w:color w:val="auto"/>
          <w:sz w:val="24"/>
          <w:highlight w:val="none"/>
        </w:rPr>
        <w:t>造成部分生境破坏，但这种影响是可逆的。工程施工同样会影响到两栖爬行动物。这种影响主要是施工扰动迫使它们远离施工区，其次在新植被形成之前，这里没有动物的隐蔽场所，太阳光直射，蛙类、蛇类可能显著减少。</w:t>
      </w:r>
    </w:p>
    <w:p w14:paraId="4A4CA5E8">
      <w:pPr>
        <w:pStyle w:val="4"/>
        <w:bidi w:val="0"/>
        <w:rPr>
          <w:color w:val="auto"/>
        </w:rPr>
      </w:pPr>
      <w:r>
        <w:rPr>
          <w:rFonts w:hint="eastAsia"/>
          <w:color w:val="auto"/>
          <w:lang w:val="en-US" w:eastAsia="zh-CN"/>
        </w:rPr>
        <w:t>3.4.2</w:t>
      </w:r>
      <w:r>
        <w:rPr>
          <w:color w:val="auto"/>
        </w:rPr>
        <w:t>对兽类的影响</w:t>
      </w:r>
    </w:p>
    <w:p w14:paraId="6C3AE7DC">
      <w:pPr>
        <w:spacing w:line="360" w:lineRule="auto"/>
        <w:ind w:firstLine="480" w:firstLineChars="200"/>
        <w:rPr>
          <w:color w:val="auto"/>
          <w:sz w:val="24"/>
          <w:highlight w:val="none"/>
        </w:rPr>
      </w:pPr>
      <w:r>
        <w:rPr>
          <w:rFonts w:hint="eastAsia"/>
          <w:color w:val="auto"/>
          <w:sz w:val="24"/>
          <w:highlight w:val="none"/>
          <w:lang w:val="en-US" w:eastAsia="zh-CN"/>
        </w:rPr>
        <w:t>施工活动</w:t>
      </w:r>
      <w:r>
        <w:rPr>
          <w:color w:val="auto"/>
          <w:sz w:val="24"/>
          <w:highlight w:val="none"/>
        </w:rPr>
        <w:t>破坏了部分兽类的栖息地，造成它们的迁移及种群数量的减少。施工期噪</w:t>
      </w:r>
      <w:r>
        <w:rPr>
          <w:rFonts w:hint="eastAsia"/>
          <w:color w:val="auto"/>
          <w:sz w:val="24"/>
          <w:highlight w:val="none"/>
        </w:rPr>
        <w:t>声</w:t>
      </w:r>
      <w:r>
        <w:rPr>
          <w:color w:val="auto"/>
          <w:sz w:val="24"/>
          <w:highlight w:val="none"/>
        </w:rPr>
        <w:t>、废水废气也是使这些中小型兽类迁移的重要原因之一。大量施工人员进入施工现场促使伴随人类生活的鼠类的种群数量将有较大增长，</w:t>
      </w:r>
      <w:r>
        <w:rPr>
          <w:rFonts w:hint="eastAsia"/>
          <w:color w:val="auto"/>
          <w:sz w:val="24"/>
          <w:highlight w:val="none"/>
          <w:lang w:val="en-US" w:eastAsia="zh-CN"/>
        </w:rPr>
        <w:t>同时</w:t>
      </w:r>
      <w:r>
        <w:rPr>
          <w:color w:val="auto"/>
          <w:sz w:val="24"/>
          <w:highlight w:val="none"/>
        </w:rPr>
        <w:t>，主要以鼠类为</w:t>
      </w:r>
      <w:r>
        <w:rPr>
          <w:rFonts w:hint="eastAsia"/>
          <w:color w:val="auto"/>
          <w:sz w:val="24"/>
          <w:highlight w:val="none"/>
          <w:lang w:eastAsia="zh-CN"/>
        </w:rPr>
        <w:t>食</w:t>
      </w:r>
      <w:r>
        <w:rPr>
          <w:color w:val="auto"/>
          <w:sz w:val="24"/>
          <w:highlight w:val="none"/>
        </w:rPr>
        <w:t>的黄鼬等种群数量也会增加。</w:t>
      </w:r>
    </w:p>
    <w:p w14:paraId="5B28CFF7">
      <w:pPr>
        <w:pStyle w:val="4"/>
        <w:bidi w:val="0"/>
        <w:rPr>
          <w:color w:val="auto"/>
        </w:rPr>
      </w:pPr>
      <w:r>
        <w:rPr>
          <w:rFonts w:hint="eastAsia"/>
          <w:color w:val="auto"/>
          <w:lang w:val="en-US" w:eastAsia="zh-CN"/>
        </w:rPr>
        <w:t>3.4.3</w:t>
      </w:r>
      <w:r>
        <w:rPr>
          <w:color w:val="auto"/>
        </w:rPr>
        <w:t>对鸟类的影响</w:t>
      </w:r>
    </w:p>
    <w:p w14:paraId="3DBDC53E">
      <w:pPr>
        <w:spacing w:line="360" w:lineRule="auto"/>
        <w:ind w:firstLine="480" w:firstLineChars="200"/>
        <w:jc w:val="left"/>
        <w:rPr>
          <w:color w:val="auto"/>
          <w:sz w:val="24"/>
          <w:highlight w:val="none"/>
        </w:rPr>
      </w:pPr>
      <w:r>
        <w:rPr>
          <w:color w:val="auto"/>
          <w:sz w:val="24"/>
          <w:highlight w:val="none"/>
        </w:rPr>
        <w:t>施工期噪声及施工作业人员等扰动对施工区域内鸟类影响较大，会使鸟类离开现有的生活区域，但项目区周边环境较为类似，项目区无</w:t>
      </w:r>
      <w:r>
        <w:rPr>
          <w:rFonts w:hint="eastAsia"/>
          <w:color w:val="auto"/>
          <w:sz w:val="24"/>
          <w:highlight w:val="none"/>
          <w:lang w:val="en-US" w:eastAsia="zh-CN"/>
        </w:rPr>
        <w:t>重要</w:t>
      </w:r>
      <w:r>
        <w:rPr>
          <w:color w:val="auto"/>
          <w:sz w:val="24"/>
          <w:highlight w:val="none"/>
        </w:rPr>
        <w:t>鸟类栖息地及不可替代的生境</w:t>
      </w:r>
      <w:r>
        <w:rPr>
          <w:rFonts w:hint="eastAsia"/>
          <w:color w:val="auto"/>
          <w:sz w:val="24"/>
          <w:highlight w:val="none"/>
          <w:lang w:eastAsia="zh-CN"/>
        </w:rPr>
        <w:t>，</w:t>
      </w:r>
      <w:r>
        <w:rPr>
          <w:color w:val="auto"/>
          <w:sz w:val="24"/>
          <w:highlight w:val="none"/>
        </w:rPr>
        <w:t>采取相关管理措施，如禁止施工人员捕猎鸟类，项目施工期不会对鸟类种群数量等造成较大影响。</w:t>
      </w:r>
    </w:p>
    <w:p w14:paraId="6362E426">
      <w:pPr>
        <w:pStyle w:val="4"/>
        <w:bidi w:val="0"/>
        <w:rPr>
          <w:rFonts w:hint="default"/>
          <w:color w:val="auto"/>
          <w:lang w:val="en-US" w:eastAsia="zh-CN"/>
        </w:rPr>
      </w:pPr>
      <w:r>
        <w:rPr>
          <w:rFonts w:hint="eastAsia"/>
          <w:color w:val="auto"/>
          <w:lang w:val="en-US" w:eastAsia="zh-CN"/>
        </w:rPr>
        <w:t>3.4.4对珍稀动物的影响</w:t>
      </w:r>
    </w:p>
    <w:p w14:paraId="74BAD8A4">
      <w:pPr>
        <w:pStyle w:val="41"/>
        <w:bidi w:val="0"/>
        <w:rPr>
          <w:rFonts w:hint="eastAsia"/>
          <w:color w:val="auto"/>
          <w:lang w:val="en-US" w:eastAsia="zh-CN"/>
        </w:rPr>
      </w:pPr>
      <w:r>
        <w:rPr>
          <w:rFonts w:hint="eastAsia"/>
          <w:color w:val="auto"/>
          <w:sz w:val="24"/>
          <w:lang w:val="en-US" w:eastAsia="zh-CN"/>
        </w:rPr>
        <w:t>依据现场调查、资料查阅以及人员走访，项目周边区域可能存在国家二级保护动物豹猫，国家二级保护鸟类白腹锦鸡、斑头鸺鹠、领角鸮、凤头鹰、白尾鹞、普通鵟、红隼、游隼、红嘴相思鸟，</w:t>
      </w:r>
      <w:r>
        <w:rPr>
          <w:color w:val="auto"/>
        </w:rPr>
        <w:t>中国特有物种华西蟾蜍、滇蛙、多疣狭口蛙、岩松鼠</w:t>
      </w:r>
      <w:r>
        <w:rPr>
          <w:rFonts w:hint="eastAsia"/>
          <w:color w:val="auto"/>
          <w:lang w:val="en-US" w:eastAsia="zh-CN"/>
        </w:rPr>
        <w:t>和白领凤鹛，项目施工活动可能会对其造成影响。</w:t>
      </w:r>
    </w:p>
    <w:p w14:paraId="6EF47BED">
      <w:pPr>
        <w:pStyle w:val="41"/>
        <w:bidi w:val="0"/>
        <w:rPr>
          <w:rFonts w:hint="eastAsia"/>
          <w:color w:val="auto"/>
          <w:lang w:val="en-US" w:eastAsia="zh-CN"/>
        </w:rPr>
      </w:pPr>
      <w:r>
        <w:rPr>
          <w:rFonts w:hint="eastAsia"/>
          <w:color w:val="auto"/>
          <w:lang w:val="en-US" w:eastAsia="zh-CN"/>
        </w:rPr>
        <w:t>其中，</w:t>
      </w:r>
      <w:r>
        <w:rPr>
          <w:color w:val="auto"/>
        </w:rPr>
        <w:t>华西蟾蜍、滇蛙、多疣狭口蛙的活动半径小，活动能力不强。但它们的分布范围</w:t>
      </w:r>
      <w:r>
        <w:rPr>
          <w:rFonts w:hint="eastAsia"/>
          <w:color w:val="auto"/>
          <w:lang w:eastAsia="zh-CN"/>
        </w:rPr>
        <w:t>极其</w:t>
      </w:r>
      <w:r>
        <w:rPr>
          <w:color w:val="auto"/>
        </w:rPr>
        <w:t>有限，仅仅在农耕地、水域附近，评价区内</w:t>
      </w:r>
      <w:r>
        <w:rPr>
          <w:rFonts w:hint="eastAsia"/>
          <w:color w:val="auto"/>
          <w:lang w:val="en-US" w:eastAsia="zh-CN"/>
        </w:rPr>
        <w:t>几乎没有</w:t>
      </w:r>
      <w:r>
        <w:rPr>
          <w:color w:val="auto"/>
        </w:rPr>
        <w:t>这样的生境，项目实施对它们影响有限。</w:t>
      </w:r>
      <w:r>
        <w:rPr>
          <w:rFonts w:hint="eastAsia"/>
          <w:color w:val="auto"/>
          <w:lang w:val="en-US" w:eastAsia="zh-CN"/>
        </w:rPr>
        <w:t>此外，项目施工对其他保护动物的影响主要集中在如下方面：</w:t>
      </w:r>
    </w:p>
    <w:p w14:paraId="4935AA38">
      <w:pPr>
        <w:pStyle w:val="41"/>
        <w:bidi w:val="0"/>
        <w:rPr>
          <w:rFonts w:hint="eastAsia"/>
          <w:color w:val="auto"/>
          <w:sz w:val="24"/>
          <w:highlight w:val="none"/>
          <w:lang w:val="en-US" w:eastAsia="zh-CN"/>
        </w:rPr>
      </w:pPr>
      <w:r>
        <w:rPr>
          <w:rFonts w:hint="eastAsia"/>
          <w:color w:val="auto"/>
          <w:lang w:val="en-US" w:eastAsia="zh-CN"/>
        </w:rPr>
        <w:t>①</w:t>
      </w:r>
      <w:r>
        <w:rPr>
          <w:rFonts w:hint="eastAsia"/>
          <w:color w:val="auto"/>
          <w:sz w:val="24"/>
          <w:highlight w:val="none"/>
          <w:lang w:val="en-US" w:eastAsia="zh-CN"/>
        </w:rPr>
        <w:t>项目风机平台需铲除占地范围内的原生乔木、林下灌草，一定程度上破坏了该区域豹猫、</w:t>
      </w:r>
      <w:r>
        <w:rPr>
          <w:color w:val="auto"/>
        </w:rPr>
        <w:t>岩松鼠</w:t>
      </w:r>
      <w:r>
        <w:rPr>
          <w:rFonts w:hint="eastAsia"/>
          <w:color w:val="auto"/>
          <w:sz w:val="24"/>
          <w:highlight w:val="none"/>
          <w:lang w:val="en-US" w:eastAsia="zh-CN"/>
        </w:rPr>
        <w:t>和鸟类的觅食地、鸟类的停歇地和豹猫的巡航通道；</w:t>
      </w:r>
    </w:p>
    <w:p w14:paraId="5F38581F">
      <w:pPr>
        <w:pStyle w:val="41"/>
        <w:bidi w:val="0"/>
        <w:rPr>
          <w:rFonts w:hint="eastAsia"/>
          <w:color w:val="auto"/>
          <w:sz w:val="24"/>
          <w:highlight w:val="none"/>
          <w:lang w:val="en-US" w:eastAsia="zh-CN"/>
        </w:rPr>
      </w:pPr>
      <w:r>
        <w:rPr>
          <w:rFonts w:hint="eastAsia"/>
          <w:color w:val="auto"/>
          <w:sz w:val="24"/>
          <w:highlight w:val="none"/>
          <w:lang w:val="en-US" w:eastAsia="zh-CN"/>
        </w:rPr>
        <w:t>②施工期人为活动和噪声干扰可能会惊扰豹猫和鸟类，使其无法在该域内正常活动。</w:t>
      </w:r>
    </w:p>
    <w:p w14:paraId="36DBF5AF">
      <w:pPr>
        <w:pStyle w:val="41"/>
        <w:bidi w:val="0"/>
        <w:rPr>
          <w:color w:val="auto"/>
          <w:sz w:val="24"/>
          <w:lang w:val="zh-CN"/>
        </w:rPr>
      </w:pPr>
      <w:r>
        <w:rPr>
          <w:rFonts w:hint="eastAsia"/>
          <w:color w:val="auto"/>
          <w:sz w:val="24"/>
          <w:highlight w:val="none"/>
          <w:lang w:val="en-US" w:eastAsia="zh-CN"/>
        </w:rPr>
        <w:t>项目施工对区域内的保护动物有一定影响，但项目施工期仅6个月，施工结束后，人为活动和噪声干扰也随之停止。此外</w:t>
      </w:r>
      <w:r>
        <w:rPr>
          <w:rFonts w:hint="eastAsia"/>
          <w:color w:val="auto"/>
          <w:lang w:val="en-US" w:eastAsia="zh-CN"/>
        </w:rPr>
        <w:t>周边广泛分布有禾草草地和针叶林，受项目施工影响的生境可替代性较高，</w:t>
      </w:r>
      <w:r>
        <w:rPr>
          <w:rFonts w:hint="eastAsia"/>
          <w:color w:val="auto"/>
          <w:sz w:val="24"/>
          <w:lang w:val="en-US" w:eastAsia="zh-CN"/>
        </w:rPr>
        <w:t>加之</w:t>
      </w:r>
      <w:r>
        <w:rPr>
          <w:rFonts w:hint="eastAsia"/>
          <w:color w:val="auto"/>
          <w:sz w:val="24"/>
          <w:highlight w:val="none"/>
          <w:lang w:val="en-US" w:eastAsia="zh-CN"/>
        </w:rPr>
        <w:t>豹猫、</w:t>
      </w:r>
      <w:r>
        <w:rPr>
          <w:color w:val="auto"/>
        </w:rPr>
        <w:t>岩松鼠</w:t>
      </w:r>
      <w:r>
        <w:rPr>
          <w:rFonts w:hint="eastAsia"/>
          <w:color w:val="auto"/>
          <w:lang w:val="en-US" w:eastAsia="zh-CN"/>
        </w:rPr>
        <w:t>和上述保护鸟类活动能力均比较强，</w:t>
      </w:r>
      <w:r>
        <w:rPr>
          <w:rFonts w:hint="eastAsia"/>
          <w:color w:val="auto"/>
          <w:sz w:val="24"/>
          <w:lang w:val="zh-CN"/>
        </w:rPr>
        <w:t>会</w:t>
      </w:r>
      <w:r>
        <w:rPr>
          <w:color w:val="auto"/>
          <w:sz w:val="24"/>
          <w:lang w:val="zh-CN"/>
        </w:rPr>
        <w:t>自行避让和选择新的生境</w:t>
      </w:r>
      <w:r>
        <w:rPr>
          <w:rFonts w:hint="eastAsia"/>
          <w:color w:val="auto"/>
          <w:sz w:val="24"/>
          <w:lang w:val="zh-CN"/>
        </w:rPr>
        <w:t>，</w:t>
      </w:r>
      <w:r>
        <w:rPr>
          <w:rFonts w:hint="eastAsia"/>
          <w:color w:val="auto"/>
          <w:sz w:val="24"/>
          <w:lang w:val="en-US" w:eastAsia="zh-CN"/>
        </w:rPr>
        <w:t>项目施工</w:t>
      </w:r>
      <w:r>
        <w:rPr>
          <w:color w:val="auto"/>
          <w:sz w:val="24"/>
          <w:lang w:val="zh-CN"/>
        </w:rPr>
        <w:t>对其</w:t>
      </w:r>
      <w:r>
        <w:rPr>
          <w:rFonts w:hint="eastAsia"/>
          <w:color w:val="auto"/>
          <w:sz w:val="24"/>
          <w:lang w:val="en-US" w:eastAsia="zh-CN"/>
        </w:rPr>
        <w:t>造成的</w:t>
      </w:r>
      <w:r>
        <w:rPr>
          <w:color w:val="auto"/>
          <w:sz w:val="24"/>
          <w:lang w:val="zh-CN"/>
        </w:rPr>
        <w:t>不</w:t>
      </w:r>
      <w:r>
        <w:rPr>
          <w:rFonts w:hint="eastAsia"/>
          <w:color w:val="auto"/>
          <w:sz w:val="24"/>
          <w:lang w:val="en-US" w:eastAsia="zh-CN"/>
        </w:rPr>
        <w:t>利</w:t>
      </w:r>
      <w:r>
        <w:rPr>
          <w:color w:val="auto"/>
          <w:sz w:val="24"/>
          <w:lang w:val="zh-CN"/>
        </w:rPr>
        <w:t>影响</w:t>
      </w:r>
      <w:r>
        <w:rPr>
          <w:rFonts w:hint="eastAsia"/>
          <w:color w:val="auto"/>
          <w:sz w:val="24"/>
          <w:lang w:val="en-US" w:eastAsia="zh-CN"/>
        </w:rPr>
        <w:t>比较</w:t>
      </w:r>
      <w:r>
        <w:rPr>
          <w:color w:val="auto"/>
          <w:sz w:val="24"/>
          <w:lang w:val="zh-CN"/>
        </w:rPr>
        <w:t>有限。</w:t>
      </w:r>
    </w:p>
    <w:p w14:paraId="030F9684">
      <w:pPr>
        <w:pStyle w:val="3"/>
        <w:bidi w:val="0"/>
        <w:rPr>
          <w:rFonts w:hint="eastAsia"/>
          <w:color w:val="auto"/>
          <w:lang w:val="en-US" w:eastAsia="zh-CN"/>
        </w:rPr>
      </w:pPr>
      <w:r>
        <w:rPr>
          <w:rFonts w:hint="eastAsia"/>
          <w:color w:val="auto"/>
          <w:lang w:val="en-US" w:eastAsia="zh-CN"/>
        </w:rPr>
        <w:t>3.5生态系统的影响分析</w:t>
      </w:r>
    </w:p>
    <w:p w14:paraId="4E870CBE">
      <w:pPr>
        <w:pStyle w:val="4"/>
        <w:bidi w:val="0"/>
        <w:rPr>
          <w:rFonts w:hint="eastAsia"/>
          <w:color w:val="auto"/>
          <w:lang w:val="en-US" w:eastAsia="zh-CN"/>
        </w:rPr>
      </w:pPr>
      <w:r>
        <w:rPr>
          <w:rFonts w:hint="eastAsia"/>
          <w:color w:val="auto"/>
          <w:lang w:val="en-US" w:eastAsia="zh-CN"/>
        </w:rPr>
        <w:t>3.5.1对生态系统完整性的影响分析</w:t>
      </w:r>
    </w:p>
    <w:p w14:paraId="68857332">
      <w:pPr>
        <w:spacing w:line="360" w:lineRule="auto"/>
        <w:ind w:right="34" w:firstLine="480" w:firstLineChars="200"/>
        <w:rPr>
          <w:bCs/>
          <w:color w:val="auto"/>
          <w:sz w:val="24"/>
          <w:highlight w:val="none"/>
        </w:rPr>
      </w:pPr>
      <w:r>
        <w:rPr>
          <w:bCs/>
          <w:color w:val="auto"/>
          <w:sz w:val="24"/>
          <w:highlight w:val="none"/>
        </w:rPr>
        <w:t>生态系统完整性是在生物完整性概念基础上发展起来的，且</w:t>
      </w:r>
      <w:r>
        <w:rPr>
          <w:rFonts w:hint="eastAsia" w:ascii="宋体" w:hAnsi="宋体" w:eastAsia="宋体" w:cs="宋体"/>
          <w:bCs/>
          <w:color w:val="auto"/>
          <w:sz w:val="24"/>
          <w:highlight w:val="none"/>
        </w:rPr>
        <w:t>因“系统”的</w:t>
      </w:r>
      <w:r>
        <w:rPr>
          <w:bCs/>
          <w:color w:val="auto"/>
          <w:sz w:val="24"/>
          <w:highlight w:val="none"/>
        </w:rPr>
        <w:t>特性，其内涵更加丰富。从系统的角度考察完整性，包括三个层次：一是组成系统的成分是否完整，即系统是否具有</w:t>
      </w:r>
      <w:r>
        <w:rPr>
          <w:rFonts w:hint="eastAsia"/>
          <w:bCs/>
          <w:color w:val="auto"/>
          <w:sz w:val="24"/>
          <w:highlight w:val="none"/>
          <w:lang w:val="en-US" w:eastAsia="zh-CN"/>
        </w:rPr>
        <w:t>本身</w:t>
      </w:r>
      <w:r>
        <w:rPr>
          <w:bCs/>
          <w:color w:val="auto"/>
          <w:sz w:val="24"/>
          <w:highlight w:val="none"/>
        </w:rPr>
        <w:t>的全部物种</w:t>
      </w:r>
      <w:r>
        <w:rPr>
          <w:rFonts w:hint="eastAsia"/>
          <w:bCs/>
          <w:color w:val="auto"/>
          <w:sz w:val="24"/>
          <w:highlight w:val="none"/>
        </w:rPr>
        <w:t>；</w:t>
      </w:r>
      <w:r>
        <w:rPr>
          <w:bCs/>
          <w:color w:val="auto"/>
          <w:sz w:val="24"/>
          <w:highlight w:val="none"/>
        </w:rPr>
        <w:t>二是系统的组织结构是否完整</w:t>
      </w:r>
      <w:r>
        <w:rPr>
          <w:rFonts w:hint="eastAsia"/>
          <w:bCs/>
          <w:color w:val="auto"/>
          <w:sz w:val="24"/>
          <w:highlight w:val="none"/>
        </w:rPr>
        <w:t>；</w:t>
      </w:r>
      <w:r>
        <w:rPr>
          <w:bCs/>
          <w:color w:val="auto"/>
          <w:sz w:val="24"/>
          <w:highlight w:val="none"/>
        </w:rPr>
        <w:t>三是系统的功能是否健康。</w:t>
      </w:r>
    </w:p>
    <w:p w14:paraId="2280AD70">
      <w:pPr>
        <w:spacing w:line="360" w:lineRule="auto"/>
        <w:ind w:right="34" w:firstLine="480" w:firstLineChars="200"/>
        <w:rPr>
          <w:bCs/>
          <w:color w:val="auto"/>
          <w:sz w:val="24"/>
          <w:highlight w:val="none"/>
        </w:rPr>
      </w:pPr>
      <w:r>
        <w:rPr>
          <w:bCs/>
          <w:color w:val="auto"/>
          <w:sz w:val="24"/>
          <w:highlight w:val="none"/>
        </w:rPr>
        <w:t>从第一个层次来看，</w:t>
      </w:r>
      <w:r>
        <w:rPr>
          <w:rFonts w:hint="eastAsia" w:ascii="Times New Roman" w:hAnsi="Times New Roman" w:eastAsia="宋体" w:cs="Times New Roman"/>
          <w:color w:val="auto"/>
          <w:kern w:val="2"/>
          <w:sz w:val="24"/>
          <w:szCs w:val="24"/>
          <w:highlight w:val="none"/>
          <w:lang w:val="en-US" w:eastAsia="zh-CN" w:bidi="ar-SA"/>
        </w:rPr>
        <w:t>本项目架空线路和升压站区不新增占地，</w:t>
      </w:r>
      <w:r>
        <w:rPr>
          <w:rFonts w:hint="eastAsia"/>
          <w:bCs/>
          <w:color w:val="auto"/>
          <w:sz w:val="24"/>
          <w:highlight w:val="none"/>
          <w:lang w:val="en-US" w:eastAsia="zh-CN"/>
        </w:rPr>
        <w:t>风机区的</w:t>
      </w:r>
      <w:r>
        <w:rPr>
          <w:bCs/>
          <w:color w:val="auto"/>
          <w:sz w:val="24"/>
          <w:highlight w:val="none"/>
        </w:rPr>
        <w:t>建设新增永久占地面积</w:t>
      </w:r>
      <w:r>
        <w:rPr>
          <w:rFonts w:hint="eastAsia"/>
          <w:bCs/>
          <w:color w:val="auto"/>
          <w:sz w:val="24"/>
          <w:highlight w:val="none"/>
          <w:lang w:val="en-US" w:eastAsia="zh-CN"/>
        </w:rPr>
        <w:t>0.1596</w:t>
      </w:r>
      <w:r>
        <w:rPr>
          <w:bCs/>
          <w:color w:val="auto"/>
          <w:sz w:val="24"/>
          <w:highlight w:val="none"/>
        </w:rPr>
        <w:t>hm</w:t>
      </w:r>
      <w:r>
        <w:rPr>
          <w:bCs/>
          <w:color w:val="auto"/>
          <w:sz w:val="24"/>
          <w:highlight w:val="none"/>
          <w:vertAlign w:val="superscript"/>
        </w:rPr>
        <w:t>2</w:t>
      </w:r>
      <w:r>
        <w:rPr>
          <w:bCs/>
          <w:color w:val="auto"/>
          <w:sz w:val="24"/>
          <w:highlight w:val="none"/>
        </w:rPr>
        <w:t>，其中占用</w:t>
      </w:r>
      <w:r>
        <w:rPr>
          <w:rFonts w:hint="eastAsia"/>
          <w:bCs/>
          <w:color w:val="auto"/>
          <w:sz w:val="24"/>
          <w:highlight w:val="none"/>
          <w:lang w:val="en-US" w:eastAsia="zh-CN"/>
        </w:rPr>
        <w:t>针叶林0.0055</w:t>
      </w:r>
      <w:r>
        <w:rPr>
          <w:bCs/>
          <w:color w:val="auto"/>
          <w:sz w:val="24"/>
          <w:highlight w:val="none"/>
        </w:rPr>
        <w:t>hm</w:t>
      </w:r>
      <w:r>
        <w:rPr>
          <w:bCs/>
          <w:color w:val="auto"/>
          <w:sz w:val="24"/>
          <w:highlight w:val="none"/>
          <w:vertAlign w:val="superscript"/>
        </w:rPr>
        <w:t>2</w:t>
      </w:r>
      <w:r>
        <w:rPr>
          <w:rFonts w:hint="eastAsia"/>
          <w:bCs/>
          <w:color w:val="auto"/>
          <w:sz w:val="24"/>
          <w:highlight w:val="none"/>
          <w:lang w:eastAsia="zh-CN"/>
        </w:rPr>
        <w:t>、</w:t>
      </w:r>
      <w:r>
        <w:rPr>
          <w:bCs/>
          <w:color w:val="auto"/>
          <w:sz w:val="24"/>
          <w:highlight w:val="none"/>
        </w:rPr>
        <w:t>草地</w:t>
      </w:r>
      <w:r>
        <w:rPr>
          <w:rFonts w:hint="eastAsia"/>
          <w:bCs/>
          <w:color w:val="auto"/>
          <w:sz w:val="24"/>
          <w:highlight w:val="none"/>
          <w:lang w:val="en-US" w:eastAsia="zh-CN"/>
        </w:rPr>
        <w:t>0.1541</w:t>
      </w:r>
      <w:r>
        <w:rPr>
          <w:bCs/>
          <w:color w:val="auto"/>
          <w:sz w:val="24"/>
          <w:highlight w:val="none"/>
        </w:rPr>
        <w:t>hm</w:t>
      </w:r>
      <w:r>
        <w:rPr>
          <w:bCs/>
          <w:color w:val="auto"/>
          <w:sz w:val="24"/>
          <w:highlight w:val="none"/>
          <w:vertAlign w:val="superscript"/>
        </w:rPr>
        <w:t>2</w:t>
      </w:r>
      <w:r>
        <w:rPr>
          <w:bCs/>
          <w:color w:val="auto"/>
          <w:sz w:val="24"/>
          <w:highlight w:val="none"/>
        </w:rPr>
        <w:t>，森林生态系统受侵占影响的面积比重</w:t>
      </w:r>
      <w:r>
        <w:rPr>
          <w:rFonts w:hint="eastAsia"/>
          <w:bCs/>
          <w:color w:val="auto"/>
          <w:sz w:val="24"/>
          <w:highlight w:val="none"/>
        </w:rPr>
        <w:t>和</w:t>
      </w:r>
      <w:r>
        <w:rPr>
          <w:bCs/>
          <w:color w:val="auto"/>
          <w:sz w:val="24"/>
          <w:highlight w:val="none"/>
        </w:rPr>
        <w:t>草地生态系统受侵占影响的面积</w:t>
      </w:r>
      <w:r>
        <w:rPr>
          <w:rFonts w:hint="eastAsia"/>
          <w:bCs/>
          <w:color w:val="auto"/>
          <w:sz w:val="24"/>
          <w:highlight w:val="none"/>
        </w:rPr>
        <w:t>较小</w:t>
      </w:r>
      <w:r>
        <w:rPr>
          <w:bCs/>
          <w:color w:val="auto"/>
          <w:sz w:val="24"/>
          <w:highlight w:val="none"/>
        </w:rPr>
        <w:t>，直接影响范围较小，所以对周边环境的侵占和干扰较弱，生态系统内的物种组成不会发生改变，因此项目建设前后生态系统组成成分具有完整性。</w:t>
      </w:r>
    </w:p>
    <w:p w14:paraId="70F423A8">
      <w:pPr>
        <w:spacing w:line="360" w:lineRule="auto"/>
        <w:ind w:right="34" w:firstLine="480" w:firstLineChars="200"/>
        <w:rPr>
          <w:bCs/>
          <w:color w:val="auto"/>
          <w:sz w:val="24"/>
          <w:highlight w:val="none"/>
        </w:rPr>
      </w:pPr>
      <w:r>
        <w:rPr>
          <w:bCs/>
          <w:color w:val="auto"/>
          <w:sz w:val="24"/>
          <w:highlight w:val="none"/>
        </w:rPr>
        <w:t>从第二个层次来看，项目建设后，除</w:t>
      </w:r>
      <w:r>
        <w:rPr>
          <w:rFonts w:hint="eastAsia"/>
          <w:bCs/>
          <w:color w:val="auto"/>
          <w:sz w:val="24"/>
          <w:highlight w:val="none"/>
        </w:rPr>
        <w:t>风机</w:t>
      </w:r>
      <w:r>
        <w:rPr>
          <w:rFonts w:hint="eastAsia"/>
          <w:bCs/>
          <w:color w:val="auto"/>
          <w:sz w:val="24"/>
          <w:highlight w:val="none"/>
          <w:lang w:val="en-US" w:eastAsia="zh-CN"/>
        </w:rPr>
        <w:t>和箱变</w:t>
      </w:r>
      <w:r>
        <w:rPr>
          <w:rFonts w:hint="eastAsia"/>
          <w:bCs/>
          <w:color w:val="auto"/>
          <w:sz w:val="24"/>
          <w:highlight w:val="none"/>
        </w:rPr>
        <w:t>基础等</w:t>
      </w:r>
      <w:r>
        <w:rPr>
          <w:bCs/>
          <w:color w:val="auto"/>
          <w:sz w:val="24"/>
          <w:highlight w:val="none"/>
        </w:rPr>
        <w:t>永久占地</w:t>
      </w:r>
      <w:r>
        <w:rPr>
          <w:rFonts w:hint="eastAsia"/>
          <w:bCs/>
          <w:color w:val="auto"/>
          <w:sz w:val="24"/>
          <w:highlight w:val="none"/>
          <w:lang w:val="en-US" w:eastAsia="zh-CN"/>
        </w:rPr>
        <w:t>范围</w:t>
      </w:r>
      <w:r>
        <w:rPr>
          <w:bCs/>
          <w:color w:val="auto"/>
          <w:sz w:val="24"/>
          <w:highlight w:val="none"/>
        </w:rPr>
        <w:t>的植物群落环境发生改变外，生态系统的绝大部分区域原有生境不变，以这一生境为依托的动植物关系、生物与非生物环境关系、食物链及能流渠道都没有发生变化，因此生态系统总体的组织结构仍然完整。</w:t>
      </w:r>
    </w:p>
    <w:p w14:paraId="27FFDA94">
      <w:pPr>
        <w:spacing w:line="360" w:lineRule="auto"/>
        <w:ind w:right="34" w:firstLine="480" w:firstLineChars="200"/>
        <w:rPr>
          <w:bCs/>
          <w:color w:val="auto"/>
          <w:sz w:val="24"/>
          <w:highlight w:val="none"/>
        </w:rPr>
      </w:pPr>
      <w:r>
        <w:rPr>
          <w:bCs/>
          <w:color w:val="auto"/>
          <w:sz w:val="24"/>
          <w:highlight w:val="none"/>
        </w:rPr>
        <w:t>从第三个层次来看，本项目建设仅对评价区生态系统的局部区域带来侵占和干扰影响，直接侵占区域面积占生态系统面积的比重很小，且生态系统仍然具有良好的自我调控能力。</w:t>
      </w:r>
    </w:p>
    <w:p w14:paraId="29DCC262">
      <w:pPr>
        <w:spacing w:line="360" w:lineRule="auto"/>
        <w:ind w:right="34" w:firstLine="480" w:firstLineChars="200"/>
        <w:rPr>
          <w:bCs/>
          <w:color w:val="auto"/>
          <w:sz w:val="24"/>
          <w:highlight w:val="none"/>
        </w:rPr>
      </w:pPr>
      <w:r>
        <w:rPr>
          <w:bCs/>
          <w:color w:val="auto"/>
          <w:sz w:val="24"/>
          <w:highlight w:val="none"/>
        </w:rPr>
        <w:t>综上所述，</w:t>
      </w:r>
      <w:r>
        <w:rPr>
          <w:rFonts w:hint="eastAsia"/>
          <w:bCs/>
          <w:color w:val="auto"/>
          <w:sz w:val="24"/>
          <w:highlight w:val="none"/>
          <w:lang w:val="en-US" w:eastAsia="zh-CN"/>
        </w:rPr>
        <w:t>项目</w:t>
      </w:r>
      <w:r>
        <w:rPr>
          <w:bCs/>
          <w:color w:val="auto"/>
          <w:sz w:val="24"/>
          <w:highlight w:val="none"/>
        </w:rPr>
        <w:t>建设</w:t>
      </w:r>
      <w:r>
        <w:rPr>
          <w:rFonts w:hint="eastAsia"/>
          <w:bCs/>
          <w:color w:val="auto"/>
          <w:sz w:val="24"/>
          <w:highlight w:val="none"/>
          <w:lang w:val="en-US" w:eastAsia="zh-CN"/>
        </w:rPr>
        <w:t>对区域</w:t>
      </w:r>
      <w:r>
        <w:rPr>
          <w:bCs/>
          <w:color w:val="auto"/>
          <w:sz w:val="24"/>
          <w:highlight w:val="none"/>
        </w:rPr>
        <w:t>生态系统</w:t>
      </w:r>
      <w:r>
        <w:rPr>
          <w:rFonts w:hint="eastAsia"/>
          <w:bCs/>
          <w:color w:val="auto"/>
          <w:sz w:val="24"/>
          <w:highlight w:val="none"/>
          <w:lang w:eastAsia="zh-CN"/>
        </w:rPr>
        <w:t>的</w:t>
      </w:r>
      <w:r>
        <w:rPr>
          <w:bCs/>
          <w:color w:val="auto"/>
          <w:sz w:val="24"/>
          <w:highlight w:val="none"/>
        </w:rPr>
        <w:t>完整性</w:t>
      </w:r>
      <w:r>
        <w:rPr>
          <w:rFonts w:hint="eastAsia"/>
          <w:bCs/>
          <w:color w:val="auto"/>
          <w:sz w:val="24"/>
          <w:highlight w:val="none"/>
          <w:lang w:val="en-US" w:eastAsia="zh-CN"/>
        </w:rPr>
        <w:t>影响小</w:t>
      </w:r>
      <w:r>
        <w:rPr>
          <w:bCs/>
          <w:color w:val="auto"/>
          <w:sz w:val="24"/>
          <w:highlight w:val="none"/>
        </w:rPr>
        <w:t>。</w:t>
      </w:r>
    </w:p>
    <w:p w14:paraId="074CD9EA">
      <w:pPr>
        <w:pStyle w:val="4"/>
        <w:bidi w:val="0"/>
        <w:rPr>
          <w:rFonts w:hint="eastAsia"/>
          <w:color w:val="auto"/>
          <w:lang w:val="en-US" w:eastAsia="zh-CN"/>
        </w:rPr>
      </w:pPr>
      <w:r>
        <w:rPr>
          <w:rFonts w:hint="eastAsia"/>
          <w:color w:val="auto"/>
          <w:lang w:val="en-US" w:eastAsia="zh-CN"/>
        </w:rPr>
        <w:t>3.5.2对生态系统质量的影响分析</w:t>
      </w:r>
    </w:p>
    <w:p w14:paraId="7AA683E9">
      <w:pPr>
        <w:numPr>
          <w:ilvl w:val="0"/>
          <w:numId w:val="0"/>
        </w:numPr>
        <w:spacing w:line="360" w:lineRule="auto"/>
        <w:ind w:right="34" w:rightChars="0" w:firstLine="480" w:firstLineChars="200"/>
        <w:rPr>
          <w:rFonts w:hint="default" w:ascii="Times New Roman" w:hAnsi="Times New Roman" w:eastAsia="宋体" w:cs="Times New Roman"/>
          <w:bCs/>
          <w:color w:val="auto"/>
          <w:kern w:val="2"/>
          <w:sz w:val="24"/>
          <w:szCs w:val="24"/>
          <w:lang w:val="en-US" w:eastAsia="zh-CN" w:bidi="ar-SA"/>
        </w:rPr>
      </w:pPr>
      <w:r>
        <w:rPr>
          <w:rFonts w:hint="eastAsia" w:cs="Times New Roman"/>
          <w:bCs/>
          <w:color w:val="auto"/>
          <w:kern w:val="2"/>
          <w:sz w:val="24"/>
          <w:szCs w:val="24"/>
          <w:lang w:val="en-US" w:eastAsia="zh-CN" w:bidi="ar-SA"/>
        </w:rPr>
        <w:t>项目</w:t>
      </w:r>
      <w:r>
        <w:rPr>
          <w:rFonts w:hint="eastAsia" w:ascii="Times New Roman" w:hAnsi="Times New Roman" w:eastAsia="宋体" w:cs="Times New Roman"/>
          <w:color w:val="auto"/>
          <w:kern w:val="2"/>
          <w:sz w:val="24"/>
          <w:szCs w:val="24"/>
          <w:highlight w:val="none"/>
          <w:lang w:val="en-US" w:eastAsia="zh-CN" w:bidi="ar-SA"/>
        </w:rPr>
        <w:t>架空线路和升压站区不新增</w:t>
      </w:r>
      <w:r>
        <w:rPr>
          <w:rFonts w:hint="eastAsia" w:cs="Times New Roman"/>
          <w:color w:val="auto"/>
          <w:kern w:val="2"/>
          <w:sz w:val="24"/>
          <w:szCs w:val="24"/>
          <w:highlight w:val="none"/>
          <w:lang w:val="en-US" w:eastAsia="zh-CN" w:bidi="ar-SA"/>
        </w:rPr>
        <w:t>占地，对周边生态系统的影响主要集中在风机区，项目重点对施工期的生态系统影响展开分析。</w:t>
      </w:r>
    </w:p>
    <w:p w14:paraId="38CBF45C">
      <w:pPr>
        <w:numPr>
          <w:ilvl w:val="0"/>
          <w:numId w:val="0"/>
        </w:numPr>
        <w:spacing w:line="360" w:lineRule="auto"/>
        <w:ind w:right="34" w:rightChars="0" w:firstLine="480" w:firstLineChars="200"/>
        <w:rPr>
          <w:bCs/>
          <w:color w:val="auto"/>
          <w:sz w:val="24"/>
          <w:highlight w:val="none"/>
        </w:rPr>
      </w:pPr>
      <w:r>
        <w:rPr>
          <w:rFonts w:ascii="Times New Roman" w:hAnsi="Times New Roman" w:eastAsia="宋体" w:cs="Times New Roman"/>
          <w:bCs/>
          <w:color w:val="auto"/>
          <w:kern w:val="2"/>
          <w:sz w:val="24"/>
          <w:szCs w:val="24"/>
          <w:lang w:val="en-US" w:eastAsia="zh-CN" w:bidi="ar-SA"/>
        </w:rPr>
        <w:t>（1）</w:t>
      </w:r>
      <w:r>
        <w:rPr>
          <w:bCs/>
          <w:color w:val="auto"/>
          <w:sz w:val="24"/>
          <w:highlight w:val="none"/>
        </w:rPr>
        <w:t>植被覆盖度影响</w:t>
      </w:r>
    </w:p>
    <w:p w14:paraId="47EB1836">
      <w:pPr>
        <w:numPr>
          <w:ilvl w:val="0"/>
          <w:numId w:val="0"/>
        </w:numPr>
        <w:spacing w:line="360" w:lineRule="auto"/>
        <w:ind w:right="34" w:rightChars="0" w:firstLine="480" w:firstLineChars="200"/>
        <w:rPr>
          <w:rFonts w:hint="default" w:eastAsia="宋体"/>
          <w:bCs/>
          <w:color w:val="auto"/>
          <w:sz w:val="24"/>
          <w:highlight w:val="none"/>
          <w:lang w:val="en-US" w:eastAsia="zh-CN"/>
        </w:rPr>
      </w:pPr>
      <w:r>
        <w:rPr>
          <w:bCs/>
          <w:color w:val="auto"/>
          <w:sz w:val="24"/>
          <w:highlight w:val="none"/>
        </w:rPr>
        <w:t>根据土地利用变化分析结果，项目建成后，评价区域森林生态系统、灌草地生态系统面积约</w:t>
      </w:r>
      <w:r>
        <w:rPr>
          <w:rFonts w:hint="eastAsia"/>
          <w:bCs/>
          <w:color w:val="auto"/>
          <w:sz w:val="24"/>
          <w:highlight w:val="none"/>
          <w:lang w:val="en-US" w:eastAsia="zh-CN"/>
        </w:rPr>
        <w:t>1135.39511</w:t>
      </w:r>
      <w:r>
        <w:rPr>
          <w:bCs/>
          <w:color w:val="auto"/>
          <w:sz w:val="24"/>
          <w:highlight w:val="none"/>
        </w:rPr>
        <w:t>hm</w:t>
      </w:r>
      <w:r>
        <w:rPr>
          <w:bCs/>
          <w:color w:val="auto"/>
          <w:sz w:val="24"/>
          <w:highlight w:val="none"/>
          <w:vertAlign w:val="superscript"/>
        </w:rPr>
        <w:t>2</w:t>
      </w:r>
      <w:r>
        <w:rPr>
          <w:bCs/>
          <w:color w:val="auto"/>
          <w:sz w:val="24"/>
          <w:highlight w:val="none"/>
        </w:rPr>
        <w:t>，较建设前</w:t>
      </w:r>
      <w:r>
        <w:rPr>
          <w:rFonts w:hint="eastAsia"/>
          <w:bCs/>
          <w:color w:val="auto"/>
          <w:sz w:val="24"/>
          <w:highlight w:val="none"/>
          <w:lang w:val="en-US" w:eastAsia="zh-CN"/>
        </w:rPr>
        <w:t>减少2.9347</w:t>
      </w:r>
      <w:r>
        <w:rPr>
          <w:bCs/>
          <w:color w:val="auto"/>
          <w:sz w:val="24"/>
          <w:highlight w:val="none"/>
        </w:rPr>
        <w:t>hm</w:t>
      </w:r>
      <w:r>
        <w:rPr>
          <w:bCs/>
          <w:color w:val="auto"/>
          <w:sz w:val="24"/>
          <w:highlight w:val="none"/>
          <w:vertAlign w:val="superscript"/>
        </w:rPr>
        <w:t>2</w:t>
      </w:r>
      <w:r>
        <w:rPr>
          <w:rFonts w:hint="eastAsia"/>
          <w:bCs/>
          <w:color w:val="auto"/>
          <w:sz w:val="24"/>
          <w:highlight w:val="none"/>
          <w:vertAlign w:val="baseline"/>
          <w:lang w:eastAsia="zh-CN"/>
        </w:rPr>
        <w:t>。</w:t>
      </w:r>
      <w:r>
        <w:rPr>
          <w:rFonts w:hint="eastAsia"/>
          <w:bCs/>
          <w:color w:val="auto"/>
          <w:sz w:val="24"/>
          <w:highlight w:val="none"/>
          <w:vertAlign w:val="baseline"/>
          <w:lang w:val="en-US" w:eastAsia="zh-CN"/>
        </w:rPr>
        <w:t>项目永久占地面积较小，仅为0.1596</w:t>
      </w:r>
      <w:r>
        <w:rPr>
          <w:bCs/>
          <w:color w:val="auto"/>
          <w:sz w:val="24"/>
          <w:highlight w:val="none"/>
        </w:rPr>
        <w:t>hm</w:t>
      </w:r>
      <w:r>
        <w:rPr>
          <w:bCs/>
          <w:color w:val="auto"/>
          <w:sz w:val="24"/>
          <w:highlight w:val="none"/>
          <w:vertAlign w:val="superscript"/>
        </w:rPr>
        <w:t>2</w:t>
      </w:r>
      <w:r>
        <w:rPr>
          <w:rFonts w:hint="eastAsia"/>
          <w:bCs/>
          <w:color w:val="auto"/>
          <w:sz w:val="24"/>
          <w:highlight w:val="none"/>
          <w:vertAlign w:val="baseline"/>
          <w:lang w:val="en-US" w:eastAsia="zh-CN"/>
        </w:rPr>
        <w:t>，临时用地进行植被恢复后，项目占地</w:t>
      </w:r>
      <w:r>
        <w:rPr>
          <w:bCs/>
          <w:color w:val="auto"/>
          <w:sz w:val="24"/>
          <w:highlight w:val="none"/>
        </w:rPr>
        <w:t>对评价区乔木林地、灌草地的影响较小</w:t>
      </w:r>
      <w:r>
        <w:rPr>
          <w:rFonts w:hint="eastAsia"/>
          <w:bCs/>
          <w:color w:val="auto"/>
          <w:sz w:val="24"/>
          <w:highlight w:val="none"/>
          <w:lang w:eastAsia="zh-CN"/>
        </w:rPr>
        <w:t>，</w:t>
      </w:r>
      <w:r>
        <w:rPr>
          <w:rFonts w:hint="eastAsia"/>
          <w:bCs/>
          <w:color w:val="auto"/>
          <w:sz w:val="24"/>
          <w:highlight w:val="none"/>
          <w:lang w:val="en-US" w:eastAsia="zh-CN"/>
        </w:rPr>
        <w:t>植被覆盖度的影响较小。</w:t>
      </w:r>
    </w:p>
    <w:p w14:paraId="6C69CCB0">
      <w:pPr>
        <w:numPr>
          <w:ilvl w:val="0"/>
          <w:numId w:val="0"/>
        </w:numPr>
        <w:spacing w:line="360" w:lineRule="auto"/>
        <w:ind w:right="34" w:rightChars="0" w:firstLine="480" w:firstLineChars="200"/>
        <w:rPr>
          <w:bCs/>
          <w:color w:val="auto"/>
          <w:sz w:val="24"/>
          <w:highlight w:val="none"/>
        </w:rPr>
      </w:pPr>
      <w:r>
        <w:rPr>
          <w:rFonts w:ascii="Times New Roman" w:hAnsi="Times New Roman" w:eastAsia="宋体" w:cs="Times New Roman"/>
          <w:bCs/>
          <w:color w:val="auto"/>
          <w:kern w:val="2"/>
          <w:sz w:val="24"/>
          <w:szCs w:val="24"/>
          <w:highlight w:val="none"/>
          <w:lang w:val="en-US" w:eastAsia="zh-CN" w:bidi="ar-SA"/>
        </w:rPr>
        <w:t>（2）</w:t>
      </w:r>
      <w:r>
        <w:rPr>
          <w:bCs/>
          <w:color w:val="auto"/>
          <w:sz w:val="24"/>
          <w:highlight w:val="none"/>
        </w:rPr>
        <w:t>生物量</w:t>
      </w:r>
    </w:p>
    <w:p w14:paraId="6BE39ACF">
      <w:pPr>
        <w:numPr>
          <w:ilvl w:val="0"/>
          <w:numId w:val="0"/>
        </w:numPr>
        <w:spacing w:line="360" w:lineRule="auto"/>
        <w:ind w:right="34" w:rightChars="0" w:firstLine="480" w:firstLineChars="200"/>
        <w:rPr>
          <w:bCs/>
          <w:color w:val="auto"/>
          <w:sz w:val="24"/>
          <w:highlight w:val="none"/>
        </w:rPr>
      </w:pPr>
      <w:r>
        <w:rPr>
          <w:bCs/>
          <w:color w:val="auto"/>
          <w:sz w:val="24"/>
          <w:highlight w:val="none"/>
        </w:rPr>
        <w:t>本项目建成后，各植被类型损失的生物量见下表。项目占地损失植被生物量约</w:t>
      </w:r>
      <w:r>
        <w:rPr>
          <w:rFonts w:hint="eastAsia"/>
          <w:bCs/>
          <w:color w:val="auto"/>
          <w:sz w:val="24"/>
          <w:highlight w:val="none"/>
          <w:lang w:val="en-US" w:eastAsia="zh-CN"/>
        </w:rPr>
        <w:t>133.8528</w:t>
      </w:r>
      <w:r>
        <w:rPr>
          <w:bCs/>
          <w:color w:val="auto"/>
          <w:sz w:val="24"/>
          <w:highlight w:val="none"/>
        </w:rPr>
        <w:t>t。其中以</w:t>
      </w:r>
      <w:r>
        <w:rPr>
          <w:rFonts w:hint="eastAsia"/>
          <w:bCs/>
          <w:color w:val="auto"/>
          <w:sz w:val="24"/>
          <w:highlight w:val="none"/>
          <w:lang w:val="en-US" w:eastAsia="zh-CN"/>
        </w:rPr>
        <w:t>针叶林</w:t>
      </w:r>
      <w:r>
        <w:rPr>
          <w:bCs/>
          <w:color w:val="auto"/>
          <w:sz w:val="24"/>
          <w:highlight w:val="none"/>
        </w:rPr>
        <w:t>的生物量损失最高，约</w:t>
      </w:r>
      <w:r>
        <w:rPr>
          <w:rFonts w:hint="eastAsia"/>
          <w:bCs/>
          <w:color w:val="auto"/>
          <w:sz w:val="24"/>
          <w:highlight w:val="none"/>
          <w:lang w:val="en-US" w:eastAsia="zh-CN"/>
        </w:rPr>
        <w:t>74.58</w:t>
      </w:r>
      <w:r>
        <w:rPr>
          <w:bCs/>
          <w:color w:val="auto"/>
          <w:sz w:val="24"/>
          <w:highlight w:val="none"/>
        </w:rPr>
        <w:t>t，占</w:t>
      </w:r>
      <w:r>
        <w:rPr>
          <w:rFonts w:hint="eastAsia"/>
          <w:bCs/>
          <w:color w:val="auto"/>
          <w:sz w:val="24"/>
          <w:highlight w:val="none"/>
        </w:rPr>
        <w:t>损失</w:t>
      </w:r>
      <w:r>
        <w:rPr>
          <w:bCs/>
          <w:color w:val="auto"/>
          <w:sz w:val="24"/>
          <w:highlight w:val="none"/>
        </w:rPr>
        <w:t>生物量的</w:t>
      </w:r>
      <w:r>
        <w:rPr>
          <w:rFonts w:hint="eastAsia"/>
          <w:bCs/>
          <w:color w:val="auto"/>
          <w:sz w:val="24"/>
          <w:highlight w:val="none"/>
          <w:lang w:val="en-US" w:eastAsia="zh-CN"/>
        </w:rPr>
        <w:t>55.72</w:t>
      </w:r>
      <w:r>
        <w:rPr>
          <w:bCs/>
          <w:color w:val="auto"/>
          <w:sz w:val="24"/>
          <w:highlight w:val="none"/>
        </w:rPr>
        <w:t>%。项目建设带来的生物量损失占评价区植被总生物量的比例较小，仅为</w:t>
      </w:r>
      <w:r>
        <w:rPr>
          <w:rFonts w:hint="eastAsia"/>
          <w:bCs/>
          <w:color w:val="auto"/>
          <w:sz w:val="24"/>
          <w:highlight w:val="none"/>
        </w:rPr>
        <w:t>0.</w:t>
      </w:r>
      <w:r>
        <w:rPr>
          <w:rFonts w:hint="eastAsia"/>
          <w:bCs/>
          <w:color w:val="auto"/>
          <w:sz w:val="24"/>
          <w:highlight w:val="none"/>
          <w:lang w:val="en-US" w:eastAsia="zh-CN"/>
        </w:rPr>
        <w:t>13</w:t>
      </w:r>
      <w:r>
        <w:rPr>
          <w:bCs/>
          <w:color w:val="auto"/>
          <w:sz w:val="24"/>
          <w:highlight w:val="none"/>
        </w:rPr>
        <w:t>%，对评价区生物量的影响很小。</w:t>
      </w:r>
    </w:p>
    <w:p w14:paraId="6CA7CF0A">
      <w:pPr>
        <w:pStyle w:val="42"/>
        <w:bidi w:val="0"/>
        <w:rPr>
          <w:rFonts w:hint="eastAsia"/>
          <w:color w:val="auto"/>
        </w:rPr>
      </w:pPr>
      <w:r>
        <w:rPr>
          <w:rFonts w:hint="eastAsia"/>
          <w:color w:val="auto"/>
        </w:rPr>
        <w:t>表</w:t>
      </w:r>
      <w:r>
        <w:rPr>
          <w:rFonts w:hint="eastAsia"/>
          <w:color w:val="auto"/>
          <w:lang w:val="en-US" w:eastAsia="zh-CN"/>
        </w:rPr>
        <w:t>3</w:t>
      </w:r>
      <w:r>
        <w:rPr>
          <w:color w:val="auto"/>
        </w:rPr>
        <w:t>-</w:t>
      </w:r>
      <w:r>
        <w:rPr>
          <w:rFonts w:hint="eastAsia"/>
          <w:color w:val="auto"/>
          <w:lang w:val="en-US" w:eastAsia="zh-CN"/>
        </w:rPr>
        <w:t xml:space="preserve">3  </w:t>
      </w:r>
      <w:r>
        <w:rPr>
          <w:rFonts w:hint="eastAsia"/>
          <w:color w:val="auto"/>
        </w:rPr>
        <w:t>项目建成后评价区植被生物量损失情况表</w:t>
      </w:r>
    </w:p>
    <w:tbl>
      <w:tblPr>
        <w:tblStyle w:val="20"/>
        <w:tblW w:w="5000"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860"/>
        <w:gridCol w:w="1183"/>
        <w:gridCol w:w="1207"/>
        <w:gridCol w:w="902"/>
        <w:gridCol w:w="1108"/>
        <w:gridCol w:w="1415"/>
        <w:gridCol w:w="1143"/>
        <w:gridCol w:w="1128"/>
      </w:tblGrid>
      <w:tr w14:paraId="5E95DF3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525" w:hRule="atLeast"/>
        </w:trPr>
        <w:tc>
          <w:tcPr>
            <w:tcW w:w="480" w:type="pct"/>
            <w:tcBorders>
              <w:tl2br w:val="nil"/>
              <w:tr2bl w:val="nil"/>
            </w:tcBorders>
            <w:shd w:val="clear" w:color="auto" w:fill="auto"/>
            <w:noWrap/>
            <w:vAlign w:val="center"/>
          </w:tcPr>
          <w:p w14:paraId="41667F48">
            <w:pPr>
              <w:pStyle w:val="34"/>
              <w:tabs>
                <w:tab w:val="left" w:pos="1389"/>
              </w:tabs>
              <w:bidi w:val="0"/>
              <w:rPr>
                <w:rFonts w:hint="eastAsia"/>
                <w:color w:val="auto"/>
                <w:sz w:val="21"/>
                <w:szCs w:val="21"/>
              </w:rPr>
            </w:pPr>
            <w:r>
              <w:rPr>
                <w:rFonts w:hint="eastAsia"/>
                <w:color w:val="auto"/>
                <w:sz w:val="21"/>
                <w:szCs w:val="21"/>
                <w:lang w:val="en-US" w:eastAsia="zh-CN"/>
              </w:rPr>
              <w:t>属性</w:t>
            </w:r>
          </w:p>
        </w:tc>
        <w:tc>
          <w:tcPr>
            <w:tcW w:w="661" w:type="pct"/>
            <w:tcBorders>
              <w:tl2br w:val="nil"/>
              <w:tr2bl w:val="nil"/>
            </w:tcBorders>
            <w:shd w:val="clear" w:color="auto" w:fill="auto"/>
            <w:vAlign w:val="center"/>
          </w:tcPr>
          <w:p w14:paraId="7F6C5171">
            <w:pPr>
              <w:pStyle w:val="34"/>
              <w:tabs>
                <w:tab w:val="left" w:pos="1389"/>
              </w:tabs>
              <w:bidi w:val="0"/>
              <w:rPr>
                <w:rFonts w:hint="eastAsia"/>
                <w:color w:val="auto"/>
                <w:sz w:val="21"/>
                <w:szCs w:val="21"/>
              </w:rPr>
            </w:pPr>
            <w:r>
              <w:rPr>
                <w:rFonts w:hint="eastAsia"/>
                <w:color w:val="auto"/>
                <w:sz w:val="21"/>
                <w:szCs w:val="21"/>
                <w:lang w:val="en-US" w:eastAsia="zh-CN"/>
              </w:rPr>
              <w:t>生态系统</w:t>
            </w:r>
          </w:p>
        </w:tc>
        <w:tc>
          <w:tcPr>
            <w:tcW w:w="674" w:type="pct"/>
            <w:tcBorders>
              <w:tl2br w:val="nil"/>
              <w:tr2bl w:val="nil"/>
            </w:tcBorders>
            <w:shd w:val="clear" w:color="auto" w:fill="auto"/>
            <w:vAlign w:val="center"/>
          </w:tcPr>
          <w:p w14:paraId="518E9531">
            <w:pPr>
              <w:pStyle w:val="34"/>
              <w:tabs>
                <w:tab w:val="left" w:pos="1389"/>
              </w:tabs>
              <w:bidi w:val="0"/>
              <w:rPr>
                <w:rFonts w:hint="eastAsia"/>
                <w:color w:val="auto"/>
                <w:sz w:val="21"/>
                <w:szCs w:val="21"/>
              </w:rPr>
            </w:pPr>
            <w:r>
              <w:rPr>
                <w:rFonts w:hint="eastAsia"/>
                <w:color w:val="auto"/>
                <w:sz w:val="21"/>
                <w:szCs w:val="21"/>
                <w:lang w:val="en-US" w:eastAsia="zh-CN"/>
              </w:rPr>
              <w:t>评价区面积（</w:t>
            </w:r>
            <w:r>
              <w:rPr>
                <w:rFonts w:hint="default"/>
                <w:color w:val="auto"/>
                <w:sz w:val="21"/>
                <w:szCs w:val="21"/>
                <w:lang w:val="en-US" w:eastAsia="zh-CN"/>
              </w:rPr>
              <w:t>hm</w:t>
            </w:r>
            <w:r>
              <w:rPr>
                <w:rFonts w:hint="default"/>
                <w:color w:val="auto"/>
                <w:sz w:val="21"/>
                <w:szCs w:val="21"/>
                <w:vertAlign w:val="superscript"/>
                <w:lang w:val="en-US" w:eastAsia="zh-CN"/>
              </w:rPr>
              <w:t>2</w:t>
            </w:r>
            <w:r>
              <w:rPr>
                <w:rFonts w:hint="eastAsia"/>
                <w:color w:val="auto"/>
                <w:sz w:val="21"/>
                <w:szCs w:val="21"/>
                <w:lang w:val="en-US" w:eastAsia="zh-CN"/>
              </w:rPr>
              <w:t>）</w:t>
            </w:r>
          </w:p>
        </w:tc>
        <w:tc>
          <w:tcPr>
            <w:tcW w:w="504" w:type="pct"/>
            <w:tcBorders>
              <w:tl2br w:val="nil"/>
              <w:tr2bl w:val="nil"/>
            </w:tcBorders>
            <w:shd w:val="clear" w:color="auto" w:fill="auto"/>
            <w:vAlign w:val="center"/>
          </w:tcPr>
          <w:p w14:paraId="0A7133D5">
            <w:pPr>
              <w:pStyle w:val="34"/>
              <w:tabs>
                <w:tab w:val="left" w:pos="1389"/>
              </w:tabs>
              <w:bidi w:val="0"/>
              <w:rPr>
                <w:rFonts w:hint="eastAsia"/>
                <w:color w:val="auto"/>
                <w:sz w:val="21"/>
                <w:szCs w:val="21"/>
              </w:rPr>
            </w:pPr>
            <w:r>
              <w:rPr>
                <w:rFonts w:hint="eastAsia"/>
                <w:color w:val="auto"/>
                <w:sz w:val="21"/>
                <w:szCs w:val="21"/>
                <w:lang w:val="en-US" w:eastAsia="zh-CN"/>
              </w:rPr>
              <w:t>占地面积（</w:t>
            </w:r>
            <w:r>
              <w:rPr>
                <w:color w:val="auto"/>
                <w:sz w:val="21"/>
                <w:szCs w:val="21"/>
                <w:lang w:val="en-US" w:eastAsia="zh-CN"/>
              </w:rPr>
              <w:t>hm</w:t>
            </w:r>
            <w:r>
              <w:rPr>
                <w:color w:val="auto"/>
                <w:sz w:val="21"/>
                <w:szCs w:val="21"/>
                <w:vertAlign w:val="superscript"/>
                <w:lang w:val="en-US" w:eastAsia="zh-CN"/>
              </w:rPr>
              <w:t>2</w:t>
            </w:r>
            <w:r>
              <w:rPr>
                <w:color w:val="auto"/>
                <w:sz w:val="21"/>
                <w:szCs w:val="21"/>
                <w:lang w:val="en-US" w:eastAsia="zh-CN"/>
              </w:rPr>
              <w:t>）</w:t>
            </w:r>
          </w:p>
        </w:tc>
        <w:tc>
          <w:tcPr>
            <w:tcW w:w="619" w:type="pct"/>
            <w:tcBorders>
              <w:tl2br w:val="nil"/>
              <w:tr2bl w:val="nil"/>
            </w:tcBorders>
            <w:shd w:val="clear" w:color="auto" w:fill="auto"/>
            <w:vAlign w:val="center"/>
          </w:tcPr>
          <w:p w14:paraId="7D6CAE2A">
            <w:pPr>
              <w:pStyle w:val="34"/>
              <w:tabs>
                <w:tab w:val="left" w:pos="1389"/>
              </w:tabs>
              <w:bidi w:val="0"/>
              <w:rPr>
                <w:rFonts w:hint="eastAsia"/>
                <w:color w:val="auto"/>
                <w:sz w:val="21"/>
                <w:szCs w:val="21"/>
              </w:rPr>
            </w:pPr>
            <w:r>
              <w:rPr>
                <w:rFonts w:hint="eastAsia"/>
                <w:color w:val="auto"/>
                <w:sz w:val="21"/>
                <w:szCs w:val="21"/>
                <w:lang w:val="en-US" w:eastAsia="zh-CN"/>
              </w:rPr>
              <w:t>生物量（</w:t>
            </w:r>
            <w:r>
              <w:rPr>
                <w:color w:val="auto"/>
                <w:sz w:val="21"/>
                <w:szCs w:val="21"/>
                <w:lang w:val="en-US" w:eastAsia="zh-CN"/>
              </w:rPr>
              <w:t>t/hm</w:t>
            </w:r>
            <w:r>
              <w:rPr>
                <w:color w:val="auto"/>
                <w:sz w:val="21"/>
                <w:szCs w:val="21"/>
                <w:vertAlign w:val="superscript"/>
                <w:lang w:val="en-US" w:eastAsia="zh-CN"/>
              </w:rPr>
              <w:t>2</w:t>
            </w:r>
            <w:r>
              <w:rPr>
                <w:color w:val="auto"/>
                <w:sz w:val="21"/>
                <w:szCs w:val="21"/>
                <w:lang w:val="en-US" w:eastAsia="zh-CN"/>
              </w:rPr>
              <w:t>）</w:t>
            </w:r>
          </w:p>
        </w:tc>
        <w:tc>
          <w:tcPr>
            <w:tcW w:w="790" w:type="pct"/>
            <w:tcBorders>
              <w:tl2br w:val="nil"/>
              <w:tr2bl w:val="nil"/>
            </w:tcBorders>
            <w:shd w:val="clear" w:color="auto" w:fill="auto"/>
            <w:vAlign w:val="center"/>
          </w:tcPr>
          <w:p w14:paraId="088CCADE">
            <w:pPr>
              <w:pStyle w:val="34"/>
              <w:tabs>
                <w:tab w:val="left" w:pos="1389"/>
              </w:tabs>
              <w:bidi w:val="0"/>
              <w:rPr>
                <w:rFonts w:hint="eastAsia"/>
                <w:color w:val="auto"/>
                <w:sz w:val="21"/>
                <w:szCs w:val="21"/>
              </w:rPr>
            </w:pPr>
            <w:r>
              <w:rPr>
                <w:rFonts w:hint="eastAsia"/>
                <w:color w:val="auto"/>
                <w:sz w:val="21"/>
                <w:szCs w:val="21"/>
                <w:lang w:val="en-US" w:eastAsia="zh-CN"/>
              </w:rPr>
              <w:t>评价区生物量（</w:t>
            </w:r>
            <w:r>
              <w:rPr>
                <w:rFonts w:hint="default"/>
                <w:color w:val="auto"/>
                <w:sz w:val="21"/>
                <w:szCs w:val="21"/>
                <w:lang w:val="en-US" w:eastAsia="zh-CN"/>
              </w:rPr>
              <w:t>t</w:t>
            </w:r>
            <w:r>
              <w:rPr>
                <w:rFonts w:hint="eastAsia"/>
                <w:color w:val="auto"/>
                <w:sz w:val="21"/>
                <w:szCs w:val="21"/>
                <w:lang w:val="en-US" w:eastAsia="zh-CN"/>
              </w:rPr>
              <w:t>）</w:t>
            </w:r>
          </w:p>
        </w:tc>
        <w:tc>
          <w:tcPr>
            <w:tcW w:w="638" w:type="pct"/>
            <w:tcBorders>
              <w:tl2br w:val="nil"/>
              <w:tr2bl w:val="nil"/>
            </w:tcBorders>
            <w:shd w:val="clear" w:color="auto" w:fill="auto"/>
            <w:vAlign w:val="center"/>
          </w:tcPr>
          <w:p w14:paraId="1F105069">
            <w:pPr>
              <w:pStyle w:val="34"/>
              <w:tabs>
                <w:tab w:val="left" w:pos="1389"/>
              </w:tabs>
              <w:bidi w:val="0"/>
              <w:rPr>
                <w:rFonts w:hint="eastAsia"/>
                <w:color w:val="auto"/>
                <w:sz w:val="21"/>
                <w:szCs w:val="21"/>
              </w:rPr>
            </w:pPr>
            <w:r>
              <w:rPr>
                <w:rFonts w:hint="eastAsia"/>
                <w:color w:val="auto"/>
                <w:sz w:val="21"/>
                <w:szCs w:val="21"/>
                <w:lang w:val="en-US" w:eastAsia="zh-CN"/>
              </w:rPr>
              <w:t>损失生物量（</w:t>
            </w:r>
            <w:r>
              <w:rPr>
                <w:color w:val="auto"/>
                <w:sz w:val="21"/>
                <w:szCs w:val="21"/>
                <w:lang w:val="en-US" w:eastAsia="zh-CN"/>
              </w:rPr>
              <w:t>t</w:t>
            </w:r>
            <w:r>
              <w:rPr>
                <w:rFonts w:hint="eastAsia"/>
                <w:color w:val="auto"/>
                <w:sz w:val="21"/>
                <w:szCs w:val="21"/>
                <w:lang w:val="en-US" w:eastAsia="zh-CN"/>
              </w:rPr>
              <w:t>）</w:t>
            </w:r>
          </w:p>
        </w:tc>
        <w:tc>
          <w:tcPr>
            <w:tcW w:w="630" w:type="pct"/>
            <w:tcBorders>
              <w:tl2br w:val="nil"/>
              <w:tr2bl w:val="nil"/>
            </w:tcBorders>
            <w:shd w:val="clear" w:color="auto" w:fill="auto"/>
            <w:vAlign w:val="center"/>
          </w:tcPr>
          <w:p w14:paraId="6008B981">
            <w:pPr>
              <w:pStyle w:val="34"/>
              <w:tabs>
                <w:tab w:val="left" w:pos="1389"/>
              </w:tabs>
              <w:bidi w:val="0"/>
              <w:rPr>
                <w:rFonts w:hint="eastAsia"/>
                <w:color w:val="auto"/>
                <w:sz w:val="21"/>
                <w:szCs w:val="21"/>
              </w:rPr>
            </w:pPr>
            <w:r>
              <w:rPr>
                <w:rFonts w:hint="eastAsia"/>
                <w:color w:val="auto"/>
                <w:sz w:val="21"/>
                <w:szCs w:val="21"/>
                <w:lang w:val="en-US" w:eastAsia="zh-CN"/>
              </w:rPr>
              <w:t>损失生物量百分比（</w:t>
            </w:r>
            <w:r>
              <w:rPr>
                <w:color w:val="auto"/>
                <w:sz w:val="21"/>
                <w:szCs w:val="21"/>
                <w:lang w:val="en-US" w:eastAsia="zh-CN"/>
              </w:rPr>
              <w:t>%</w:t>
            </w:r>
            <w:r>
              <w:rPr>
                <w:rFonts w:hint="eastAsia"/>
                <w:color w:val="auto"/>
                <w:sz w:val="21"/>
                <w:szCs w:val="21"/>
                <w:lang w:val="en-US" w:eastAsia="zh-CN"/>
              </w:rPr>
              <w:t>）</w:t>
            </w:r>
          </w:p>
        </w:tc>
      </w:tr>
      <w:tr w14:paraId="04FB1442">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80" w:type="pct"/>
            <w:vMerge w:val="restart"/>
            <w:tcBorders>
              <w:tl2br w:val="nil"/>
              <w:tr2bl w:val="nil"/>
            </w:tcBorders>
            <w:shd w:val="clear" w:color="auto" w:fill="auto"/>
            <w:noWrap/>
            <w:vAlign w:val="center"/>
          </w:tcPr>
          <w:p w14:paraId="26528A9D">
            <w:pPr>
              <w:pStyle w:val="34"/>
              <w:tabs>
                <w:tab w:val="left" w:pos="1389"/>
              </w:tabs>
              <w:bidi w:val="0"/>
              <w:rPr>
                <w:rFonts w:hint="eastAsia"/>
                <w:color w:val="auto"/>
                <w:sz w:val="21"/>
                <w:szCs w:val="21"/>
              </w:rPr>
            </w:pPr>
            <w:r>
              <w:rPr>
                <w:rFonts w:hint="eastAsia"/>
                <w:color w:val="auto"/>
                <w:sz w:val="21"/>
                <w:szCs w:val="21"/>
                <w:lang w:val="en-US" w:eastAsia="zh-CN"/>
              </w:rPr>
              <w:t>自然植被</w:t>
            </w:r>
          </w:p>
        </w:tc>
        <w:tc>
          <w:tcPr>
            <w:tcW w:w="661" w:type="pct"/>
            <w:tcBorders>
              <w:tl2br w:val="nil"/>
              <w:tr2bl w:val="nil"/>
            </w:tcBorders>
            <w:shd w:val="clear" w:color="auto" w:fill="auto"/>
            <w:vAlign w:val="center"/>
          </w:tcPr>
          <w:p w14:paraId="722262E4">
            <w:pPr>
              <w:pStyle w:val="34"/>
              <w:tabs>
                <w:tab w:val="left" w:pos="1389"/>
              </w:tabs>
              <w:bidi w:val="0"/>
              <w:rPr>
                <w:rFonts w:hint="eastAsia"/>
                <w:color w:val="auto"/>
                <w:sz w:val="21"/>
                <w:szCs w:val="21"/>
              </w:rPr>
            </w:pPr>
            <w:r>
              <w:rPr>
                <w:rFonts w:hint="eastAsia"/>
                <w:color w:val="auto"/>
                <w:sz w:val="21"/>
                <w:szCs w:val="21"/>
                <w:lang w:val="en-US" w:eastAsia="zh-CN"/>
              </w:rPr>
              <w:t>阔叶林</w:t>
            </w:r>
          </w:p>
        </w:tc>
        <w:tc>
          <w:tcPr>
            <w:tcW w:w="674" w:type="pct"/>
            <w:tcBorders>
              <w:tl2br w:val="nil"/>
              <w:tr2bl w:val="nil"/>
            </w:tcBorders>
            <w:shd w:val="clear" w:color="auto" w:fill="auto"/>
            <w:noWrap/>
            <w:vAlign w:val="center"/>
          </w:tcPr>
          <w:p w14:paraId="505184ED">
            <w:pPr>
              <w:pStyle w:val="34"/>
              <w:tabs>
                <w:tab w:val="left" w:pos="1389"/>
              </w:tabs>
              <w:bidi w:val="0"/>
              <w:rPr>
                <w:rFonts w:hint="eastAsia"/>
                <w:color w:val="auto"/>
              </w:rPr>
            </w:pPr>
            <w:r>
              <w:rPr>
                <w:rFonts w:hint="eastAsia"/>
                <w:color w:val="auto"/>
                <w:lang w:val="en-US" w:eastAsia="zh-CN"/>
              </w:rPr>
              <w:t>43.3047</w:t>
            </w:r>
          </w:p>
        </w:tc>
        <w:tc>
          <w:tcPr>
            <w:tcW w:w="504" w:type="pct"/>
            <w:tcBorders>
              <w:tl2br w:val="nil"/>
              <w:tr2bl w:val="nil"/>
            </w:tcBorders>
            <w:shd w:val="clear" w:color="auto" w:fill="auto"/>
            <w:noWrap/>
            <w:vAlign w:val="center"/>
          </w:tcPr>
          <w:p w14:paraId="05B8354D">
            <w:pPr>
              <w:pStyle w:val="34"/>
              <w:tabs>
                <w:tab w:val="left" w:pos="1389"/>
              </w:tabs>
              <w:bidi w:val="0"/>
              <w:rPr>
                <w:rFonts w:hint="eastAsia"/>
                <w:color w:val="auto"/>
              </w:rPr>
            </w:pPr>
            <w:r>
              <w:rPr>
                <w:rFonts w:hint="eastAsia"/>
                <w:color w:val="auto"/>
                <w:lang w:val="en-US" w:eastAsia="zh-CN"/>
              </w:rPr>
              <w:t>0</w:t>
            </w:r>
          </w:p>
        </w:tc>
        <w:tc>
          <w:tcPr>
            <w:tcW w:w="619" w:type="pct"/>
            <w:tcBorders>
              <w:tl2br w:val="nil"/>
              <w:tr2bl w:val="nil"/>
            </w:tcBorders>
            <w:shd w:val="clear" w:color="auto" w:fill="auto"/>
            <w:noWrap/>
            <w:vAlign w:val="center"/>
          </w:tcPr>
          <w:p w14:paraId="1A689345">
            <w:pPr>
              <w:pStyle w:val="34"/>
              <w:tabs>
                <w:tab w:val="left" w:pos="1389"/>
              </w:tabs>
              <w:bidi w:val="0"/>
              <w:rPr>
                <w:rFonts w:hint="eastAsia"/>
                <w:color w:val="auto"/>
              </w:rPr>
            </w:pPr>
            <w:r>
              <w:rPr>
                <w:rFonts w:hint="eastAsia"/>
                <w:color w:val="auto"/>
                <w:lang w:val="en-US" w:eastAsia="zh-CN"/>
              </w:rPr>
              <w:t>180.00</w:t>
            </w:r>
          </w:p>
        </w:tc>
        <w:tc>
          <w:tcPr>
            <w:tcW w:w="790" w:type="pct"/>
            <w:tcBorders>
              <w:tl2br w:val="nil"/>
              <w:tr2bl w:val="nil"/>
            </w:tcBorders>
            <w:shd w:val="clear" w:color="auto" w:fill="auto"/>
            <w:vAlign w:val="center"/>
          </w:tcPr>
          <w:p w14:paraId="51875431">
            <w:pPr>
              <w:pStyle w:val="34"/>
              <w:tabs>
                <w:tab w:val="left" w:pos="1389"/>
              </w:tabs>
              <w:bidi w:val="0"/>
              <w:rPr>
                <w:rFonts w:hint="eastAsia"/>
                <w:color w:val="auto"/>
              </w:rPr>
            </w:pPr>
            <w:r>
              <w:rPr>
                <w:rFonts w:hint="eastAsia"/>
                <w:color w:val="auto"/>
                <w:lang w:val="en-US" w:eastAsia="zh-CN"/>
              </w:rPr>
              <w:t>7794.8460</w:t>
            </w:r>
          </w:p>
        </w:tc>
        <w:tc>
          <w:tcPr>
            <w:tcW w:w="638" w:type="pct"/>
            <w:tcBorders>
              <w:tl2br w:val="nil"/>
              <w:tr2bl w:val="nil"/>
            </w:tcBorders>
            <w:shd w:val="clear" w:color="auto" w:fill="auto"/>
            <w:noWrap/>
            <w:vAlign w:val="center"/>
          </w:tcPr>
          <w:p w14:paraId="35D48BCF">
            <w:pPr>
              <w:pStyle w:val="34"/>
              <w:tabs>
                <w:tab w:val="left" w:pos="1389"/>
              </w:tabs>
              <w:bidi w:val="0"/>
              <w:rPr>
                <w:rFonts w:hint="eastAsia"/>
                <w:color w:val="auto"/>
              </w:rPr>
            </w:pPr>
            <w:r>
              <w:rPr>
                <w:rFonts w:hint="eastAsia"/>
                <w:color w:val="auto"/>
                <w:lang w:val="en-US" w:eastAsia="zh-CN"/>
              </w:rPr>
              <w:t>0</w:t>
            </w:r>
          </w:p>
        </w:tc>
        <w:tc>
          <w:tcPr>
            <w:tcW w:w="630" w:type="pct"/>
            <w:tcBorders>
              <w:tl2br w:val="nil"/>
              <w:tr2bl w:val="nil"/>
            </w:tcBorders>
            <w:shd w:val="clear" w:color="auto" w:fill="auto"/>
            <w:noWrap/>
            <w:vAlign w:val="center"/>
          </w:tcPr>
          <w:p w14:paraId="05C2433C">
            <w:pPr>
              <w:pStyle w:val="34"/>
              <w:tabs>
                <w:tab w:val="left" w:pos="1389"/>
              </w:tabs>
              <w:bidi w:val="0"/>
              <w:rPr>
                <w:rFonts w:hint="eastAsia"/>
                <w:color w:val="auto"/>
              </w:rPr>
            </w:pPr>
            <w:r>
              <w:rPr>
                <w:rFonts w:hint="eastAsia"/>
                <w:color w:val="auto"/>
                <w:lang w:val="en-US" w:eastAsia="zh-CN"/>
              </w:rPr>
              <w:t>0</w:t>
            </w:r>
          </w:p>
        </w:tc>
      </w:tr>
      <w:tr w14:paraId="4608E7F5">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80" w:type="pct"/>
            <w:vMerge w:val="continue"/>
            <w:tcBorders>
              <w:tl2br w:val="nil"/>
              <w:tr2bl w:val="nil"/>
            </w:tcBorders>
            <w:shd w:val="clear" w:color="auto" w:fill="auto"/>
            <w:noWrap/>
            <w:vAlign w:val="center"/>
          </w:tcPr>
          <w:p w14:paraId="255864B2">
            <w:pPr>
              <w:pStyle w:val="34"/>
              <w:tabs>
                <w:tab w:val="left" w:pos="1389"/>
              </w:tabs>
              <w:bidi w:val="0"/>
              <w:rPr>
                <w:rFonts w:hint="eastAsia"/>
                <w:color w:val="auto"/>
                <w:sz w:val="21"/>
                <w:szCs w:val="21"/>
              </w:rPr>
            </w:pPr>
          </w:p>
        </w:tc>
        <w:tc>
          <w:tcPr>
            <w:tcW w:w="661" w:type="pct"/>
            <w:tcBorders>
              <w:tl2br w:val="nil"/>
              <w:tr2bl w:val="nil"/>
            </w:tcBorders>
            <w:shd w:val="clear" w:color="auto" w:fill="auto"/>
            <w:vAlign w:val="center"/>
          </w:tcPr>
          <w:p w14:paraId="4723451C">
            <w:pPr>
              <w:pStyle w:val="34"/>
              <w:tabs>
                <w:tab w:val="left" w:pos="1389"/>
              </w:tabs>
              <w:bidi w:val="0"/>
              <w:rPr>
                <w:rFonts w:hint="eastAsia"/>
                <w:color w:val="auto"/>
                <w:sz w:val="21"/>
                <w:szCs w:val="21"/>
              </w:rPr>
            </w:pPr>
            <w:r>
              <w:rPr>
                <w:rFonts w:hint="eastAsia"/>
                <w:color w:val="auto"/>
                <w:sz w:val="21"/>
                <w:szCs w:val="21"/>
                <w:lang w:val="en-US" w:eastAsia="zh-CN"/>
              </w:rPr>
              <w:t>落叶阔叶林</w:t>
            </w:r>
          </w:p>
        </w:tc>
        <w:tc>
          <w:tcPr>
            <w:tcW w:w="674" w:type="pct"/>
            <w:tcBorders>
              <w:tl2br w:val="nil"/>
              <w:tr2bl w:val="nil"/>
            </w:tcBorders>
            <w:shd w:val="clear" w:color="auto" w:fill="auto"/>
            <w:noWrap/>
            <w:vAlign w:val="center"/>
          </w:tcPr>
          <w:p w14:paraId="72E0821A">
            <w:pPr>
              <w:pStyle w:val="34"/>
              <w:tabs>
                <w:tab w:val="left" w:pos="1389"/>
              </w:tabs>
              <w:bidi w:val="0"/>
              <w:rPr>
                <w:rFonts w:hint="eastAsia"/>
                <w:color w:val="auto"/>
              </w:rPr>
            </w:pPr>
            <w:r>
              <w:rPr>
                <w:rFonts w:hint="eastAsia"/>
                <w:color w:val="auto"/>
                <w:lang w:val="en-US" w:eastAsia="zh-CN"/>
              </w:rPr>
              <w:t>17.5925</w:t>
            </w:r>
          </w:p>
        </w:tc>
        <w:tc>
          <w:tcPr>
            <w:tcW w:w="504" w:type="pct"/>
            <w:tcBorders>
              <w:tl2br w:val="nil"/>
              <w:tr2bl w:val="nil"/>
            </w:tcBorders>
            <w:shd w:val="clear" w:color="auto" w:fill="auto"/>
            <w:noWrap/>
            <w:vAlign w:val="center"/>
          </w:tcPr>
          <w:p w14:paraId="565DEC5D">
            <w:pPr>
              <w:pStyle w:val="34"/>
              <w:tabs>
                <w:tab w:val="left" w:pos="1389"/>
              </w:tabs>
              <w:bidi w:val="0"/>
              <w:rPr>
                <w:rFonts w:hint="eastAsia"/>
                <w:color w:val="auto"/>
              </w:rPr>
            </w:pPr>
            <w:r>
              <w:rPr>
                <w:rFonts w:hint="eastAsia"/>
                <w:color w:val="auto"/>
                <w:lang w:val="en-US" w:eastAsia="zh-CN"/>
              </w:rPr>
              <w:t>0.1193</w:t>
            </w:r>
          </w:p>
        </w:tc>
        <w:tc>
          <w:tcPr>
            <w:tcW w:w="619" w:type="pct"/>
            <w:tcBorders>
              <w:tl2br w:val="nil"/>
              <w:tr2bl w:val="nil"/>
            </w:tcBorders>
            <w:shd w:val="clear" w:color="auto" w:fill="auto"/>
            <w:noWrap/>
            <w:vAlign w:val="center"/>
          </w:tcPr>
          <w:p w14:paraId="6D3722A4">
            <w:pPr>
              <w:pStyle w:val="34"/>
              <w:tabs>
                <w:tab w:val="left" w:pos="1389"/>
              </w:tabs>
              <w:bidi w:val="0"/>
              <w:rPr>
                <w:rFonts w:hint="eastAsia"/>
                <w:color w:val="auto"/>
              </w:rPr>
            </w:pPr>
            <w:r>
              <w:rPr>
                <w:rFonts w:hint="eastAsia"/>
                <w:color w:val="auto"/>
                <w:lang w:val="en-US" w:eastAsia="zh-CN"/>
              </w:rPr>
              <w:t>150.00</w:t>
            </w:r>
          </w:p>
        </w:tc>
        <w:tc>
          <w:tcPr>
            <w:tcW w:w="790" w:type="pct"/>
            <w:tcBorders>
              <w:tl2br w:val="nil"/>
              <w:tr2bl w:val="nil"/>
            </w:tcBorders>
            <w:shd w:val="clear" w:color="auto" w:fill="auto"/>
            <w:vAlign w:val="center"/>
          </w:tcPr>
          <w:p w14:paraId="281293E2">
            <w:pPr>
              <w:pStyle w:val="34"/>
              <w:tabs>
                <w:tab w:val="left" w:pos="1389"/>
              </w:tabs>
              <w:bidi w:val="0"/>
              <w:rPr>
                <w:rFonts w:hint="eastAsia"/>
                <w:color w:val="auto"/>
              </w:rPr>
            </w:pPr>
            <w:r>
              <w:rPr>
                <w:rFonts w:hint="eastAsia"/>
                <w:color w:val="auto"/>
                <w:lang w:val="en-US" w:eastAsia="zh-CN"/>
              </w:rPr>
              <w:t>2638.8801</w:t>
            </w:r>
          </w:p>
        </w:tc>
        <w:tc>
          <w:tcPr>
            <w:tcW w:w="638" w:type="pct"/>
            <w:tcBorders>
              <w:tl2br w:val="nil"/>
              <w:tr2bl w:val="nil"/>
            </w:tcBorders>
            <w:shd w:val="clear" w:color="auto" w:fill="auto"/>
            <w:noWrap/>
            <w:vAlign w:val="center"/>
          </w:tcPr>
          <w:p w14:paraId="0AB25381">
            <w:pPr>
              <w:pStyle w:val="34"/>
              <w:tabs>
                <w:tab w:val="left" w:pos="1389"/>
              </w:tabs>
              <w:bidi w:val="0"/>
              <w:rPr>
                <w:rFonts w:hint="eastAsia"/>
                <w:color w:val="auto"/>
              </w:rPr>
            </w:pPr>
            <w:r>
              <w:rPr>
                <w:rFonts w:hint="eastAsia"/>
                <w:color w:val="auto"/>
                <w:lang w:val="en-US" w:eastAsia="zh-CN"/>
              </w:rPr>
              <w:t>17.8875</w:t>
            </w:r>
          </w:p>
        </w:tc>
        <w:tc>
          <w:tcPr>
            <w:tcW w:w="630" w:type="pct"/>
            <w:tcBorders>
              <w:tl2br w:val="nil"/>
              <w:tr2bl w:val="nil"/>
            </w:tcBorders>
            <w:shd w:val="clear" w:color="auto" w:fill="auto"/>
            <w:noWrap/>
            <w:vAlign w:val="center"/>
          </w:tcPr>
          <w:p w14:paraId="4E9F2F94">
            <w:pPr>
              <w:pStyle w:val="34"/>
              <w:tabs>
                <w:tab w:val="left" w:pos="1389"/>
              </w:tabs>
              <w:bidi w:val="0"/>
              <w:rPr>
                <w:rFonts w:hint="eastAsia"/>
                <w:color w:val="auto"/>
              </w:rPr>
            </w:pPr>
            <w:r>
              <w:rPr>
                <w:rFonts w:hint="eastAsia"/>
                <w:color w:val="auto"/>
                <w:lang w:val="en-US" w:eastAsia="zh-CN"/>
              </w:rPr>
              <w:t>0.6778</w:t>
            </w:r>
          </w:p>
        </w:tc>
      </w:tr>
      <w:tr w14:paraId="0B82D0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80" w:type="pct"/>
            <w:vMerge w:val="continue"/>
            <w:tcBorders>
              <w:tl2br w:val="nil"/>
              <w:tr2bl w:val="nil"/>
            </w:tcBorders>
            <w:shd w:val="clear" w:color="auto" w:fill="auto"/>
            <w:noWrap/>
            <w:vAlign w:val="center"/>
          </w:tcPr>
          <w:p w14:paraId="17742085">
            <w:pPr>
              <w:pStyle w:val="34"/>
              <w:tabs>
                <w:tab w:val="left" w:pos="1389"/>
              </w:tabs>
              <w:bidi w:val="0"/>
              <w:rPr>
                <w:rFonts w:hint="eastAsia"/>
                <w:color w:val="auto"/>
                <w:sz w:val="21"/>
                <w:szCs w:val="21"/>
              </w:rPr>
            </w:pPr>
          </w:p>
        </w:tc>
        <w:tc>
          <w:tcPr>
            <w:tcW w:w="661" w:type="pct"/>
            <w:tcBorders>
              <w:tl2br w:val="nil"/>
              <w:tr2bl w:val="nil"/>
            </w:tcBorders>
            <w:shd w:val="clear" w:color="auto" w:fill="auto"/>
            <w:noWrap/>
            <w:vAlign w:val="center"/>
          </w:tcPr>
          <w:p w14:paraId="5F66FD60">
            <w:pPr>
              <w:pStyle w:val="34"/>
              <w:tabs>
                <w:tab w:val="left" w:pos="1389"/>
              </w:tabs>
              <w:bidi w:val="0"/>
              <w:rPr>
                <w:rFonts w:hint="eastAsia"/>
                <w:color w:val="auto"/>
                <w:sz w:val="21"/>
                <w:szCs w:val="21"/>
              </w:rPr>
            </w:pPr>
            <w:r>
              <w:rPr>
                <w:rFonts w:hint="eastAsia"/>
                <w:color w:val="auto"/>
                <w:sz w:val="21"/>
                <w:szCs w:val="21"/>
                <w:lang w:val="en-US" w:eastAsia="zh-CN"/>
              </w:rPr>
              <w:t>针叶林</w:t>
            </w:r>
          </w:p>
        </w:tc>
        <w:tc>
          <w:tcPr>
            <w:tcW w:w="674" w:type="pct"/>
            <w:tcBorders>
              <w:tl2br w:val="nil"/>
              <w:tr2bl w:val="nil"/>
            </w:tcBorders>
            <w:shd w:val="clear" w:color="auto" w:fill="auto"/>
            <w:noWrap/>
            <w:vAlign w:val="center"/>
          </w:tcPr>
          <w:p w14:paraId="6A72E1F2">
            <w:pPr>
              <w:pStyle w:val="34"/>
              <w:tabs>
                <w:tab w:val="left" w:pos="1389"/>
              </w:tabs>
              <w:bidi w:val="0"/>
              <w:rPr>
                <w:rFonts w:hint="eastAsia"/>
                <w:color w:val="auto"/>
              </w:rPr>
            </w:pPr>
            <w:r>
              <w:rPr>
                <w:rFonts w:hint="eastAsia"/>
                <w:color w:val="auto"/>
                <w:lang w:val="en-US" w:eastAsia="zh-CN"/>
              </w:rPr>
              <w:t>695.5817</w:t>
            </w:r>
          </w:p>
        </w:tc>
        <w:tc>
          <w:tcPr>
            <w:tcW w:w="504" w:type="pct"/>
            <w:tcBorders>
              <w:tl2br w:val="nil"/>
              <w:tr2bl w:val="nil"/>
            </w:tcBorders>
            <w:shd w:val="clear" w:color="auto" w:fill="auto"/>
            <w:noWrap/>
            <w:vAlign w:val="center"/>
          </w:tcPr>
          <w:p w14:paraId="7AAEEA2E">
            <w:pPr>
              <w:pStyle w:val="34"/>
              <w:tabs>
                <w:tab w:val="left" w:pos="1389"/>
              </w:tabs>
              <w:bidi w:val="0"/>
              <w:rPr>
                <w:rFonts w:hint="eastAsia"/>
                <w:color w:val="auto"/>
              </w:rPr>
            </w:pPr>
            <w:r>
              <w:rPr>
                <w:rFonts w:hint="eastAsia"/>
                <w:color w:val="auto"/>
                <w:lang w:val="en-US" w:eastAsia="zh-CN"/>
              </w:rPr>
              <w:t>0.5737</w:t>
            </w:r>
          </w:p>
        </w:tc>
        <w:tc>
          <w:tcPr>
            <w:tcW w:w="619" w:type="pct"/>
            <w:tcBorders>
              <w:tl2br w:val="nil"/>
              <w:tr2bl w:val="nil"/>
            </w:tcBorders>
            <w:shd w:val="clear" w:color="auto" w:fill="auto"/>
            <w:vAlign w:val="center"/>
          </w:tcPr>
          <w:p w14:paraId="725A63C5">
            <w:pPr>
              <w:pStyle w:val="34"/>
              <w:tabs>
                <w:tab w:val="left" w:pos="1389"/>
              </w:tabs>
              <w:bidi w:val="0"/>
              <w:rPr>
                <w:rFonts w:hint="eastAsia"/>
                <w:color w:val="auto"/>
              </w:rPr>
            </w:pPr>
            <w:r>
              <w:rPr>
                <w:rFonts w:hint="eastAsia"/>
                <w:color w:val="auto"/>
                <w:lang w:val="en-US" w:eastAsia="zh-CN"/>
              </w:rPr>
              <w:t>130.00</w:t>
            </w:r>
          </w:p>
        </w:tc>
        <w:tc>
          <w:tcPr>
            <w:tcW w:w="790" w:type="pct"/>
            <w:tcBorders>
              <w:tl2br w:val="nil"/>
              <w:tr2bl w:val="nil"/>
            </w:tcBorders>
            <w:shd w:val="clear" w:color="auto" w:fill="auto"/>
            <w:vAlign w:val="center"/>
          </w:tcPr>
          <w:p w14:paraId="0EB7AEF8">
            <w:pPr>
              <w:pStyle w:val="34"/>
              <w:tabs>
                <w:tab w:val="left" w:pos="1389"/>
              </w:tabs>
              <w:bidi w:val="0"/>
              <w:rPr>
                <w:rFonts w:hint="eastAsia"/>
                <w:color w:val="auto"/>
              </w:rPr>
            </w:pPr>
            <w:r>
              <w:rPr>
                <w:rFonts w:hint="eastAsia"/>
                <w:color w:val="auto"/>
                <w:lang w:val="en-US" w:eastAsia="zh-CN"/>
              </w:rPr>
              <w:t>90425.6264</w:t>
            </w:r>
          </w:p>
        </w:tc>
        <w:tc>
          <w:tcPr>
            <w:tcW w:w="638" w:type="pct"/>
            <w:tcBorders>
              <w:tl2br w:val="nil"/>
              <w:tr2bl w:val="nil"/>
            </w:tcBorders>
            <w:shd w:val="clear" w:color="auto" w:fill="auto"/>
            <w:noWrap/>
            <w:vAlign w:val="center"/>
          </w:tcPr>
          <w:p w14:paraId="52CF1F07">
            <w:pPr>
              <w:pStyle w:val="34"/>
              <w:tabs>
                <w:tab w:val="left" w:pos="1389"/>
              </w:tabs>
              <w:bidi w:val="0"/>
              <w:rPr>
                <w:rFonts w:hint="eastAsia"/>
                <w:color w:val="auto"/>
              </w:rPr>
            </w:pPr>
            <w:r>
              <w:rPr>
                <w:rFonts w:hint="eastAsia"/>
                <w:color w:val="auto"/>
                <w:lang w:val="en-US" w:eastAsia="zh-CN"/>
              </w:rPr>
              <w:t>74.5800</w:t>
            </w:r>
          </w:p>
        </w:tc>
        <w:tc>
          <w:tcPr>
            <w:tcW w:w="630" w:type="pct"/>
            <w:tcBorders>
              <w:tl2br w:val="nil"/>
              <w:tr2bl w:val="nil"/>
            </w:tcBorders>
            <w:shd w:val="clear" w:color="auto" w:fill="auto"/>
            <w:noWrap/>
            <w:vAlign w:val="center"/>
          </w:tcPr>
          <w:p w14:paraId="6A2C3637">
            <w:pPr>
              <w:pStyle w:val="34"/>
              <w:tabs>
                <w:tab w:val="left" w:pos="1389"/>
              </w:tabs>
              <w:bidi w:val="0"/>
              <w:rPr>
                <w:rFonts w:hint="eastAsia"/>
                <w:color w:val="auto"/>
              </w:rPr>
            </w:pPr>
            <w:r>
              <w:rPr>
                <w:rFonts w:hint="eastAsia"/>
                <w:color w:val="auto"/>
                <w:lang w:val="en-US" w:eastAsia="zh-CN"/>
              </w:rPr>
              <w:t>0.0825</w:t>
            </w:r>
          </w:p>
        </w:tc>
      </w:tr>
      <w:tr w14:paraId="7B350D2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80" w:type="pct"/>
            <w:vMerge w:val="continue"/>
            <w:tcBorders>
              <w:tl2br w:val="nil"/>
              <w:tr2bl w:val="nil"/>
            </w:tcBorders>
            <w:shd w:val="clear" w:color="auto" w:fill="auto"/>
            <w:noWrap/>
            <w:vAlign w:val="center"/>
          </w:tcPr>
          <w:p w14:paraId="525EE725">
            <w:pPr>
              <w:pStyle w:val="34"/>
              <w:tabs>
                <w:tab w:val="left" w:pos="1389"/>
              </w:tabs>
              <w:bidi w:val="0"/>
              <w:rPr>
                <w:rFonts w:hint="eastAsia"/>
                <w:color w:val="auto"/>
                <w:sz w:val="21"/>
                <w:szCs w:val="21"/>
              </w:rPr>
            </w:pPr>
          </w:p>
        </w:tc>
        <w:tc>
          <w:tcPr>
            <w:tcW w:w="661" w:type="pct"/>
            <w:tcBorders>
              <w:tl2br w:val="nil"/>
              <w:tr2bl w:val="nil"/>
            </w:tcBorders>
            <w:shd w:val="clear" w:color="auto" w:fill="auto"/>
            <w:noWrap/>
            <w:vAlign w:val="center"/>
          </w:tcPr>
          <w:p w14:paraId="76D5D755">
            <w:pPr>
              <w:pStyle w:val="34"/>
              <w:tabs>
                <w:tab w:val="left" w:pos="1389"/>
              </w:tabs>
              <w:bidi w:val="0"/>
              <w:rPr>
                <w:rFonts w:hint="eastAsia"/>
                <w:color w:val="auto"/>
                <w:sz w:val="21"/>
                <w:szCs w:val="21"/>
              </w:rPr>
            </w:pPr>
            <w:r>
              <w:rPr>
                <w:rFonts w:hint="eastAsia"/>
                <w:color w:val="auto"/>
                <w:sz w:val="21"/>
                <w:szCs w:val="21"/>
                <w:lang w:val="en-US" w:eastAsia="zh-CN"/>
              </w:rPr>
              <w:t>灌丛</w:t>
            </w:r>
          </w:p>
        </w:tc>
        <w:tc>
          <w:tcPr>
            <w:tcW w:w="674" w:type="pct"/>
            <w:tcBorders>
              <w:tl2br w:val="nil"/>
              <w:tr2bl w:val="nil"/>
            </w:tcBorders>
            <w:shd w:val="clear" w:color="auto" w:fill="auto"/>
            <w:noWrap/>
            <w:vAlign w:val="center"/>
          </w:tcPr>
          <w:p w14:paraId="44A9A813">
            <w:pPr>
              <w:pStyle w:val="34"/>
              <w:tabs>
                <w:tab w:val="left" w:pos="1389"/>
              </w:tabs>
              <w:bidi w:val="0"/>
              <w:rPr>
                <w:rFonts w:hint="eastAsia"/>
                <w:color w:val="auto"/>
              </w:rPr>
            </w:pPr>
            <w:r>
              <w:rPr>
                <w:rFonts w:hint="eastAsia"/>
                <w:color w:val="auto"/>
                <w:lang w:val="en-US" w:eastAsia="zh-CN"/>
              </w:rPr>
              <w:t>17.5925</w:t>
            </w:r>
          </w:p>
        </w:tc>
        <w:tc>
          <w:tcPr>
            <w:tcW w:w="504" w:type="pct"/>
            <w:tcBorders>
              <w:tl2br w:val="nil"/>
              <w:tr2bl w:val="nil"/>
            </w:tcBorders>
            <w:shd w:val="clear" w:color="auto" w:fill="auto"/>
            <w:noWrap/>
            <w:vAlign w:val="center"/>
          </w:tcPr>
          <w:p w14:paraId="3D0C09FE">
            <w:pPr>
              <w:pStyle w:val="34"/>
              <w:tabs>
                <w:tab w:val="left" w:pos="1389"/>
              </w:tabs>
              <w:bidi w:val="0"/>
              <w:rPr>
                <w:rFonts w:hint="eastAsia"/>
                <w:color w:val="auto"/>
              </w:rPr>
            </w:pPr>
            <w:r>
              <w:rPr>
                <w:rFonts w:hint="eastAsia"/>
                <w:color w:val="auto"/>
                <w:lang w:val="en-US" w:eastAsia="zh-CN"/>
              </w:rPr>
              <w:t>0</w:t>
            </w:r>
          </w:p>
        </w:tc>
        <w:tc>
          <w:tcPr>
            <w:tcW w:w="619" w:type="pct"/>
            <w:tcBorders>
              <w:tl2br w:val="nil"/>
              <w:tr2bl w:val="nil"/>
            </w:tcBorders>
            <w:shd w:val="clear" w:color="auto" w:fill="auto"/>
            <w:noWrap/>
            <w:vAlign w:val="center"/>
          </w:tcPr>
          <w:p w14:paraId="1E4B5472">
            <w:pPr>
              <w:pStyle w:val="34"/>
              <w:tabs>
                <w:tab w:val="left" w:pos="1389"/>
              </w:tabs>
              <w:bidi w:val="0"/>
              <w:rPr>
                <w:rFonts w:hint="eastAsia"/>
                <w:color w:val="auto"/>
              </w:rPr>
            </w:pPr>
            <w:r>
              <w:rPr>
                <w:rFonts w:hint="eastAsia"/>
                <w:color w:val="auto"/>
                <w:lang w:val="en-US" w:eastAsia="zh-CN"/>
              </w:rPr>
              <w:t>45.00</w:t>
            </w:r>
          </w:p>
        </w:tc>
        <w:tc>
          <w:tcPr>
            <w:tcW w:w="790" w:type="pct"/>
            <w:tcBorders>
              <w:tl2br w:val="nil"/>
              <w:tr2bl w:val="nil"/>
            </w:tcBorders>
            <w:shd w:val="clear" w:color="auto" w:fill="auto"/>
            <w:vAlign w:val="center"/>
          </w:tcPr>
          <w:p w14:paraId="4DC30AFE">
            <w:pPr>
              <w:pStyle w:val="34"/>
              <w:tabs>
                <w:tab w:val="left" w:pos="1389"/>
              </w:tabs>
              <w:bidi w:val="0"/>
              <w:rPr>
                <w:rFonts w:hint="eastAsia"/>
                <w:color w:val="auto"/>
              </w:rPr>
            </w:pPr>
            <w:r>
              <w:rPr>
                <w:rFonts w:hint="eastAsia"/>
                <w:color w:val="auto"/>
                <w:lang w:val="en-US" w:eastAsia="zh-CN"/>
              </w:rPr>
              <w:t>791.6640</w:t>
            </w:r>
          </w:p>
        </w:tc>
        <w:tc>
          <w:tcPr>
            <w:tcW w:w="638" w:type="pct"/>
            <w:tcBorders>
              <w:tl2br w:val="nil"/>
              <w:tr2bl w:val="nil"/>
            </w:tcBorders>
            <w:shd w:val="clear" w:color="auto" w:fill="auto"/>
            <w:noWrap/>
            <w:vAlign w:val="center"/>
          </w:tcPr>
          <w:p w14:paraId="42FE5AC3">
            <w:pPr>
              <w:pStyle w:val="34"/>
              <w:tabs>
                <w:tab w:val="left" w:pos="1389"/>
              </w:tabs>
              <w:bidi w:val="0"/>
              <w:rPr>
                <w:rFonts w:hint="eastAsia"/>
                <w:color w:val="auto"/>
              </w:rPr>
            </w:pPr>
            <w:r>
              <w:rPr>
                <w:rFonts w:hint="eastAsia"/>
                <w:color w:val="auto"/>
                <w:lang w:val="en-US" w:eastAsia="zh-CN"/>
              </w:rPr>
              <w:t>0</w:t>
            </w:r>
          </w:p>
        </w:tc>
        <w:tc>
          <w:tcPr>
            <w:tcW w:w="630" w:type="pct"/>
            <w:tcBorders>
              <w:tl2br w:val="nil"/>
              <w:tr2bl w:val="nil"/>
            </w:tcBorders>
            <w:shd w:val="clear" w:color="auto" w:fill="auto"/>
            <w:noWrap/>
            <w:vAlign w:val="center"/>
          </w:tcPr>
          <w:p w14:paraId="1DB525AC">
            <w:pPr>
              <w:pStyle w:val="34"/>
              <w:tabs>
                <w:tab w:val="left" w:pos="1389"/>
              </w:tabs>
              <w:bidi w:val="0"/>
              <w:rPr>
                <w:rFonts w:hint="eastAsia"/>
                <w:color w:val="auto"/>
              </w:rPr>
            </w:pPr>
            <w:r>
              <w:rPr>
                <w:rFonts w:hint="eastAsia"/>
                <w:color w:val="auto"/>
                <w:lang w:val="en-US" w:eastAsia="zh-CN"/>
              </w:rPr>
              <w:t>0</w:t>
            </w:r>
          </w:p>
        </w:tc>
      </w:tr>
      <w:tr w14:paraId="40DF059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80" w:type="pct"/>
            <w:vMerge w:val="continue"/>
            <w:tcBorders>
              <w:tl2br w:val="nil"/>
              <w:tr2bl w:val="nil"/>
            </w:tcBorders>
            <w:shd w:val="clear" w:color="auto" w:fill="auto"/>
            <w:noWrap/>
            <w:vAlign w:val="center"/>
          </w:tcPr>
          <w:p w14:paraId="2139AFBF">
            <w:pPr>
              <w:pStyle w:val="34"/>
              <w:tabs>
                <w:tab w:val="left" w:pos="1389"/>
              </w:tabs>
              <w:bidi w:val="0"/>
              <w:rPr>
                <w:rFonts w:hint="eastAsia"/>
                <w:color w:val="auto"/>
                <w:sz w:val="21"/>
                <w:szCs w:val="21"/>
              </w:rPr>
            </w:pPr>
          </w:p>
        </w:tc>
        <w:tc>
          <w:tcPr>
            <w:tcW w:w="661" w:type="pct"/>
            <w:tcBorders>
              <w:tl2br w:val="nil"/>
              <w:tr2bl w:val="nil"/>
            </w:tcBorders>
            <w:shd w:val="clear" w:color="auto" w:fill="auto"/>
            <w:noWrap/>
            <w:vAlign w:val="center"/>
          </w:tcPr>
          <w:p w14:paraId="1D46035D">
            <w:pPr>
              <w:pStyle w:val="34"/>
              <w:tabs>
                <w:tab w:val="left" w:pos="1389"/>
              </w:tabs>
              <w:bidi w:val="0"/>
              <w:rPr>
                <w:rFonts w:hint="default"/>
                <w:color w:val="auto"/>
                <w:sz w:val="21"/>
                <w:szCs w:val="21"/>
                <w:lang w:val="en-US"/>
              </w:rPr>
            </w:pPr>
            <w:r>
              <w:rPr>
                <w:rFonts w:hint="eastAsia"/>
                <w:color w:val="auto"/>
                <w:lang w:val="en-US" w:eastAsia="zh-CN"/>
              </w:rPr>
              <w:t>禾草草丛</w:t>
            </w:r>
          </w:p>
        </w:tc>
        <w:tc>
          <w:tcPr>
            <w:tcW w:w="674" w:type="pct"/>
            <w:tcBorders>
              <w:tl2br w:val="nil"/>
              <w:tr2bl w:val="nil"/>
            </w:tcBorders>
            <w:shd w:val="clear" w:color="auto" w:fill="auto"/>
            <w:noWrap/>
            <w:vAlign w:val="center"/>
          </w:tcPr>
          <w:p w14:paraId="61A39A80">
            <w:pPr>
              <w:pStyle w:val="34"/>
              <w:tabs>
                <w:tab w:val="left" w:pos="1389"/>
              </w:tabs>
              <w:bidi w:val="0"/>
              <w:rPr>
                <w:rFonts w:hint="eastAsia"/>
                <w:color w:val="auto"/>
              </w:rPr>
            </w:pPr>
            <w:r>
              <w:rPr>
                <w:rFonts w:hint="eastAsia"/>
                <w:color w:val="auto"/>
                <w:lang w:val="en-US" w:eastAsia="zh-CN"/>
              </w:rPr>
              <w:t>120.4412</w:t>
            </w:r>
          </w:p>
        </w:tc>
        <w:tc>
          <w:tcPr>
            <w:tcW w:w="504" w:type="pct"/>
            <w:tcBorders>
              <w:tl2br w:val="nil"/>
              <w:tr2bl w:val="nil"/>
            </w:tcBorders>
            <w:shd w:val="clear" w:color="auto" w:fill="auto"/>
            <w:noWrap/>
            <w:vAlign w:val="center"/>
          </w:tcPr>
          <w:p w14:paraId="1EC3246C">
            <w:pPr>
              <w:pStyle w:val="34"/>
              <w:tabs>
                <w:tab w:val="left" w:pos="1389"/>
              </w:tabs>
              <w:bidi w:val="0"/>
              <w:rPr>
                <w:rFonts w:hint="eastAsia"/>
                <w:color w:val="auto"/>
              </w:rPr>
            </w:pPr>
            <w:r>
              <w:rPr>
                <w:rFonts w:hint="eastAsia"/>
                <w:color w:val="auto"/>
                <w:lang w:val="en-US" w:eastAsia="zh-CN"/>
              </w:rPr>
              <w:t>2.0254</w:t>
            </w:r>
          </w:p>
        </w:tc>
        <w:tc>
          <w:tcPr>
            <w:tcW w:w="619" w:type="pct"/>
            <w:tcBorders>
              <w:tl2br w:val="nil"/>
              <w:tr2bl w:val="nil"/>
            </w:tcBorders>
            <w:shd w:val="clear" w:color="auto" w:fill="auto"/>
            <w:noWrap/>
            <w:vAlign w:val="center"/>
          </w:tcPr>
          <w:p w14:paraId="1B7ABAAD">
            <w:pPr>
              <w:pStyle w:val="34"/>
              <w:tabs>
                <w:tab w:val="left" w:pos="1389"/>
              </w:tabs>
              <w:bidi w:val="0"/>
              <w:rPr>
                <w:rFonts w:hint="eastAsia"/>
                <w:color w:val="auto"/>
              </w:rPr>
            </w:pPr>
            <w:r>
              <w:rPr>
                <w:rFonts w:hint="eastAsia"/>
                <w:color w:val="auto"/>
                <w:lang w:val="en-US" w:eastAsia="zh-CN"/>
              </w:rPr>
              <w:t>20.00</w:t>
            </w:r>
          </w:p>
        </w:tc>
        <w:tc>
          <w:tcPr>
            <w:tcW w:w="790" w:type="pct"/>
            <w:tcBorders>
              <w:tl2br w:val="nil"/>
              <w:tr2bl w:val="nil"/>
            </w:tcBorders>
            <w:shd w:val="clear" w:color="auto" w:fill="auto"/>
            <w:vAlign w:val="center"/>
          </w:tcPr>
          <w:p w14:paraId="381E21E9">
            <w:pPr>
              <w:pStyle w:val="34"/>
              <w:tabs>
                <w:tab w:val="left" w:pos="1389"/>
              </w:tabs>
              <w:bidi w:val="0"/>
              <w:rPr>
                <w:rFonts w:hint="eastAsia"/>
                <w:color w:val="auto"/>
              </w:rPr>
            </w:pPr>
            <w:r>
              <w:rPr>
                <w:rFonts w:hint="eastAsia"/>
                <w:color w:val="auto"/>
                <w:lang w:val="en-US" w:eastAsia="zh-CN"/>
              </w:rPr>
              <w:t>2408.8239</w:t>
            </w:r>
          </w:p>
        </w:tc>
        <w:tc>
          <w:tcPr>
            <w:tcW w:w="638" w:type="pct"/>
            <w:tcBorders>
              <w:tl2br w:val="nil"/>
              <w:tr2bl w:val="nil"/>
            </w:tcBorders>
            <w:shd w:val="clear" w:color="auto" w:fill="auto"/>
            <w:noWrap/>
            <w:vAlign w:val="center"/>
          </w:tcPr>
          <w:p w14:paraId="0810730A">
            <w:pPr>
              <w:pStyle w:val="34"/>
              <w:tabs>
                <w:tab w:val="left" w:pos="1389"/>
              </w:tabs>
              <w:bidi w:val="0"/>
              <w:rPr>
                <w:rFonts w:hint="eastAsia"/>
                <w:color w:val="auto"/>
              </w:rPr>
            </w:pPr>
            <w:r>
              <w:rPr>
                <w:rFonts w:hint="eastAsia"/>
                <w:color w:val="auto"/>
                <w:lang w:val="en-US" w:eastAsia="zh-CN"/>
              </w:rPr>
              <w:t>40.5074</w:t>
            </w:r>
          </w:p>
        </w:tc>
        <w:tc>
          <w:tcPr>
            <w:tcW w:w="630" w:type="pct"/>
            <w:tcBorders>
              <w:tl2br w:val="nil"/>
              <w:tr2bl w:val="nil"/>
            </w:tcBorders>
            <w:shd w:val="clear" w:color="auto" w:fill="auto"/>
            <w:noWrap/>
            <w:vAlign w:val="center"/>
          </w:tcPr>
          <w:p w14:paraId="29218066">
            <w:pPr>
              <w:pStyle w:val="34"/>
              <w:tabs>
                <w:tab w:val="left" w:pos="1389"/>
              </w:tabs>
              <w:bidi w:val="0"/>
              <w:rPr>
                <w:rFonts w:hint="eastAsia"/>
                <w:color w:val="auto"/>
              </w:rPr>
            </w:pPr>
            <w:r>
              <w:rPr>
                <w:rFonts w:hint="eastAsia"/>
                <w:color w:val="auto"/>
                <w:lang w:val="en-US" w:eastAsia="zh-CN"/>
              </w:rPr>
              <w:t>1.6816</w:t>
            </w:r>
          </w:p>
        </w:tc>
      </w:tr>
      <w:tr w14:paraId="09F4266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80" w:type="pct"/>
            <w:tcBorders>
              <w:tl2br w:val="nil"/>
              <w:tr2bl w:val="nil"/>
            </w:tcBorders>
            <w:shd w:val="clear" w:color="auto" w:fill="auto"/>
            <w:vAlign w:val="center"/>
          </w:tcPr>
          <w:p w14:paraId="422E9A48">
            <w:pPr>
              <w:pStyle w:val="34"/>
              <w:tabs>
                <w:tab w:val="left" w:pos="1389"/>
              </w:tabs>
              <w:bidi w:val="0"/>
              <w:rPr>
                <w:rFonts w:hint="eastAsia"/>
                <w:color w:val="auto"/>
                <w:sz w:val="21"/>
                <w:szCs w:val="21"/>
              </w:rPr>
            </w:pPr>
            <w:r>
              <w:rPr>
                <w:rFonts w:hint="eastAsia"/>
                <w:color w:val="auto"/>
                <w:sz w:val="21"/>
                <w:szCs w:val="21"/>
                <w:lang w:val="en-US" w:eastAsia="zh-CN"/>
              </w:rPr>
              <w:t>人工植被</w:t>
            </w:r>
          </w:p>
        </w:tc>
        <w:tc>
          <w:tcPr>
            <w:tcW w:w="661" w:type="pct"/>
            <w:tcBorders>
              <w:tl2br w:val="nil"/>
              <w:tr2bl w:val="nil"/>
            </w:tcBorders>
            <w:shd w:val="clear" w:color="auto" w:fill="auto"/>
            <w:noWrap/>
            <w:vAlign w:val="center"/>
          </w:tcPr>
          <w:p w14:paraId="544C4964">
            <w:pPr>
              <w:pStyle w:val="34"/>
              <w:tabs>
                <w:tab w:val="left" w:pos="1389"/>
              </w:tabs>
              <w:bidi w:val="0"/>
              <w:rPr>
                <w:rFonts w:hint="eastAsia"/>
                <w:color w:val="auto"/>
                <w:sz w:val="21"/>
                <w:szCs w:val="21"/>
                <w:lang w:val="en-US" w:eastAsia="zh-CN"/>
              </w:rPr>
            </w:pPr>
            <w:r>
              <w:rPr>
                <w:rFonts w:hint="eastAsia"/>
                <w:color w:val="auto"/>
                <w:sz w:val="21"/>
                <w:szCs w:val="21"/>
                <w:lang w:val="en-US" w:eastAsia="zh-CN"/>
              </w:rPr>
              <w:t>耕地</w:t>
            </w:r>
          </w:p>
          <w:p w14:paraId="3863DA1D">
            <w:pPr>
              <w:pStyle w:val="34"/>
              <w:tabs>
                <w:tab w:val="left" w:pos="1389"/>
              </w:tabs>
              <w:bidi w:val="0"/>
              <w:rPr>
                <w:rFonts w:hint="default"/>
                <w:color w:val="auto"/>
                <w:sz w:val="21"/>
                <w:szCs w:val="21"/>
                <w:lang w:val="en-US"/>
              </w:rPr>
            </w:pPr>
            <w:r>
              <w:rPr>
                <w:rFonts w:hint="eastAsia"/>
                <w:color w:val="auto"/>
                <w:sz w:val="21"/>
                <w:szCs w:val="21"/>
                <w:lang w:val="en-US" w:eastAsia="zh-CN"/>
              </w:rPr>
              <w:t>植被</w:t>
            </w:r>
          </w:p>
        </w:tc>
        <w:tc>
          <w:tcPr>
            <w:tcW w:w="674" w:type="pct"/>
            <w:tcBorders>
              <w:tl2br w:val="nil"/>
              <w:tr2bl w:val="nil"/>
            </w:tcBorders>
            <w:shd w:val="clear" w:color="auto" w:fill="auto"/>
            <w:noWrap/>
            <w:vAlign w:val="center"/>
          </w:tcPr>
          <w:p w14:paraId="4E8B86CA">
            <w:pPr>
              <w:pStyle w:val="34"/>
              <w:tabs>
                <w:tab w:val="left" w:pos="1389"/>
              </w:tabs>
              <w:bidi w:val="0"/>
              <w:rPr>
                <w:rFonts w:hint="eastAsia"/>
                <w:color w:val="auto"/>
              </w:rPr>
            </w:pPr>
            <w:r>
              <w:rPr>
                <w:rFonts w:hint="eastAsia"/>
                <w:color w:val="auto"/>
                <w:lang w:val="en-US" w:eastAsia="zh-CN"/>
              </w:rPr>
              <w:t>202.9908</w:t>
            </w:r>
          </w:p>
        </w:tc>
        <w:tc>
          <w:tcPr>
            <w:tcW w:w="504" w:type="pct"/>
            <w:tcBorders>
              <w:tl2br w:val="nil"/>
              <w:tr2bl w:val="nil"/>
            </w:tcBorders>
            <w:shd w:val="clear" w:color="auto" w:fill="auto"/>
            <w:noWrap/>
            <w:vAlign w:val="center"/>
          </w:tcPr>
          <w:p w14:paraId="258C4333">
            <w:pPr>
              <w:pStyle w:val="34"/>
              <w:tabs>
                <w:tab w:val="left" w:pos="1389"/>
              </w:tabs>
              <w:bidi w:val="0"/>
              <w:rPr>
                <w:rFonts w:hint="eastAsia"/>
                <w:color w:val="auto"/>
              </w:rPr>
            </w:pPr>
            <w:r>
              <w:rPr>
                <w:rFonts w:hint="eastAsia"/>
                <w:color w:val="auto"/>
                <w:lang w:val="en-US" w:eastAsia="zh-CN"/>
              </w:rPr>
              <w:t>0.0439</w:t>
            </w:r>
          </w:p>
        </w:tc>
        <w:tc>
          <w:tcPr>
            <w:tcW w:w="619" w:type="pct"/>
            <w:tcBorders>
              <w:tl2br w:val="nil"/>
              <w:tr2bl w:val="nil"/>
            </w:tcBorders>
            <w:shd w:val="clear" w:color="auto" w:fill="auto"/>
            <w:noWrap/>
            <w:vAlign w:val="center"/>
          </w:tcPr>
          <w:p w14:paraId="4AB3C999">
            <w:pPr>
              <w:pStyle w:val="34"/>
              <w:tabs>
                <w:tab w:val="left" w:pos="1389"/>
              </w:tabs>
              <w:bidi w:val="0"/>
              <w:rPr>
                <w:rFonts w:hint="eastAsia"/>
                <w:color w:val="auto"/>
              </w:rPr>
            </w:pPr>
            <w:r>
              <w:rPr>
                <w:rFonts w:hint="eastAsia"/>
                <w:color w:val="auto"/>
                <w:lang w:val="en-US" w:eastAsia="zh-CN"/>
              </w:rPr>
              <w:t>20.00</w:t>
            </w:r>
          </w:p>
        </w:tc>
        <w:tc>
          <w:tcPr>
            <w:tcW w:w="790" w:type="pct"/>
            <w:tcBorders>
              <w:tl2br w:val="nil"/>
              <w:tr2bl w:val="nil"/>
            </w:tcBorders>
            <w:shd w:val="clear" w:color="auto" w:fill="auto"/>
            <w:vAlign w:val="center"/>
          </w:tcPr>
          <w:p w14:paraId="0035F09C">
            <w:pPr>
              <w:pStyle w:val="34"/>
              <w:tabs>
                <w:tab w:val="left" w:pos="1389"/>
              </w:tabs>
              <w:bidi w:val="0"/>
              <w:rPr>
                <w:rFonts w:hint="eastAsia"/>
                <w:color w:val="auto"/>
              </w:rPr>
            </w:pPr>
            <w:r>
              <w:rPr>
                <w:rFonts w:hint="eastAsia"/>
                <w:color w:val="auto"/>
                <w:lang w:val="en-US" w:eastAsia="zh-CN"/>
              </w:rPr>
              <w:t>4059.8156</w:t>
            </w:r>
          </w:p>
        </w:tc>
        <w:tc>
          <w:tcPr>
            <w:tcW w:w="638" w:type="pct"/>
            <w:tcBorders>
              <w:tl2br w:val="nil"/>
              <w:tr2bl w:val="nil"/>
            </w:tcBorders>
            <w:shd w:val="clear" w:color="auto" w:fill="auto"/>
            <w:noWrap/>
            <w:vAlign w:val="center"/>
          </w:tcPr>
          <w:p w14:paraId="61C5FF3A">
            <w:pPr>
              <w:pStyle w:val="34"/>
              <w:tabs>
                <w:tab w:val="left" w:pos="1389"/>
              </w:tabs>
              <w:bidi w:val="0"/>
              <w:rPr>
                <w:rFonts w:hint="eastAsia"/>
                <w:color w:val="auto"/>
              </w:rPr>
            </w:pPr>
            <w:r>
              <w:rPr>
                <w:rFonts w:hint="eastAsia"/>
                <w:color w:val="auto"/>
                <w:lang w:val="en-US" w:eastAsia="zh-CN"/>
              </w:rPr>
              <w:t>0.8780</w:t>
            </w:r>
          </w:p>
        </w:tc>
        <w:tc>
          <w:tcPr>
            <w:tcW w:w="630" w:type="pct"/>
            <w:tcBorders>
              <w:tl2br w:val="nil"/>
              <w:tr2bl w:val="nil"/>
            </w:tcBorders>
            <w:shd w:val="clear" w:color="auto" w:fill="auto"/>
            <w:noWrap/>
            <w:vAlign w:val="center"/>
          </w:tcPr>
          <w:p w14:paraId="0AAB8624">
            <w:pPr>
              <w:pStyle w:val="34"/>
              <w:tabs>
                <w:tab w:val="left" w:pos="1389"/>
              </w:tabs>
              <w:bidi w:val="0"/>
              <w:rPr>
                <w:rFonts w:hint="eastAsia"/>
                <w:color w:val="auto"/>
              </w:rPr>
            </w:pPr>
            <w:r>
              <w:rPr>
                <w:rFonts w:hint="eastAsia"/>
                <w:color w:val="auto"/>
                <w:lang w:val="en-US" w:eastAsia="zh-CN"/>
              </w:rPr>
              <w:t>0.0216</w:t>
            </w:r>
          </w:p>
        </w:tc>
      </w:tr>
      <w:tr w14:paraId="19CA3E1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80" w:type="pct"/>
            <w:vMerge w:val="restart"/>
            <w:tcBorders>
              <w:tl2br w:val="nil"/>
              <w:tr2bl w:val="nil"/>
            </w:tcBorders>
            <w:shd w:val="clear" w:color="auto" w:fill="auto"/>
            <w:noWrap/>
            <w:vAlign w:val="center"/>
          </w:tcPr>
          <w:p w14:paraId="7C9D5FEA">
            <w:pPr>
              <w:pStyle w:val="34"/>
              <w:tabs>
                <w:tab w:val="left" w:pos="1389"/>
              </w:tabs>
              <w:bidi w:val="0"/>
              <w:rPr>
                <w:rFonts w:hint="eastAsia"/>
                <w:color w:val="auto"/>
                <w:sz w:val="21"/>
                <w:szCs w:val="21"/>
              </w:rPr>
            </w:pPr>
            <w:r>
              <w:rPr>
                <w:rFonts w:hint="eastAsia"/>
                <w:color w:val="auto"/>
                <w:sz w:val="21"/>
                <w:szCs w:val="21"/>
                <w:lang w:val="en-US" w:eastAsia="zh-CN"/>
              </w:rPr>
              <w:t>其他</w:t>
            </w:r>
          </w:p>
        </w:tc>
        <w:tc>
          <w:tcPr>
            <w:tcW w:w="661" w:type="pct"/>
            <w:tcBorders>
              <w:tl2br w:val="nil"/>
              <w:tr2bl w:val="nil"/>
            </w:tcBorders>
            <w:shd w:val="clear" w:color="auto" w:fill="auto"/>
            <w:noWrap/>
            <w:vAlign w:val="center"/>
          </w:tcPr>
          <w:p w14:paraId="043903BC">
            <w:pPr>
              <w:pStyle w:val="34"/>
              <w:tabs>
                <w:tab w:val="left" w:pos="1389"/>
              </w:tabs>
              <w:bidi w:val="0"/>
              <w:rPr>
                <w:rFonts w:hint="eastAsia"/>
                <w:color w:val="auto"/>
                <w:sz w:val="21"/>
                <w:szCs w:val="21"/>
              </w:rPr>
            </w:pPr>
            <w:r>
              <w:rPr>
                <w:rFonts w:hint="eastAsia"/>
                <w:color w:val="auto"/>
                <w:sz w:val="21"/>
                <w:szCs w:val="21"/>
                <w:lang w:val="en-US" w:eastAsia="zh-CN"/>
              </w:rPr>
              <w:t>水库</w:t>
            </w:r>
          </w:p>
        </w:tc>
        <w:tc>
          <w:tcPr>
            <w:tcW w:w="674" w:type="pct"/>
            <w:tcBorders>
              <w:tl2br w:val="nil"/>
              <w:tr2bl w:val="nil"/>
            </w:tcBorders>
            <w:shd w:val="clear" w:color="auto" w:fill="auto"/>
            <w:noWrap/>
            <w:vAlign w:val="center"/>
          </w:tcPr>
          <w:p w14:paraId="340BC3F1">
            <w:pPr>
              <w:pStyle w:val="34"/>
              <w:tabs>
                <w:tab w:val="left" w:pos="1389"/>
              </w:tabs>
              <w:bidi w:val="0"/>
              <w:rPr>
                <w:rFonts w:hint="eastAsia"/>
                <w:color w:val="auto"/>
              </w:rPr>
            </w:pPr>
            <w:r>
              <w:rPr>
                <w:rFonts w:hint="eastAsia"/>
                <w:color w:val="auto"/>
                <w:lang w:val="en-US" w:eastAsia="zh-CN"/>
              </w:rPr>
              <w:t>2.7065</w:t>
            </w:r>
          </w:p>
        </w:tc>
        <w:tc>
          <w:tcPr>
            <w:tcW w:w="504" w:type="pct"/>
            <w:tcBorders>
              <w:tl2br w:val="nil"/>
              <w:tr2bl w:val="nil"/>
            </w:tcBorders>
            <w:shd w:val="clear" w:color="auto" w:fill="auto"/>
            <w:noWrap/>
            <w:vAlign w:val="center"/>
          </w:tcPr>
          <w:p w14:paraId="61458C43">
            <w:pPr>
              <w:pStyle w:val="34"/>
              <w:tabs>
                <w:tab w:val="left" w:pos="1389"/>
              </w:tabs>
              <w:bidi w:val="0"/>
              <w:rPr>
                <w:rFonts w:hint="eastAsia"/>
                <w:color w:val="auto"/>
              </w:rPr>
            </w:pPr>
            <w:r>
              <w:rPr>
                <w:rFonts w:hint="eastAsia"/>
                <w:color w:val="auto"/>
                <w:lang w:val="en-US" w:eastAsia="zh-CN"/>
              </w:rPr>
              <w:t>0</w:t>
            </w:r>
          </w:p>
        </w:tc>
        <w:tc>
          <w:tcPr>
            <w:tcW w:w="619" w:type="pct"/>
            <w:tcBorders>
              <w:tl2br w:val="nil"/>
              <w:tr2bl w:val="nil"/>
            </w:tcBorders>
            <w:shd w:val="clear" w:color="auto" w:fill="auto"/>
            <w:noWrap/>
            <w:vAlign w:val="center"/>
          </w:tcPr>
          <w:p w14:paraId="7C610735">
            <w:pPr>
              <w:pStyle w:val="34"/>
              <w:tabs>
                <w:tab w:val="left" w:pos="1389"/>
              </w:tabs>
              <w:bidi w:val="0"/>
              <w:rPr>
                <w:rFonts w:hint="eastAsia"/>
                <w:color w:val="auto"/>
              </w:rPr>
            </w:pPr>
            <w:r>
              <w:rPr>
                <w:rFonts w:hint="eastAsia"/>
                <w:color w:val="auto"/>
                <w:lang w:val="en-US" w:eastAsia="zh-CN"/>
              </w:rPr>
              <w:t>10.00</w:t>
            </w:r>
          </w:p>
        </w:tc>
        <w:tc>
          <w:tcPr>
            <w:tcW w:w="790" w:type="pct"/>
            <w:tcBorders>
              <w:tl2br w:val="nil"/>
              <w:tr2bl w:val="nil"/>
            </w:tcBorders>
            <w:shd w:val="clear" w:color="auto" w:fill="auto"/>
            <w:vAlign w:val="center"/>
          </w:tcPr>
          <w:p w14:paraId="028F0E61">
            <w:pPr>
              <w:pStyle w:val="34"/>
              <w:tabs>
                <w:tab w:val="left" w:pos="1389"/>
              </w:tabs>
              <w:bidi w:val="0"/>
              <w:rPr>
                <w:rFonts w:hint="eastAsia"/>
                <w:color w:val="auto"/>
              </w:rPr>
            </w:pPr>
            <w:r>
              <w:rPr>
                <w:rFonts w:hint="eastAsia"/>
                <w:color w:val="auto"/>
                <w:lang w:val="en-US" w:eastAsia="zh-CN"/>
              </w:rPr>
              <w:t>27.0654</w:t>
            </w:r>
          </w:p>
        </w:tc>
        <w:tc>
          <w:tcPr>
            <w:tcW w:w="638" w:type="pct"/>
            <w:tcBorders>
              <w:tl2br w:val="nil"/>
              <w:tr2bl w:val="nil"/>
            </w:tcBorders>
            <w:shd w:val="clear" w:color="auto" w:fill="auto"/>
            <w:noWrap/>
            <w:vAlign w:val="center"/>
          </w:tcPr>
          <w:p w14:paraId="46B15D3F">
            <w:pPr>
              <w:pStyle w:val="34"/>
              <w:tabs>
                <w:tab w:val="left" w:pos="1389"/>
              </w:tabs>
              <w:bidi w:val="0"/>
              <w:rPr>
                <w:rFonts w:hint="eastAsia"/>
                <w:color w:val="auto"/>
              </w:rPr>
            </w:pPr>
            <w:r>
              <w:rPr>
                <w:rFonts w:hint="eastAsia"/>
                <w:color w:val="auto"/>
                <w:lang w:val="en-US" w:eastAsia="zh-CN"/>
              </w:rPr>
              <w:t>0</w:t>
            </w:r>
          </w:p>
        </w:tc>
        <w:tc>
          <w:tcPr>
            <w:tcW w:w="630" w:type="pct"/>
            <w:tcBorders>
              <w:tl2br w:val="nil"/>
              <w:tr2bl w:val="nil"/>
            </w:tcBorders>
            <w:shd w:val="clear" w:color="auto" w:fill="auto"/>
            <w:noWrap/>
            <w:vAlign w:val="center"/>
          </w:tcPr>
          <w:p w14:paraId="011B797E">
            <w:pPr>
              <w:pStyle w:val="34"/>
              <w:tabs>
                <w:tab w:val="left" w:pos="1389"/>
              </w:tabs>
              <w:bidi w:val="0"/>
              <w:rPr>
                <w:rFonts w:hint="eastAsia"/>
                <w:color w:val="auto"/>
              </w:rPr>
            </w:pPr>
            <w:r>
              <w:rPr>
                <w:rFonts w:hint="eastAsia"/>
                <w:color w:val="auto"/>
                <w:lang w:val="en-US" w:eastAsia="zh-CN"/>
              </w:rPr>
              <w:t>0</w:t>
            </w:r>
          </w:p>
        </w:tc>
      </w:tr>
      <w:tr w14:paraId="20B892B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480" w:type="pct"/>
            <w:vMerge w:val="continue"/>
            <w:tcBorders>
              <w:tl2br w:val="nil"/>
              <w:tr2bl w:val="nil"/>
            </w:tcBorders>
            <w:shd w:val="clear" w:color="auto" w:fill="auto"/>
            <w:noWrap/>
            <w:vAlign w:val="center"/>
          </w:tcPr>
          <w:p w14:paraId="78C0CB54">
            <w:pPr>
              <w:pStyle w:val="34"/>
              <w:tabs>
                <w:tab w:val="left" w:pos="1389"/>
              </w:tabs>
              <w:bidi w:val="0"/>
              <w:rPr>
                <w:rFonts w:hint="eastAsia"/>
                <w:color w:val="auto"/>
                <w:sz w:val="21"/>
                <w:szCs w:val="21"/>
              </w:rPr>
            </w:pPr>
          </w:p>
        </w:tc>
        <w:tc>
          <w:tcPr>
            <w:tcW w:w="661" w:type="pct"/>
            <w:tcBorders>
              <w:tl2br w:val="nil"/>
              <w:tr2bl w:val="nil"/>
            </w:tcBorders>
            <w:shd w:val="clear" w:color="auto" w:fill="auto"/>
            <w:noWrap/>
            <w:vAlign w:val="center"/>
          </w:tcPr>
          <w:p w14:paraId="3B92E570">
            <w:pPr>
              <w:pStyle w:val="34"/>
              <w:tabs>
                <w:tab w:val="left" w:pos="1389"/>
              </w:tabs>
              <w:bidi w:val="0"/>
              <w:rPr>
                <w:rFonts w:hint="eastAsia"/>
                <w:color w:val="auto"/>
                <w:sz w:val="21"/>
                <w:szCs w:val="21"/>
              </w:rPr>
            </w:pPr>
            <w:r>
              <w:rPr>
                <w:rFonts w:hint="eastAsia"/>
                <w:color w:val="auto"/>
                <w:sz w:val="21"/>
                <w:szCs w:val="21"/>
                <w:lang w:val="en-US" w:eastAsia="zh-CN"/>
              </w:rPr>
              <w:t>其他无植被区</w:t>
            </w:r>
          </w:p>
        </w:tc>
        <w:tc>
          <w:tcPr>
            <w:tcW w:w="1207" w:type="dxa"/>
            <w:tcBorders>
              <w:tl2br w:val="nil"/>
              <w:tr2bl w:val="nil"/>
            </w:tcBorders>
            <w:shd w:val="clear" w:color="auto" w:fill="auto"/>
            <w:noWrap/>
            <w:vAlign w:val="center"/>
          </w:tcPr>
          <w:p w14:paraId="2E82B6A4">
            <w:pPr>
              <w:pStyle w:val="34"/>
              <w:tabs>
                <w:tab w:val="left" w:pos="1389"/>
              </w:tabs>
              <w:bidi w:val="0"/>
              <w:rPr>
                <w:rFonts w:hint="eastAsia"/>
                <w:color w:val="auto"/>
              </w:rPr>
            </w:pPr>
            <w:r>
              <w:rPr>
                <w:rFonts w:hint="eastAsia"/>
                <w:color w:val="auto"/>
                <w:lang w:val="en-US" w:eastAsia="zh-CN"/>
              </w:rPr>
              <w:t>35.1851</w:t>
            </w:r>
          </w:p>
        </w:tc>
        <w:tc>
          <w:tcPr>
            <w:tcW w:w="902" w:type="dxa"/>
            <w:tcBorders>
              <w:tl2br w:val="nil"/>
              <w:tr2bl w:val="nil"/>
            </w:tcBorders>
            <w:shd w:val="clear" w:color="auto" w:fill="auto"/>
            <w:noWrap/>
            <w:vAlign w:val="center"/>
          </w:tcPr>
          <w:p w14:paraId="705ECFA8">
            <w:pPr>
              <w:pStyle w:val="34"/>
              <w:tabs>
                <w:tab w:val="left" w:pos="1389"/>
              </w:tabs>
              <w:bidi w:val="0"/>
              <w:rPr>
                <w:rFonts w:hint="eastAsia"/>
                <w:color w:val="auto"/>
              </w:rPr>
            </w:pPr>
            <w:r>
              <w:rPr>
                <w:rFonts w:hint="eastAsia"/>
                <w:color w:val="auto"/>
                <w:lang w:val="en-US" w:eastAsia="zh-CN"/>
              </w:rPr>
              <w:t>0.1725</w:t>
            </w:r>
          </w:p>
        </w:tc>
        <w:tc>
          <w:tcPr>
            <w:tcW w:w="1108" w:type="dxa"/>
            <w:tcBorders>
              <w:tl2br w:val="nil"/>
              <w:tr2bl w:val="nil"/>
            </w:tcBorders>
            <w:shd w:val="clear" w:color="auto" w:fill="auto"/>
            <w:noWrap/>
            <w:vAlign w:val="center"/>
          </w:tcPr>
          <w:p w14:paraId="5BFFE2FB">
            <w:pPr>
              <w:pStyle w:val="34"/>
              <w:tabs>
                <w:tab w:val="left" w:pos="1389"/>
              </w:tabs>
              <w:bidi w:val="0"/>
              <w:rPr>
                <w:rFonts w:hint="eastAsia"/>
                <w:color w:val="auto"/>
              </w:rPr>
            </w:pPr>
            <w:r>
              <w:rPr>
                <w:rFonts w:hint="eastAsia"/>
                <w:color w:val="auto"/>
                <w:lang w:val="en-US" w:eastAsia="zh-CN"/>
              </w:rPr>
              <w:t>0</w:t>
            </w:r>
          </w:p>
        </w:tc>
        <w:tc>
          <w:tcPr>
            <w:tcW w:w="1415" w:type="dxa"/>
            <w:tcBorders>
              <w:tl2br w:val="nil"/>
              <w:tr2bl w:val="nil"/>
            </w:tcBorders>
            <w:shd w:val="clear" w:color="auto" w:fill="auto"/>
            <w:vAlign w:val="center"/>
          </w:tcPr>
          <w:p w14:paraId="7F07F010">
            <w:pPr>
              <w:pStyle w:val="34"/>
              <w:tabs>
                <w:tab w:val="left" w:pos="1389"/>
              </w:tabs>
              <w:bidi w:val="0"/>
              <w:rPr>
                <w:rFonts w:hint="eastAsia"/>
                <w:color w:val="auto"/>
              </w:rPr>
            </w:pPr>
            <w:r>
              <w:rPr>
                <w:rFonts w:hint="eastAsia"/>
                <w:color w:val="auto"/>
                <w:lang w:val="en-US" w:eastAsia="zh-CN"/>
              </w:rPr>
              <w:t>0</w:t>
            </w:r>
          </w:p>
        </w:tc>
        <w:tc>
          <w:tcPr>
            <w:tcW w:w="1143" w:type="dxa"/>
            <w:tcBorders>
              <w:tl2br w:val="nil"/>
              <w:tr2bl w:val="nil"/>
            </w:tcBorders>
            <w:shd w:val="clear" w:color="auto" w:fill="auto"/>
            <w:noWrap/>
            <w:vAlign w:val="center"/>
          </w:tcPr>
          <w:p w14:paraId="31E7F23E">
            <w:pPr>
              <w:pStyle w:val="34"/>
              <w:tabs>
                <w:tab w:val="left" w:pos="1389"/>
              </w:tabs>
              <w:bidi w:val="0"/>
              <w:rPr>
                <w:rFonts w:hint="eastAsia"/>
                <w:color w:val="auto"/>
              </w:rPr>
            </w:pPr>
            <w:r>
              <w:rPr>
                <w:rFonts w:hint="eastAsia"/>
                <w:color w:val="auto"/>
                <w:lang w:val="en-US" w:eastAsia="zh-CN"/>
              </w:rPr>
              <w:t>0</w:t>
            </w:r>
          </w:p>
        </w:tc>
        <w:tc>
          <w:tcPr>
            <w:tcW w:w="1128" w:type="dxa"/>
            <w:tcBorders>
              <w:tl2br w:val="nil"/>
              <w:tr2bl w:val="nil"/>
            </w:tcBorders>
            <w:shd w:val="clear" w:color="auto" w:fill="auto"/>
            <w:noWrap/>
            <w:vAlign w:val="center"/>
          </w:tcPr>
          <w:p w14:paraId="222EF393">
            <w:pPr>
              <w:pStyle w:val="34"/>
              <w:tabs>
                <w:tab w:val="left" w:pos="1389"/>
              </w:tabs>
              <w:bidi w:val="0"/>
              <w:rPr>
                <w:rFonts w:hint="eastAsia"/>
                <w:color w:val="auto"/>
              </w:rPr>
            </w:pPr>
          </w:p>
        </w:tc>
      </w:tr>
      <w:tr w14:paraId="5AC214DC">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1141" w:type="pct"/>
            <w:gridSpan w:val="2"/>
            <w:tcBorders>
              <w:tl2br w:val="nil"/>
              <w:tr2bl w:val="nil"/>
            </w:tcBorders>
            <w:shd w:val="clear" w:color="auto" w:fill="auto"/>
            <w:noWrap/>
            <w:vAlign w:val="center"/>
          </w:tcPr>
          <w:p w14:paraId="1715BA6B">
            <w:pPr>
              <w:pStyle w:val="34"/>
              <w:tabs>
                <w:tab w:val="left" w:pos="1389"/>
              </w:tabs>
              <w:bidi w:val="0"/>
              <w:rPr>
                <w:rFonts w:hint="eastAsia"/>
                <w:color w:val="auto"/>
                <w:sz w:val="21"/>
                <w:szCs w:val="21"/>
              </w:rPr>
            </w:pPr>
            <w:r>
              <w:rPr>
                <w:rFonts w:hint="eastAsia"/>
                <w:color w:val="auto"/>
                <w:sz w:val="21"/>
                <w:szCs w:val="21"/>
                <w:lang w:val="en-US" w:eastAsia="zh-CN"/>
              </w:rPr>
              <w:t>合计</w:t>
            </w:r>
          </w:p>
        </w:tc>
        <w:tc>
          <w:tcPr>
            <w:tcW w:w="1207" w:type="dxa"/>
            <w:tcBorders>
              <w:tl2br w:val="nil"/>
              <w:tr2bl w:val="nil"/>
            </w:tcBorders>
            <w:shd w:val="clear" w:color="auto" w:fill="auto"/>
            <w:noWrap/>
            <w:vAlign w:val="center"/>
          </w:tcPr>
          <w:p w14:paraId="1578C2DA">
            <w:pPr>
              <w:pStyle w:val="34"/>
              <w:tabs>
                <w:tab w:val="left" w:pos="1389"/>
              </w:tabs>
              <w:bidi w:val="0"/>
              <w:rPr>
                <w:rFonts w:hint="eastAsia"/>
                <w:color w:val="auto"/>
              </w:rPr>
            </w:pPr>
            <w:r>
              <w:rPr>
                <w:rFonts w:hint="eastAsia"/>
                <w:color w:val="auto"/>
                <w:lang w:val="en-US" w:eastAsia="zh-CN"/>
              </w:rPr>
              <w:t>1135.3951</w:t>
            </w:r>
          </w:p>
        </w:tc>
        <w:tc>
          <w:tcPr>
            <w:tcW w:w="902" w:type="dxa"/>
            <w:tcBorders>
              <w:tl2br w:val="nil"/>
              <w:tr2bl w:val="nil"/>
            </w:tcBorders>
            <w:shd w:val="clear" w:color="auto" w:fill="auto"/>
            <w:noWrap/>
            <w:vAlign w:val="center"/>
          </w:tcPr>
          <w:p w14:paraId="091B81A4">
            <w:pPr>
              <w:pStyle w:val="34"/>
              <w:tabs>
                <w:tab w:val="left" w:pos="1389"/>
              </w:tabs>
              <w:bidi w:val="0"/>
              <w:rPr>
                <w:rFonts w:hint="eastAsia"/>
                <w:color w:val="auto"/>
              </w:rPr>
            </w:pPr>
            <w:r>
              <w:rPr>
                <w:rFonts w:hint="eastAsia"/>
                <w:color w:val="auto"/>
                <w:lang w:val="en-US" w:eastAsia="zh-CN"/>
              </w:rPr>
              <w:t>2.9347</w:t>
            </w:r>
          </w:p>
        </w:tc>
        <w:tc>
          <w:tcPr>
            <w:tcW w:w="1108" w:type="dxa"/>
            <w:tcBorders>
              <w:tl2br w:val="nil"/>
              <w:tr2bl w:val="nil"/>
            </w:tcBorders>
            <w:shd w:val="clear" w:color="auto" w:fill="auto"/>
            <w:noWrap/>
            <w:vAlign w:val="center"/>
          </w:tcPr>
          <w:p w14:paraId="491ABDF3">
            <w:pPr>
              <w:pStyle w:val="34"/>
              <w:tabs>
                <w:tab w:val="left" w:pos="1389"/>
              </w:tabs>
              <w:bidi w:val="0"/>
              <w:rPr>
                <w:rFonts w:hint="eastAsia"/>
                <w:color w:val="auto"/>
              </w:rPr>
            </w:pPr>
          </w:p>
        </w:tc>
        <w:tc>
          <w:tcPr>
            <w:tcW w:w="1415" w:type="dxa"/>
            <w:tcBorders>
              <w:tl2br w:val="nil"/>
              <w:tr2bl w:val="nil"/>
            </w:tcBorders>
            <w:shd w:val="clear" w:color="auto" w:fill="auto"/>
            <w:noWrap/>
            <w:vAlign w:val="center"/>
          </w:tcPr>
          <w:p w14:paraId="32794EE6">
            <w:pPr>
              <w:pStyle w:val="34"/>
              <w:tabs>
                <w:tab w:val="left" w:pos="1389"/>
              </w:tabs>
              <w:bidi w:val="0"/>
              <w:rPr>
                <w:rFonts w:hint="eastAsia"/>
                <w:color w:val="auto"/>
              </w:rPr>
            </w:pPr>
            <w:r>
              <w:rPr>
                <w:rFonts w:hint="eastAsia"/>
                <w:color w:val="auto"/>
                <w:lang w:val="en-US" w:eastAsia="zh-CN"/>
              </w:rPr>
              <w:t>105782.8977</w:t>
            </w:r>
          </w:p>
        </w:tc>
        <w:tc>
          <w:tcPr>
            <w:tcW w:w="1143" w:type="dxa"/>
            <w:tcBorders>
              <w:tl2br w:val="nil"/>
              <w:tr2bl w:val="nil"/>
            </w:tcBorders>
            <w:shd w:val="clear" w:color="auto" w:fill="auto"/>
            <w:noWrap/>
            <w:vAlign w:val="center"/>
          </w:tcPr>
          <w:p w14:paraId="3E26788D">
            <w:pPr>
              <w:pStyle w:val="34"/>
              <w:tabs>
                <w:tab w:val="left" w:pos="1389"/>
              </w:tabs>
              <w:bidi w:val="0"/>
              <w:rPr>
                <w:rFonts w:hint="eastAsia"/>
                <w:color w:val="auto"/>
              </w:rPr>
            </w:pPr>
            <w:r>
              <w:rPr>
                <w:rFonts w:hint="eastAsia"/>
                <w:color w:val="auto"/>
                <w:lang w:val="en-US" w:eastAsia="zh-CN"/>
              </w:rPr>
              <w:t>133.8528</w:t>
            </w:r>
          </w:p>
        </w:tc>
        <w:tc>
          <w:tcPr>
            <w:tcW w:w="1128" w:type="dxa"/>
            <w:tcBorders>
              <w:tl2br w:val="nil"/>
              <w:tr2bl w:val="nil"/>
            </w:tcBorders>
            <w:shd w:val="clear" w:color="auto" w:fill="auto"/>
            <w:noWrap/>
            <w:vAlign w:val="center"/>
          </w:tcPr>
          <w:p w14:paraId="25D71CE8">
            <w:pPr>
              <w:pStyle w:val="34"/>
              <w:tabs>
                <w:tab w:val="left" w:pos="1389"/>
              </w:tabs>
              <w:bidi w:val="0"/>
              <w:rPr>
                <w:rFonts w:hint="default"/>
                <w:color w:val="auto"/>
                <w:lang w:val="en-US"/>
              </w:rPr>
            </w:pPr>
            <w:r>
              <w:rPr>
                <w:rFonts w:hint="eastAsia"/>
                <w:color w:val="auto"/>
                <w:lang w:val="en-US" w:eastAsia="zh-CN"/>
              </w:rPr>
              <w:t>0.1265</w:t>
            </w:r>
          </w:p>
        </w:tc>
      </w:tr>
    </w:tbl>
    <w:p w14:paraId="5FEA42F3">
      <w:pPr>
        <w:adjustRightInd w:val="0"/>
        <w:snapToGrid w:val="0"/>
        <w:spacing w:line="360" w:lineRule="auto"/>
        <w:ind w:firstLine="482" w:firstLineChars="200"/>
        <w:jc w:val="center"/>
        <w:rPr>
          <w:rFonts w:hint="eastAsia"/>
          <w:b/>
          <w:bCs/>
          <w:color w:val="auto"/>
          <w:szCs w:val="21"/>
          <w:highlight w:val="none"/>
        </w:rPr>
      </w:pPr>
    </w:p>
    <w:p w14:paraId="6F7E993F">
      <w:pPr>
        <w:numPr>
          <w:ilvl w:val="0"/>
          <w:numId w:val="0"/>
        </w:numPr>
        <w:spacing w:line="360" w:lineRule="auto"/>
        <w:ind w:firstLine="480" w:firstLineChars="200"/>
        <w:rPr>
          <w:rFonts w:hint="eastAsia"/>
          <w:color w:val="auto"/>
          <w:sz w:val="24"/>
          <w:highlight w:val="none"/>
        </w:rPr>
      </w:pPr>
      <w:r>
        <w:rPr>
          <w:rFonts w:hint="eastAsia" w:ascii="Times New Roman" w:hAnsi="Times New Roman" w:eastAsia="宋体" w:cs="Times New Roman"/>
          <w:color w:val="auto"/>
          <w:kern w:val="2"/>
          <w:sz w:val="24"/>
          <w:szCs w:val="24"/>
          <w:lang w:val="en-US" w:eastAsia="zh-CN" w:bidi="ar-SA"/>
        </w:rPr>
        <w:t>（3）</w:t>
      </w:r>
      <w:r>
        <w:rPr>
          <w:color w:val="auto"/>
          <w:sz w:val="24"/>
          <w:highlight w:val="none"/>
        </w:rPr>
        <w:t>评价区生态系统的</w:t>
      </w:r>
      <w:r>
        <w:rPr>
          <w:rFonts w:hint="eastAsia"/>
          <w:color w:val="auto"/>
          <w:sz w:val="24"/>
          <w:highlight w:val="none"/>
        </w:rPr>
        <w:t>生产力</w:t>
      </w:r>
    </w:p>
    <w:p w14:paraId="64F29FF6">
      <w:pPr>
        <w:numPr>
          <w:ilvl w:val="0"/>
          <w:numId w:val="0"/>
        </w:numPr>
        <w:spacing w:line="360" w:lineRule="auto"/>
        <w:ind w:firstLine="480" w:firstLineChars="200"/>
        <w:rPr>
          <w:rFonts w:hint="eastAsia"/>
          <w:color w:val="auto"/>
          <w:highlight w:val="none"/>
        </w:rPr>
      </w:pPr>
      <w:r>
        <w:rPr>
          <w:color w:val="auto"/>
          <w:sz w:val="24"/>
          <w:highlight w:val="none"/>
        </w:rPr>
        <w:t>根据评价区内各种植被类型的面积，以及各植被类型生态系统的净生产力</w:t>
      </w:r>
      <w:r>
        <w:rPr>
          <w:rFonts w:hint="eastAsia"/>
          <w:color w:val="auto"/>
          <w:sz w:val="24"/>
          <w:highlight w:val="none"/>
          <w:lang w:eastAsia="zh-CN"/>
        </w:rPr>
        <w:t>（</w:t>
      </w:r>
      <w:r>
        <w:rPr>
          <w:color w:val="auto"/>
          <w:sz w:val="24"/>
          <w:highlight w:val="none"/>
        </w:rPr>
        <w:t>t/a.hm</w:t>
      </w:r>
      <w:r>
        <w:rPr>
          <w:color w:val="auto"/>
          <w:sz w:val="24"/>
          <w:highlight w:val="none"/>
          <w:vertAlign w:val="superscript"/>
        </w:rPr>
        <w:t>2</w:t>
      </w:r>
      <w:r>
        <w:rPr>
          <w:color w:val="auto"/>
          <w:sz w:val="24"/>
          <w:highlight w:val="none"/>
        </w:rPr>
        <w:t>)，（Whittaker，Likens，1975</w:t>
      </w:r>
      <w:r>
        <w:rPr>
          <w:rFonts w:hint="eastAsia"/>
          <w:color w:val="auto"/>
          <w:sz w:val="24"/>
          <w:highlight w:val="none"/>
        </w:rPr>
        <w:t>）</w:t>
      </w:r>
      <w:r>
        <w:rPr>
          <w:color w:val="auto"/>
          <w:sz w:val="24"/>
          <w:highlight w:val="none"/>
        </w:rPr>
        <w:t>，计算得到评价区生态系统的年生产力及其总和</w:t>
      </w:r>
      <w:r>
        <w:rPr>
          <w:rFonts w:hint="eastAsia"/>
          <w:color w:val="auto"/>
          <w:sz w:val="24"/>
          <w:highlight w:val="none"/>
        </w:rPr>
        <w:t>。</w:t>
      </w:r>
    </w:p>
    <w:p w14:paraId="6332708C">
      <w:pPr>
        <w:pStyle w:val="42"/>
        <w:bidi w:val="0"/>
        <w:rPr>
          <w:rFonts w:hint="eastAsia"/>
          <w:color w:val="auto"/>
        </w:rPr>
      </w:pPr>
      <w:r>
        <w:rPr>
          <w:rFonts w:hint="eastAsia"/>
          <w:color w:val="auto"/>
        </w:rPr>
        <w:t>表</w:t>
      </w:r>
      <w:r>
        <w:rPr>
          <w:rFonts w:hint="eastAsia"/>
          <w:color w:val="auto"/>
          <w:lang w:val="en-US" w:eastAsia="zh-CN"/>
        </w:rPr>
        <w:t>3</w:t>
      </w:r>
      <w:r>
        <w:rPr>
          <w:rFonts w:hint="eastAsia"/>
          <w:color w:val="auto"/>
        </w:rPr>
        <w:t>-</w:t>
      </w:r>
      <w:r>
        <w:rPr>
          <w:rFonts w:hint="eastAsia"/>
          <w:color w:val="auto"/>
          <w:lang w:val="en-US" w:eastAsia="zh-CN"/>
        </w:rPr>
        <w:t>4</w:t>
      </w:r>
      <w:r>
        <w:rPr>
          <w:rFonts w:hint="eastAsia"/>
          <w:color w:val="auto"/>
        </w:rPr>
        <w:t>评价区每年生态系统生产力表一览表</w:t>
      </w:r>
    </w:p>
    <w:tbl>
      <w:tblPr>
        <w:tblStyle w:val="20"/>
        <w:tblW w:w="4997" w:type="pct"/>
        <w:tblInd w:w="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Layout w:type="autofit"/>
        <w:tblCellMar>
          <w:top w:w="0" w:type="dxa"/>
          <w:left w:w="108" w:type="dxa"/>
          <w:bottom w:w="0" w:type="dxa"/>
          <w:right w:w="108" w:type="dxa"/>
        </w:tblCellMar>
      </w:tblPr>
      <w:tblGrid>
        <w:gridCol w:w="1089"/>
        <w:gridCol w:w="1510"/>
        <w:gridCol w:w="1143"/>
        <w:gridCol w:w="1007"/>
        <w:gridCol w:w="1125"/>
        <w:gridCol w:w="1288"/>
        <w:gridCol w:w="933"/>
        <w:gridCol w:w="846"/>
      </w:tblGrid>
      <w:tr w14:paraId="2E02AE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50" w:hRule="atLeast"/>
        </w:trPr>
        <w:tc>
          <w:tcPr>
            <w:tcW w:w="609" w:type="pct"/>
            <w:tcBorders>
              <w:tl2br w:val="nil"/>
              <w:tr2bl w:val="nil"/>
            </w:tcBorders>
            <w:shd w:val="clear" w:color="auto" w:fill="auto"/>
            <w:noWrap/>
            <w:vAlign w:val="center"/>
          </w:tcPr>
          <w:p w14:paraId="2E6E3151">
            <w:pPr>
              <w:pStyle w:val="34"/>
              <w:tabs>
                <w:tab w:val="left" w:pos="1389"/>
              </w:tabs>
              <w:bidi w:val="0"/>
              <w:rPr>
                <w:rFonts w:hint="eastAsia"/>
                <w:color w:val="auto"/>
              </w:rPr>
            </w:pPr>
            <w:r>
              <w:rPr>
                <w:rFonts w:hint="eastAsia"/>
                <w:color w:val="auto"/>
                <w:lang w:val="en-US" w:eastAsia="zh-CN"/>
              </w:rPr>
              <w:t>属性</w:t>
            </w:r>
          </w:p>
        </w:tc>
        <w:tc>
          <w:tcPr>
            <w:tcW w:w="844" w:type="pct"/>
            <w:tcBorders>
              <w:tl2br w:val="nil"/>
              <w:tr2bl w:val="nil"/>
            </w:tcBorders>
            <w:shd w:val="clear" w:color="auto" w:fill="auto"/>
            <w:vAlign w:val="center"/>
          </w:tcPr>
          <w:p w14:paraId="6F033B24">
            <w:pPr>
              <w:pStyle w:val="34"/>
              <w:tabs>
                <w:tab w:val="left" w:pos="1389"/>
              </w:tabs>
              <w:bidi w:val="0"/>
              <w:rPr>
                <w:rFonts w:hint="eastAsia"/>
                <w:color w:val="auto"/>
              </w:rPr>
            </w:pPr>
            <w:r>
              <w:rPr>
                <w:rFonts w:hint="eastAsia"/>
                <w:color w:val="auto"/>
                <w:lang w:val="en-US" w:eastAsia="zh-CN"/>
              </w:rPr>
              <w:t>生态系统</w:t>
            </w:r>
          </w:p>
        </w:tc>
        <w:tc>
          <w:tcPr>
            <w:tcW w:w="639" w:type="pct"/>
            <w:tcBorders>
              <w:tl2br w:val="nil"/>
              <w:tr2bl w:val="nil"/>
            </w:tcBorders>
            <w:shd w:val="clear" w:color="auto" w:fill="auto"/>
            <w:vAlign w:val="center"/>
          </w:tcPr>
          <w:p w14:paraId="3BBAD462">
            <w:pPr>
              <w:pStyle w:val="34"/>
              <w:tabs>
                <w:tab w:val="left" w:pos="1389"/>
              </w:tabs>
              <w:bidi w:val="0"/>
              <w:rPr>
                <w:rFonts w:hint="eastAsia"/>
                <w:color w:val="auto"/>
              </w:rPr>
            </w:pPr>
            <w:r>
              <w:rPr>
                <w:rFonts w:hint="eastAsia"/>
                <w:color w:val="auto"/>
                <w:lang w:val="en-US" w:eastAsia="zh-CN"/>
              </w:rPr>
              <w:t>评价区面积（</w:t>
            </w:r>
            <w:r>
              <w:rPr>
                <w:rFonts w:hint="default"/>
                <w:color w:val="auto"/>
                <w:lang w:val="en-US" w:eastAsia="zh-CN"/>
              </w:rPr>
              <w:t>hm</w:t>
            </w:r>
            <w:r>
              <w:rPr>
                <w:rFonts w:hint="default"/>
                <w:color w:val="auto"/>
                <w:vertAlign w:val="superscript"/>
                <w:lang w:val="en-US" w:eastAsia="zh-CN"/>
              </w:rPr>
              <w:t>2</w:t>
            </w:r>
            <w:r>
              <w:rPr>
                <w:rFonts w:hint="eastAsia"/>
                <w:color w:val="auto"/>
                <w:lang w:val="en-US" w:eastAsia="zh-CN"/>
              </w:rPr>
              <w:t>）</w:t>
            </w:r>
          </w:p>
        </w:tc>
        <w:tc>
          <w:tcPr>
            <w:tcW w:w="563" w:type="pct"/>
            <w:tcBorders>
              <w:tl2br w:val="nil"/>
              <w:tr2bl w:val="nil"/>
            </w:tcBorders>
            <w:shd w:val="clear" w:color="auto" w:fill="auto"/>
            <w:vAlign w:val="center"/>
          </w:tcPr>
          <w:p w14:paraId="10B503FE">
            <w:pPr>
              <w:pStyle w:val="34"/>
              <w:tabs>
                <w:tab w:val="left" w:pos="1389"/>
              </w:tabs>
              <w:bidi w:val="0"/>
              <w:rPr>
                <w:rFonts w:hint="eastAsia"/>
                <w:color w:val="auto"/>
              </w:rPr>
            </w:pPr>
            <w:r>
              <w:rPr>
                <w:rFonts w:hint="eastAsia"/>
                <w:color w:val="auto"/>
                <w:lang w:val="en-US" w:eastAsia="zh-CN"/>
              </w:rPr>
              <w:t>占地面积（hm</w:t>
            </w:r>
            <w:r>
              <w:rPr>
                <w:rFonts w:hint="eastAsia"/>
                <w:color w:val="auto"/>
                <w:vertAlign w:val="superscript"/>
                <w:lang w:val="en-US" w:eastAsia="zh-CN"/>
              </w:rPr>
              <w:t>2</w:t>
            </w:r>
            <w:r>
              <w:rPr>
                <w:rFonts w:hint="eastAsia"/>
                <w:color w:val="auto"/>
                <w:lang w:val="en-US" w:eastAsia="zh-CN"/>
              </w:rPr>
              <w:t>）</w:t>
            </w:r>
          </w:p>
        </w:tc>
        <w:tc>
          <w:tcPr>
            <w:tcW w:w="629" w:type="pct"/>
            <w:tcBorders>
              <w:tl2br w:val="nil"/>
              <w:tr2bl w:val="nil"/>
            </w:tcBorders>
            <w:shd w:val="clear" w:color="auto" w:fill="auto"/>
            <w:vAlign w:val="center"/>
          </w:tcPr>
          <w:p w14:paraId="041BB8C3">
            <w:pPr>
              <w:pStyle w:val="34"/>
              <w:tabs>
                <w:tab w:val="left" w:pos="1389"/>
              </w:tabs>
              <w:bidi w:val="0"/>
              <w:rPr>
                <w:rFonts w:hint="eastAsia"/>
                <w:color w:val="auto"/>
              </w:rPr>
            </w:pPr>
            <w:r>
              <w:rPr>
                <w:rFonts w:hint="eastAsia"/>
                <w:color w:val="auto"/>
                <w:lang w:val="en-US" w:eastAsia="zh-CN"/>
              </w:rPr>
              <w:t>净生产力（</w:t>
            </w:r>
            <w:r>
              <w:rPr>
                <w:rFonts w:hint="default"/>
                <w:color w:val="auto"/>
                <w:lang w:val="en-US" w:eastAsia="zh-CN"/>
              </w:rPr>
              <w:t>t/a.hm</w:t>
            </w:r>
            <w:r>
              <w:rPr>
                <w:rFonts w:hint="default"/>
                <w:color w:val="auto"/>
                <w:vertAlign w:val="superscript"/>
                <w:lang w:val="en-US" w:eastAsia="zh-CN"/>
              </w:rPr>
              <w:t>2</w:t>
            </w:r>
            <w:r>
              <w:rPr>
                <w:rFonts w:hint="default"/>
                <w:color w:val="auto"/>
                <w:lang w:val="en-US" w:eastAsia="zh-CN"/>
              </w:rPr>
              <w:t>)</w:t>
            </w:r>
          </w:p>
        </w:tc>
        <w:tc>
          <w:tcPr>
            <w:tcW w:w="720" w:type="pct"/>
            <w:tcBorders>
              <w:tl2br w:val="nil"/>
              <w:tr2bl w:val="nil"/>
            </w:tcBorders>
            <w:shd w:val="clear" w:color="auto" w:fill="auto"/>
            <w:vAlign w:val="center"/>
          </w:tcPr>
          <w:p w14:paraId="571796F4">
            <w:pPr>
              <w:pStyle w:val="34"/>
              <w:tabs>
                <w:tab w:val="left" w:pos="1389"/>
              </w:tabs>
              <w:bidi w:val="0"/>
              <w:rPr>
                <w:rFonts w:hint="eastAsia"/>
                <w:color w:val="auto"/>
              </w:rPr>
            </w:pPr>
            <w:r>
              <w:rPr>
                <w:rFonts w:hint="eastAsia"/>
                <w:color w:val="auto"/>
                <w:lang w:val="en-US" w:eastAsia="zh-CN"/>
              </w:rPr>
              <w:t>评价区生产力（</w:t>
            </w:r>
            <w:r>
              <w:rPr>
                <w:rFonts w:hint="default"/>
                <w:color w:val="auto"/>
                <w:lang w:val="en-US" w:eastAsia="zh-CN"/>
              </w:rPr>
              <w:t>t/hm</w:t>
            </w:r>
            <w:r>
              <w:rPr>
                <w:rFonts w:hint="default"/>
                <w:color w:val="auto"/>
                <w:vertAlign w:val="superscript"/>
                <w:lang w:val="en-US" w:eastAsia="zh-CN"/>
              </w:rPr>
              <w:t>2</w:t>
            </w:r>
            <w:r>
              <w:rPr>
                <w:rFonts w:hint="eastAsia"/>
                <w:color w:val="auto"/>
                <w:lang w:val="en-US" w:eastAsia="zh-CN"/>
              </w:rPr>
              <w:t>）</w:t>
            </w:r>
          </w:p>
        </w:tc>
        <w:tc>
          <w:tcPr>
            <w:tcW w:w="521" w:type="pct"/>
            <w:tcBorders>
              <w:tl2br w:val="nil"/>
              <w:tr2bl w:val="nil"/>
            </w:tcBorders>
            <w:shd w:val="clear" w:color="auto" w:fill="auto"/>
            <w:vAlign w:val="center"/>
          </w:tcPr>
          <w:p w14:paraId="747EDCB5">
            <w:pPr>
              <w:pStyle w:val="34"/>
              <w:tabs>
                <w:tab w:val="left" w:pos="1389"/>
              </w:tabs>
              <w:bidi w:val="0"/>
              <w:rPr>
                <w:rFonts w:hint="eastAsia"/>
                <w:color w:val="auto"/>
              </w:rPr>
            </w:pPr>
            <w:r>
              <w:rPr>
                <w:rFonts w:hint="eastAsia"/>
                <w:color w:val="auto"/>
                <w:lang w:val="en-US" w:eastAsia="zh-CN"/>
              </w:rPr>
              <w:t>损失生产力（</w:t>
            </w:r>
            <w:r>
              <w:rPr>
                <w:rFonts w:hint="default"/>
                <w:color w:val="auto"/>
                <w:lang w:val="en-US" w:eastAsia="zh-CN"/>
              </w:rPr>
              <w:t>t/a</w:t>
            </w:r>
            <w:r>
              <w:rPr>
                <w:rFonts w:hint="eastAsia"/>
                <w:color w:val="auto"/>
                <w:lang w:val="en-US" w:eastAsia="zh-CN"/>
              </w:rPr>
              <w:t>）</w:t>
            </w:r>
          </w:p>
        </w:tc>
        <w:tc>
          <w:tcPr>
            <w:tcW w:w="473" w:type="pct"/>
            <w:tcBorders>
              <w:tl2br w:val="nil"/>
              <w:tr2bl w:val="nil"/>
            </w:tcBorders>
            <w:shd w:val="clear" w:color="auto" w:fill="auto"/>
            <w:vAlign w:val="center"/>
          </w:tcPr>
          <w:p w14:paraId="315C4239">
            <w:pPr>
              <w:pStyle w:val="34"/>
              <w:tabs>
                <w:tab w:val="left" w:pos="1389"/>
              </w:tabs>
              <w:bidi w:val="0"/>
              <w:rPr>
                <w:rFonts w:hint="eastAsia"/>
                <w:color w:val="auto"/>
              </w:rPr>
            </w:pPr>
            <w:r>
              <w:rPr>
                <w:rFonts w:hint="eastAsia"/>
                <w:color w:val="auto"/>
                <w:lang w:val="en-US" w:eastAsia="zh-CN"/>
              </w:rPr>
              <w:t>损失生产力百分比（</w:t>
            </w:r>
            <w:r>
              <w:rPr>
                <w:rFonts w:hint="default"/>
                <w:color w:val="auto"/>
                <w:lang w:val="en-US" w:eastAsia="zh-CN"/>
              </w:rPr>
              <w:t>%</w:t>
            </w:r>
            <w:r>
              <w:rPr>
                <w:rFonts w:hint="eastAsia"/>
                <w:color w:val="auto"/>
                <w:lang w:val="en-US" w:eastAsia="zh-CN"/>
              </w:rPr>
              <w:t>）</w:t>
            </w:r>
          </w:p>
        </w:tc>
      </w:tr>
      <w:tr w14:paraId="559EAFD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09" w:type="pct"/>
            <w:vMerge w:val="restart"/>
            <w:tcBorders>
              <w:tl2br w:val="nil"/>
              <w:tr2bl w:val="nil"/>
            </w:tcBorders>
            <w:shd w:val="clear" w:color="auto" w:fill="auto"/>
            <w:noWrap/>
            <w:vAlign w:val="center"/>
          </w:tcPr>
          <w:p w14:paraId="4184DBBB">
            <w:pPr>
              <w:pStyle w:val="34"/>
              <w:tabs>
                <w:tab w:val="left" w:pos="1389"/>
              </w:tabs>
              <w:bidi w:val="0"/>
              <w:rPr>
                <w:rFonts w:hint="eastAsia"/>
                <w:color w:val="auto"/>
              </w:rPr>
            </w:pPr>
            <w:r>
              <w:rPr>
                <w:rFonts w:hint="eastAsia"/>
                <w:color w:val="auto"/>
                <w:lang w:val="en-US" w:eastAsia="zh-CN"/>
              </w:rPr>
              <w:t>自然植被</w:t>
            </w:r>
          </w:p>
        </w:tc>
        <w:tc>
          <w:tcPr>
            <w:tcW w:w="844" w:type="pct"/>
            <w:tcBorders>
              <w:tl2br w:val="nil"/>
              <w:tr2bl w:val="nil"/>
            </w:tcBorders>
            <w:shd w:val="clear" w:color="auto" w:fill="auto"/>
            <w:vAlign w:val="center"/>
          </w:tcPr>
          <w:p w14:paraId="13FFD9B2">
            <w:pPr>
              <w:pStyle w:val="34"/>
              <w:tabs>
                <w:tab w:val="left" w:pos="1389"/>
              </w:tabs>
              <w:bidi w:val="0"/>
              <w:rPr>
                <w:rFonts w:hint="eastAsia"/>
                <w:color w:val="auto"/>
              </w:rPr>
            </w:pPr>
            <w:r>
              <w:rPr>
                <w:rFonts w:hint="eastAsia"/>
                <w:color w:val="auto"/>
                <w:lang w:val="en-US" w:eastAsia="zh-CN"/>
              </w:rPr>
              <w:t>常绿阔叶林</w:t>
            </w:r>
          </w:p>
        </w:tc>
        <w:tc>
          <w:tcPr>
            <w:tcW w:w="1143" w:type="dxa"/>
            <w:tcBorders>
              <w:tl2br w:val="nil"/>
              <w:tr2bl w:val="nil"/>
            </w:tcBorders>
            <w:shd w:val="clear" w:color="auto" w:fill="auto"/>
            <w:noWrap/>
            <w:vAlign w:val="center"/>
          </w:tcPr>
          <w:p w14:paraId="7FB1079E">
            <w:pPr>
              <w:pStyle w:val="34"/>
              <w:tabs>
                <w:tab w:val="left" w:pos="1389"/>
              </w:tabs>
              <w:bidi w:val="0"/>
              <w:rPr>
                <w:rFonts w:hint="eastAsia"/>
                <w:color w:val="auto"/>
              </w:rPr>
            </w:pPr>
            <w:r>
              <w:rPr>
                <w:rFonts w:hint="eastAsia"/>
                <w:color w:val="auto"/>
                <w:lang w:val="en-US" w:eastAsia="zh-CN"/>
              </w:rPr>
              <w:t>43.3047</w:t>
            </w:r>
          </w:p>
        </w:tc>
        <w:tc>
          <w:tcPr>
            <w:tcW w:w="1007" w:type="dxa"/>
            <w:tcBorders>
              <w:tl2br w:val="nil"/>
              <w:tr2bl w:val="nil"/>
            </w:tcBorders>
            <w:shd w:val="clear" w:color="auto" w:fill="auto"/>
            <w:noWrap/>
            <w:vAlign w:val="center"/>
          </w:tcPr>
          <w:p w14:paraId="44562A64">
            <w:pPr>
              <w:pStyle w:val="34"/>
              <w:tabs>
                <w:tab w:val="left" w:pos="1389"/>
              </w:tabs>
              <w:bidi w:val="0"/>
              <w:rPr>
                <w:rFonts w:hint="eastAsia"/>
                <w:color w:val="auto"/>
              </w:rPr>
            </w:pPr>
            <w:r>
              <w:rPr>
                <w:rFonts w:hint="eastAsia"/>
                <w:color w:val="auto"/>
                <w:lang w:val="en-US" w:eastAsia="zh-CN"/>
              </w:rPr>
              <w:t>0.0000</w:t>
            </w:r>
          </w:p>
        </w:tc>
        <w:tc>
          <w:tcPr>
            <w:tcW w:w="1124" w:type="dxa"/>
            <w:tcBorders>
              <w:tl2br w:val="nil"/>
              <w:tr2bl w:val="nil"/>
            </w:tcBorders>
            <w:shd w:val="clear" w:color="auto" w:fill="auto"/>
            <w:noWrap/>
            <w:vAlign w:val="center"/>
          </w:tcPr>
          <w:p w14:paraId="0C914D32">
            <w:pPr>
              <w:pStyle w:val="34"/>
              <w:tabs>
                <w:tab w:val="left" w:pos="1389"/>
              </w:tabs>
              <w:bidi w:val="0"/>
              <w:rPr>
                <w:rFonts w:hint="eastAsia"/>
                <w:color w:val="auto"/>
              </w:rPr>
            </w:pPr>
            <w:r>
              <w:rPr>
                <w:rFonts w:hint="eastAsia"/>
                <w:color w:val="auto"/>
                <w:lang w:val="en-US" w:eastAsia="zh-CN"/>
              </w:rPr>
              <w:t>10</w:t>
            </w:r>
          </w:p>
        </w:tc>
        <w:tc>
          <w:tcPr>
            <w:tcW w:w="1288" w:type="dxa"/>
            <w:tcBorders>
              <w:tl2br w:val="nil"/>
              <w:tr2bl w:val="nil"/>
            </w:tcBorders>
            <w:shd w:val="clear" w:color="auto" w:fill="auto"/>
            <w:noWrap/>
            <w:vAlign w:val="center"/>
          </w:tcPr>
          <w:p w14:paraId="49D55F77">
            <w:pPr>
              <w:pStyle w:val="34"/>
              <w:tabs>
                <w:tab w:val="left" w:pos="1389"/>
              </w:tabs>
              <w:bidi w:val="0"/>
              <w:rPr>
                <w:rFonts w:hint="eastAsia"/>
                <w:color w:val="auto"/>
              </w:rPr>
            </w:pPr>
            <w:r>
              <w:rPr>
                <w:rFonts w:hint="eastAsia"/>
                <w:color w:val="auto"/>
                <w:lang w:val="en-US" w:eastAsia="zh-CN"/>
              </w:rPr>
              <w:t>433.0470</w:t>
            </w:r>
          </w:p>
        </w:tc>
        <w:tc>
          <w:tcPr>
            <w:tcW w:w="933" w:type="dxa"/>
            <w:tcBorders>
              <w:tl2br w:val="nil"/>
              <w:tr2bl w:val="nil"/>
            </w:tcBorders>
            <w:shd w:val="clear" w:color="auto" w:fill="auto"/>
            <w:noWrap/>
            <w:vAlign w:val="center"/>
          </w:tcPr>
          <w:p w14:paraId="1FB3C700">
            <w:pPr>
              <w:pStyle w:val="34"/>
              <w:tabs>
                <w:tab w:val="left" w:pos="1389"/>
              </w:tabs>
              <w:bidi w:val="0"/>
              <w:rPr>
                <w:rFonts w:hint="eastAsia"/>
                <w:color w:val="auto"/>
              </w:rPr>
            </w:pPr>
            <w:r>
              <w:rPr>
                <w:rFonts w:hint="eastAsia"/>
                <w:color w:val="auto"/>
                <w:lang w:val="en-US" w:eastAsia="zh-CN"/>
              </w:rPr>
              <w:t>0</w:t>
            </w:r>
          </w:p>
        </w:tc>
        <w:tc>
          <w:tcPr>
            <w:tcW w:w="846" w:type="dxa"/>
            <w:tcBorders>
              <w:tl2br w:val="nil"/>
              <w:tr2bl w:val="nil"/>
            </w:tcBorders>
            <w:shd w:val="clear" w:color="auto" w:fill="auto"/>
            <w:noWrap/>
            <w:vAlign w:val="center"/>
          </w:tcPr>
          <w:p w14:paraId="1251DBA1">
            <w:pPr>
              <w:pStyle w:val="34"/>
              <w:tabs>
                <w:tab w:val="left" w:pos="1389"/>
              </w:tabs>
              <w:bidi w:val="0"/>
              <w:rPr>
                <w:rFonts w:hint="eastAsia"/>
                <w:color w:val="auto"/>
              </w:rPr>
            </w:pPr>
            <w:r>
              <w:rPr>
                <w:rFonts w:hint="eastAsia"/>
                <w:color w:val="auto"/>
                <w:lang w:val="en-US" w:eastAsia="zh-CN"/>
              </w:rPr>
              <w:t>0</w:t>
            </w:r>
          </w:p>
        </w:tc>
      </w:tr>
      <w:tr w14:paraId="1C382D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70" w:hRule="atLeast"/>
        </w:trPr>
        <w:tc>
          <w:tcPr>
            <w:tcW w:w="609" w:type="pct"/>
            <w:vMerge w:val="continue"/>
            <w:tcBorders>
              <w:tl2br w:val="nil"/>
              <w:tr2bl w:val="nil"/>
            </w:tcBorders>
            <w:shd w:val="clear" w:color="auto" w:fill="auto"/>
            <w:noWrap/>
            <w:vAlign w:val="center"/>
          </w:tcPr>
          <w:p w14:paraId="249E451B">
            <w:pPr>
              <w:pStyle w:val="34"/>
              <w:tabs>
                <w:tab w:val="left" w:pos="1389"/>
              </w:tabs>
              <w:bidi w:val="0"/>
              <w:rPr>
                <w:rFonts w:hint="eastAsia"/>
                <w:color w:val="auto"/>
              </w:rPr>
            </w:pPr>
          </w:p>
        </w:tc>
        <w:tc>
          <w:tcPr>
            <w:tcW w:w="844" w:type="pct"/>
            <w:tcBorders>
              <w:tl2br w:val="nil"/>
              <w:tr2bl w:val="nil"/>
            </w:tcBorders>
            <w:shd w:val="clear" w:color="auto" w:fill="auto"/>
            <w:vAlign w:val="center"/>
          </w:tcPr>
          <w:p w14:paraId="2545F4F1">
            <w:pPr>
              <w:pStyle w:val="34"/>
              <w:tabs>
                <w:tab w:val="left" w:pos="1389"/>
              </w:tabs>
              <w:bidi w:val="0"/>
              <w:rPr>
                <w:rFonts w:hint="eastAsia"/>
                <w:color w:val="auto"/>
              </w:rPr>
            </w:pPr>
            <w:r>
              <w:rPr>
                <w:rFonts w:hint="eastAsia"/>
                <w:color w:val="auto"/>
                <w:lang w:val="en-US" w:eastAsia="zh-CN"/>
              </w:rPr>
              <w:t>落叶阔叶林</w:t>
            </w:r>
          </w:p>
        </w:tc>
        <w:tc>
          <w:tcPr>
            <w:tcW w:w="1143" w:type="dxa"/>
            <w:tcBorders>
              <w:tl2br w:val="nil"/>
              <w:tr2bl w:val="nil"/>
            </w:tcBorders>
            <w:shd w:val="clear" w:color="auto" w:fill="auto"/>
            <w:noWrap/>
            <w:vAlign w:val="center"/>
          </w:tcPr>
          <w:p w14:paraId="7DA41E41">
            <w:pPr>
              <w:pStyle w:val="34"/>
              <w:tabs>
                <w:tab w:val="left" w:pos="1389"/>
              </w:tabs>
              <w:bidi w:val="0"/>
              <w:rPr>
                <w:rFonts w:hint="eastAsia"/>
                <w:color w:val="auto"/>
              </w:rPr>
            </w:pPr>
            <w:r>
              <w:rPr>
                <w:rFonts w:hint="eastAsia"/>
                <w:color w:val="auto"/>
                <w:lang w:val="en-US" w:eastAsia="zh-CN"/>
              </w:rPr>
              <w:t>17.5925</w:t>
            </w:r>
          </w:p>
        </w:tc>
        <w:tc>
          <w:tcPr>
            <w:tcW w:w="1007" w:type="dxa"/>
            <w:tcBorders>
              <w:tl2br w:val="nil"/>
              <w:tr2bl w:val="nil"/>
            </w:tcBorders>
            <w:shd w:val="clear" w:color="auto" w:fill="auto"/>
            <w:noWrap/>
            <w:vAlign w:val="center"/>
          </w:tcPr>
          <w:p w14:paraId="0FB8EED3">
            <w:pPr>
              <w:pStyle w:val="34"/>
              <w:tabs>
                <w:tab w:val="left" w:pos="1389"/>
              </w:tabs>
              <w:bidi w:val="0"/>
              <w:rPr>
                <w:rFonts w:hint="eastAsia"/>
                <w:color w:val="auto"/>
              </w:rPr>
            </w:pPr>
            <w:r>
              <w:rPr>
                <w:rFonts w:hint="eastAsia"/>
                <w:color w:val="auto"/>
                <w:lang w:val="en-US" w:eastAsia="zh-CN"/>
              </w:rPr>
              <w:t>0.1193</w:t>
            </w:r>
          </w:p>
        </w:tc>
        <w:tc>
          <w:tcPr>
            <w:tcW w:w="1124" w:type="dxa"/>
            <w:tcBorders>
              <w:tl2br w:val="nil"/>
              <w:tr2bl w:val="nil"/>
            </w:tcBorders>
            <w:shd w:val="clear" w:color="auto" w:fill="auto"/>
            <w:noWrap/>
            <w:vAlign w:val="center"/>
          </w:tcPr>
          <w:p w14:paraId="1D21BB7C">
            <w:pPr>
              <w:pStyle w:val="34"/>
              <w:tabs>
                <w:tab w:val="left" w:pos="1389"/>
              </w:tabs>
              <w:bidi w:val="0"/>
              <w:rPr>
                <w:rFonts w:hint="eastAsia"/>
                <w:color w:val="auto"/>
              </w:rPr>
            </w:pPr>
            <w:r>
              <w:rPr>
                <w:rFonts w:hint="eastAsia"/>
                <w:color w:val="auto"/>
                <w:lang w:val="en-US" w:eastAsia="zh-CN"/>
              </w:rPr>
              <w:t>8</w:t>
            </w:r>
          </w:p>
        </w:tc>
        <w:tc>
          <w:tcPr>
            <w:tcW w:w="1288" w:type="dxa"/>
            <w:tcBorders>
              <w:tl2br w:val="nil"/>
              <w:tr2bl w:val="nil"/>
            </w:tcBorders>
            <w:shd w:val="clear" w:color="auto" w:fill="auto"/>
            <w:noWrap/>
            <w:vAlign w:val="center"/>
          </w:tcPr>
          <w:p w14:paraId="018E75CC">
            <w:pPr>
              <w:pStyle w:val="34"/>
              <w:tabs>
                <w:tab w:val="left" w:pos="1389"/>
              </w:tabs>
              <w:bidi w:val="0"/>
              <w:rPr>
                <w:rFonts w:hint="eastAsia"/>
                <w:color w:val="auto"/>
              </w:rPr>
            </w:pPr>
            <w:r>
              <w:rPr>
                <w:rFonts w:hint="eastAsia"/>
                <w:color w:val="auto"/>
                <w:lang w:val="en-US" w:eastAsia="zh-CN"/>
              </w:rPr>
              <w:t>140.7403</w:t>
            </w:r>
          </w:p>
        </w:tc>
        <w:tc>
          <w:tcPr>
            <w:tcW w:w="933" w:type="dxa"/>
            <w:tcBorders>
              <w:tl2br w:val="nil"/>
              <w:tr2bl w:val="nil"/>
            </w:tcBorders>
            <w:shd w:val="clear" w:color="auto" w:fill="auto"/>
            <w:noWrap/>
            <w:vAlign w:val="center"/>
          </w:tcPr>
          <w:p w14:paraId="049A67F6">
            <w:pPr>
              <w:pStyle w:val="34"/>
              <w:tabs>
                <w:tab w:val="left" w:pos="1389"/>
              </w:tabs>
              <w:bidi w:val="0"/>
              <w:rPr>
                <w:rFonts w:hint="eastAsia"/>
                <w:color w:val="auto"/>
              </w:rPr>
            </w:pPr>
            <w:r>
              <w:rPr>
                <w:rFonts w:hint="eastAsia"/>
                <w:color w:val="auto"/>
                <w:lang w:val="en-US" w:eastAsia="zh-CN"/>
              </w:rPr>
              <w:t>0.9540</w:t>
            </w:r>
          </w:p>
        </w:tc>
        <w:tc>
          <w:tcPr>
            <w:tcW w:w="846" w:type="dxa"/>
            <w:tcBorders>
              <w:tl2br w:val="nil"/>
              <w:tr2bl w:val="nil"/>
            </w:tcBorders>
            <w:shd w:val="clear" w:color="auto" w:fill="auto"/>
            <w:noWrap/>
            <w:vAlign w:val="center"/>
          </w:tcPr>
          <w:p w14:paraId="23AEDABD">
            <w:pPr>
              <w:pStyle w:val="34"/>
              <w:tabs>
                <w:tab w:val="left" w:pos="1389"/>
              </w:tabs>
              <w:bidi w:val="0"/>
              <w:rPr>
                <w:rFonts w:hint="eastAsia"/>
                <w:color w:val="auto"/>
              </w:rPr>
            </w:pPr>
            <w:r>
              <w:rPr>
                <w:rFonts w:hint="eastAsia"/>
                <w:color w:val="auto"/>
                <w:lang w:val="en-US" w:eastAsia="zh-CN"/>
              </w:rPr>
              <w:t>0.68</w:t>
            </w:r>
          </w:p>
        </w:tc>
      </w:tr>
      <w:tr w14:paraId="758BC69B">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09" w:type="pct"/>
            <w:vMerge w:val="continue"/>
            <w:tcBorders>
              <w:tl2br w:val="nil"/>
              <w:tr2bl w:val="nil"/>
            </w:tcBorders>
            <w:shd w:val="clear" w:color="auto" w:fill="auto"/>
            <w:noWrap/>
            <w:vAlign w:val="center"/>
          </w:tcPr>
          <w:p w14:paraId="53780829">
            <w:pPr>
              <w:pStyle w:val="34"/>
              <w:tabs>
                <w:tab w:val="left" w:pos="1389"/>
              </w:tabs>
              <w:bidi w:val="0"/>
              <w:rPr>
                <w:rFonts w:hint="eastAsia"/>
                <w:color w:val="auto"/>
              </w:rPr>
            </w:pPr>
          </w:p>
        </w:tc>
        <w:tc>
          <w:tcPr>
            <w:tcW w:w="844" w:type="pct"/>
            <w:tcBorders>
              <w:tl2br w:val="nil"/>
              <w:tr2bl w:val="nil"/>
            </w:tcBorders>
            <w:shd w:val="clear" w:color="auto" w:fill="auto"/>
            <w:noWrap/>
            <w:vAlign w:val="center"/>
          </w:tcPr>
          <w:p w14:paraId="7FB4993F">
            <w:pPr>
              <w:pStyle w:val="34"/>
              <w:tabs>
                <w:tab w:val="left" w:pos="1389"/>
              </w:tabs>
              <w:bidi w:val="0"/>
              <w:rPr>
                <w:rFonts w:hint="eastAsia"/>
                <w:color w:val="auto"/>
              </w:rPr>
            </w:pPr>
            <w:r>
              <w:rPr>
                <w:rFonts w:hint="eastAsia"/>
                <w:color w:val="auto"/>
                <w:lang w:val="en-US" w:eastAsia="zh-CN"/>
              </w:rPr>
              <w:t>针叶林</w:t>
            </w:r>
          </w:p>
        </w:tc>
        <w:tc>
          <w:tcPr>
            <w:tcW w:w="1143" w:type="dxa"/>
            <w:tcBorders>
              <w:tl2br w:val="nil"/>
              <w:tr2bl w:val="nil"/>
            </w:tcBorders>
            <w:shd w:val="clear" w:color="auto" w:fill="auto"/>
            <w:noWrap/>
            <w:vAlign w:val="center"/>
          </w:tcPr>
          <w:p w14:paraId="3286C01A">
            <w:pPr>
              <w:pStyle w:val="34"/>
              <w:tabs>
                <w:tab w:val="left" w:pos="1389"/>
              </w:tabs>
              <w:bidi w:val="0"/>
              <w:rPr>
                <w:rFonts w:hint="eastAsia"/>
                <w:color w:val="auto"/>
              </w:rPr>
            </w:pPr>
            <w:r>
              <w:rPr>
                <w:rFonts w:hint="eastAsia"/>
                <w:color w:val="auto"/>
                <w:lang w:val="en-US" w:eastAsia="zh-CN"/>
              </w:rPr>
              <w:t>695.5817</w:t>
            </w:r>
          </w:p>
        </w:tc>
        <w:tc>
          <w:tcPr>
            <w:tcW w:w="1007" w:type="dxa"/>
            <w:tcBorders>
              <w:tl2br w:val="nil"/>
              <w:tr2bl w:val="nil"/>
            </w:tcBorders>
            <w:shd w:val="clear" w:color="auto" w:fill="auto"/>
            <w:noWrap/>
            <w:vAlign w:val="center"/>
          </w:tcPr>
          <w:p w14:paraId="457E4C93">
            <w:pPr>
              <w:pStyle w:val="34"/>
              <w:tabs>
                <w:tab w:val="left" w:pos="1389"/>
              </w:tabs>
              <w:bidi w:val="0"/>
              <w:rPr>
                <w:rFonts w:hint="eastAsia"/>
                <w:color w:val="auto"/>
              </w:rPr>
            </w:pPr>
            <w:r>
              <w:rPr>
                <w:rFonts w:hint="eastAsia"/>
                <w:color w:val="auto"/>
                <w:lang w:val="en-US" w:eastAsia="zh-CN"/>
              </w:rPr>
              <w:t>0.5737</w:t>
            </w:r>
          </w:p>
        </w:tc>
        <w:tc>
          <w:tcPr>
            <w:tcW w:w="1124" w:type="dxa"/>
            <w:tcBorders>
              <w:tl2br w:val="nil"/>
              <w:tr2bl w:val="nil"/>
            </w:tcBorders>
            <w:shd w:val="clear" w:color="auto" w:fill="auto"/>
            <w:noWrap/>
            <w:vAlign w:val="center"/>
          </w:tcPr>
          <w:p w14:paraId="611E4C6C">
            <w:pPr>
              <w:pStyle w:val="34"/>
              <w:tabs>
                <w:tab w:val="left" w:pos="1389"/>
              </w:tabs>
              <w:bidi w:val="0"/>
              <w:rPr>
                <w:rFonts w:hint="eastAsia"/>
                <w:color w:val="auto"/>
              </w:rPr>
            </w:pPr>
            <w:r>
              <w:rPr>
                <w:rFonts w:hint="eastAsia"/>
                <w:color w:val="auto"/>
                <w:lang w:val="en-US" w:eastAsia="zh-CN"/>
              </w:rPr>
              <w:t>8</w:t>
            </w:r>
          </w:p>
        </w:tc>
        <w:tc>
          <w:tcPr>
            <w:tcW w:w="1288" w:type="dxa"/>
            <w:tcBorders>
              <w:tl2br w:val="nil"/>
              <w:tr2bl w:val="nil"/>
            </w:tcBorders>
            <w:shd w:val="clear" w:color="auto" w:fill="auto"/>
            <w:noWrap/>
            <w:vAlign w:val="center"/>
          </w:tcPr>
          <w:p w14:paraId="52E083F7">
            <w:pPr>
              <w:pStyle w:val="34"/>
              <w:tabs>
                <w:tab w:val="left" w:pos="1389"/>
              </w:tabs>
              <w:bidi w:val="0"/>
              <w:rPr>
                <w:rFonts w:hint="eastAsia"/>
                <w:color w:val="auto"/>
              </w:rPr>
            </w:pPr>
            <w:r>
              <w:rPr>
                <w:rFonts w:hint="eastAsia"/>
                <w:color w:val="auto"/>
                <w:lang w:val="en-US" w:eastAsia="zh-CN"/>
              </w:rPr>
              <w:t>5564.6539</w:t>
            </w:r>
          </w:p>
        </w:tc>
        <w:tc>
          <w:tcPr>
            <w:tcW w:w="933" w:type="dxa"/>
            <w:tcBorders>
              <w:tl2br w:val="nil"/>
              <w:tr2bl w:val="nil"/>
            </w:tcBorders>
            <w:shd w:val="clear" w:color="auto" w:fill="auto"/>
            <w:noWrap/>
            <w:vAlign w:val="center"/>
          </w:tcPr>
          <w:p w14:paraId="53F80A43">
            <w:pPr>
              <w:pStyle w:val="34"/>
              <w:tabs>
                <w:tab w:val="left" w:pos="1389"/>
              </w:tabs>
              <w:bidi w:val="0"/>
              <w:rPr>
                <w:rFonts w:hint="eastAsia"/>
                <w:color w:val="auto"/>
              </w:rPr>
            </w:pPr>
            <w:r>
              <w:rPr>
                <w:rFonts w:hint="eastAsia"/>
                <w:color w:val="auto"/>
                <w:lang w:val="en-US" w:eastAsia="zh-CN"/>
              </w:rPr>
              <w:t>4.5895</w:t>
            </w:r>
          </w:p>
        </w:tc>
        <w:tc>
          <w:tcPr>
            <w:tcW w:w="846" w:type="dxa"/>
            <w:tcBorders>
              <w:tl2br w:val="nil"/>
              <w:tr2bl w:val="nil"/>
            </w:tcBorders>
            <w:shd w:val="clear" w:color="auto" w:fill="auto"/>
            <w:noWrap/>
            <w:vAlign w:val="center"/>
          </w:tcPr>
          <w:p w14:paraId="1D44EF88">
            <w:pPr>
              <w:pStyle w:val="34"/>
              <w:tabs>
                <w:tab w:val="left" w:pos="1389"/>
              </w:tabs>
              <w:bidi w:val="0"/>
              <w:rPr>
                <w:rFonts w:hint="eastAsia"/>
                <w:color w:val="auto"/>
              </w:rPr>
            </w:pPr>
            <w:r>
              <w:rPr>
                <w:rFonts w:hint="eastAsia"/>
                <w:color w:val="auto"/>
                <w:lang w:val="en-US" w:eastAsia="zh-CN"/>
              </w:rPr>
              <w:t>0.08</w:t>
            </w:r>
          </w:p>
        </w:tc>
      </w:tr>
      <w:tr w14:paraId="407F798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09" w:type="pct"/>
            <w:vMerge w:val="continue"/>
            <w:tcBorders>
              <w:tl2br w:val="nil"/>
              <w:tr2bl w:val="nil"/>
            </w:tcBorders>
            <w:shd w:val="clear" w:color="auto" w:fill="auto"/>
            <w:noWrap/>
            <w:vAlign w:val="center"/>
          </w:tcPr>
          <w:p w14:paraId="6D479CE8">
            <w:pPr>
              <w:pStyle w:val="34"/>
              <w:tabs>
                <w:tab w:val="left" w:pos="1389"/>
              </w:tabs>
              <w:bidi w:val="0"/>
              <w:rPr>
                <w:rFonts w:hint="eastAsia"/>
                <w:color w:val="auto"/>
              </w:rPr>
            </w:pPr>
          </w:p>
        </w:tc>
        <w:tc>
          <w:tcPr>
            <w:tcW w:w="844" w:type="pct"/>
            <w:tcBorders>
              <w:tl2br w:val="nil"/>
              <w:tr2bl w:val="nil"/>
            </w:tcBorders>
            <w:shd w:val="clear" w:color="auto" w:fill="auto"/>
            <w:noWrap/>
            <w:vAlign w:val="center"/>
          </w:tcPr>
          <w:p w14:paraId="16164662">
            <w:pPr>
              <w:pStyle w:val="34"/>
              <w:tabs>
                <w:tab w:val="left" w:pos="1389"/>
              </w:tabs>
              <w:bidi w:val="0"/>
              <w:rPr>
                <w:rFonts w:hint="eastAsia"/>
                <w:color w:val="auto"/>
              </w:rPr>
            </w:pPr>
            <w:r>
              <w:rPr>
                <w:rFonts w:hint="eastAsia"/>
                <w:color w:val="auto"/>
                <w:lang w:val="en-US" w:eastAsia="zh-CN"/>
              </w:rPr>
              <w:t>灌丛</w:t>
            </w:r>
          </w:p>
        </w:tc>
        <w:tc>
          <w:tcPr>
            <w:tcW w:w="1143" w:type="dxa"/>
            <w:tcBorders>
              <w:tl2br w:val="nil"/>
              <w:tr2bl w:val="nil"/>
            </w:tcBorders>
            <w:shd w:val="clear" w:color="auto" w:fill="auto"/>
            <w:noWrap/>
            <w:vAlign w:val="center"/>
          </w:tcPr>
          <w:p w14:paraId="09FA3C83">
            <w:pPr>
              <w:pStyle w:val="34"/>
              <w:tabs>
                <w:tab w:val="left" w:pos="1389"/>
              </w:tabs>
              <w:bidi w:val="0"/>
              <w:rPr>
                <w:rFonts w:hint="eastAsia"/>
                <w:color w:val="auto"/>
              </w:rPr>
            </w:pPr>
            <w:r>
              <w:rPr>
                <w:rFonts w:hint="eastAsia"/>
                <w:color w:val="auto"/>
                <w:lang w:val="en-US" w:eastAsia="zh-CN"/>
              </w:rPr>
              <w:t>17.5925</w:t>
            </w:r>
          </w:p>
        </w:tc>
        <w:tc>
          <w:tcPr>
            <w:tcW w:w="1007" w:type="dxa"/>
            <w:tcBorders>
              <w:tl2br w:val="nil"/>
              <w:tr2bl w:val="nil"/>
            </w:tcBorders>
            <w:shd w:val="clear" w:color="auto" w:fill="auto"/>
            <w:noWrap/>
            <w:vAlign w:val="center"/>
          </w:tcPr>
          <w:p w14:paraId="097A1048">
            <w:pPr>
              <w:pStyle w:val="34"/>
              <w:tabs>
                <w:tab w:val="left" w:pos="1389"/>
              </w:tabs>
              <w:bidi w:val="0"/>
              <w:rPr>
                <w:rFonts w:hint="eastAsia"/>
                <w:color w:val="auto"/>
              </w:rPr>
            </w:pPr>
            <w:r>
              <w:rPr>
                <w:rFonts w:hint="eastAsia"/>
                <w:color w:val="auto"/>
                <w:lang w:val="en-US" w:eastAsia="zh-CN"/>
              </w:rPr>
              <w:t>0.0000</w:t>
            </w:r>
          </w:p>
        </w:tc>
        <w:tc>
          <w:tcPr>
            <w:tcW w:w="1124" w:type="dxa"/>
            <w:tcBorders>
              <w:tl2br w:val="nil"/>
              <w:tr2bl w:val="nil"/>
            </w:tcBorders>
            <w:shd w:val="clear" w:color="auto" w:fill="auto"/>
            <w:noWrap/>
            <w:vAlign w:val="center"/>
          </w:tcPr>
          <w:p w14:paraId="4E4291D1">
            <w:pPr>
              <w:pStyle w:val="34"/>
              <w:tabs>
                <w:tab w:val="left" w:pos="1389"/>
              </w:tabs>
              <w:bidi w:val="0"/>
              <w:rPr>
                <w:rFonts w:hint="eastAsia"/>
                <w:color w:val="auto"/>
              </w:rPr>
            </w:pPr>
            <w:r>
              <w:rPr>
                <w:rFonts w:hint="eastAsia"/>
                <w:color w:val="auto"/>
                <w:lang w:val="en-US" w:eastAsia="zh-CN"/>
              </w:rPr>
              <w:t>5</w:t>
            </w:r>
          </w:p>
        </w:tc>
        <w:tc>
          <w:tcPr>
            <w:tcW w:w="1288" w:type="dxa"/>
            <w:tcBorders>
              <w:tl2br w:val="nil"/>
              <w:tr2bl w:val="nil"/>
            </w:tcBorders>
            <w:shd w:val="clear" w:color="auto" w:fill="auto"/>
            <w:noWrap/>
            <w:vAlign w:val="center"/>
          </w:tcPr>
          <w:p w14:paraId="51BF5670">
            <w:pPr>
              <w:pStyle w:val="34"/>
              <w:tabs>
                <w:tab w:val="left" w:pos="1389"/>
              </w:tabs>
              <w:bidi w:val="0"/>
              <w:rPr>
                <w:rFonts w:hint="eastAsia"/>
                <w:color w:val="auto"/>
              </w:rPr>
            </w:pPr>
            <w:r>
              <w:rPr>
                <w:rFonts w:hint="eastAsia"/>
                <w:color w:val="auto"/>
                <w:lang w:val="en-US" w:eastAsia="zh-CN"/>
              </w:rPr>
              <w:t>87.9627</w:t>
            </w:r>
          </w:p>
        </w:tc>
        <w:tc>
          <w:tcPr>
            <w:tcW w:w="933" w:type="dxa"/>
            <w:tcBorders>
              <w:tl2br w:val="nil"/>
              <w:tr2bl w:val="nil"/>
            </w:tcBorders>
            <w:shd w:val="clear" w:color="auto" w:fill="auto"/>
            <w:noWrap/>
            <w:vAlign w:val="center"/>
          </w:tcPr>
          <w:p w14:paraId="40793751">
            <w:pPr>
              <w:pStyle w:val="34"/>
              <w:tabs>
                <w:tab w:val="left" w:pos="1389"/>
              </w:tabs>
              <w:bidi w:val="0"/>
              <w:rPr>
                <w:rFonts w:hint="eastAsia"/>
                <w:color w:val="auto"/>
              </w:rPr>
            </w:pPr>
            <w:r>
              <w:rPr>
                <w:rFonts w:hint="eastAsia"/>
                <w:color w:val="auto"/>
                <w:lang w:val="en-US" w:eastAsia="zh-CN"/>
              </w:rPr>
              <w:t>0.0000</w:t>
            </w:r>
          </w:p>
        </w:tc>
        <w:tc>
          <w:tcPr>
            <w:tcW w:w="846" w:type="dxa"/>
            <w:tcBorders>
              <w:tl2br w:val="nil"/>
              <w:tr2bl w:val="nil"/>
            </w:tcBorders>
            <w:shd w:val="clear" w:color="auto" w:fill="auto"/>
            <w:noWrap/>
            <w:vAlign w:val="center"/>
          </w:tcPr>
          <w:p w14:paraId="201C65EF">
            <w:pPr>
              <w:pStyle w:val="34"/>
              <w:tabs>
                <w:tab w:val="left" w:pos="1389"/>
              </w:tabs>
              <w:bidi w:val="0"/>
              <w:rPr>
                <w:rFonts w:hint="eastAsia"/>
                <w:color w:val="auto"/>
              </w:rPr>
            </w:pPr>
            <w:r>
              <w:rPr>
                <w:rFonts w:hint="eastAsia"/>
                <w:color w:val="auto"/>
                <w:lang w:val="en-US" w:eastAsia="zh-CN"/>
              </w:rPr>
              <w:t>0</w:t>
            </w:r>
          </w:p>
        </w:tc>
      </w:tr>
      <w:tr w14:paraId="2BBF77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09" w:type="pct"/>
            <w:vMerge w:val="continue"/>
            <w:tcBorders>
              <w:tl2br w:val="nil"/>
              <w:tr2bl w:val="nil"/>
            </w:tcBorders>
            <w:shd w:val="clear" w:color="auto" w:fill="auto"/>
            <w:noWrap/>
            <w:vAlign w:val="center"/>
          </w:tcPr>
          <w:p w14:paraId="792514FA">
            <w:pPr>
              <w:pStyle w:val="34"/>
              <w:tabs>
                <w:tab w:val="left" w:pos="1389"/>
              </w:tabs>
              <w:bidi w:val="0"/>
              <w:rPr>
                <w:rFonts w:hint="eastAsia"/>
                <w:color w:val="auto"/>
              </w:rPr>
            </w:pPr>
          </w:p>
        </w:tc>
        <w:tc>
          <w:tcPr>
            <w:tcW w:w="844" w:type="pct"/>
            <w:tcBorders>
              <w:tl2br w:val="nil"/>
              <w:tr2bl w:val="nil"/>
            </w:tcBorders>
            <w:shd w:val="clear" w:color="auto" w:fill="auto"/>
            <w:noWrap/>
            <w:vAlign w:val="center"/>
          </w:tcPr>
          <w:p w14:paraId="510F54E9">
            <w:pPr>
              <w:pStyle w:val="34"/>
              <w:tabs>
                <w:tab w:val="left" w:pos="1389"/>
              </w:tabs>
              <w:bidi w:val="0"/>
              <w:rPr>
                <w:rFonts w:hint="eastAsia"/>
                <w:color w:val="auto"/>
              </w:rPr>
            </w:pPr>
            <w:r>
              <w:rPr>
                <w:rFonts w:hint="eastAsia"/>
                <w:color w:val="auto"/>
                <w:lang w:val="en-US" w:eastAsia="zh-CN"/>
              </w:rPr>
              <w:t>禾草草丛</w:t>
            </w:r>
          </w:p>
        </w:tc>
        <w:tc>
          <w:tcPr>
            <w:tcW w:w="1143" w:type="dxa"/>
            <w:tcBorders>
              <w:tl2br w:val="nil"/>
              <w:tr2bl w:val="nil"/>
            </w:tcBorders>
            <w:shd w:val="clear" w:color="auto" w:fill="auto"/>
            <w:noWrap/>
            <w:vAlign w:val="center"/>
          </w:tcPr>
          <w:p w14:paraId="6A8FD399">
            <w:pPr>
              <w:pStyle w:val="34"/>
              <w:tabs>
                <w:tab w:val="left" w:pos="1389"/>
              </w:tabs>
              <w:bidi w:val="0"/>
              <w:rPr>
                <w:rFonts w:hint="eastAsia"/>
                <w:color w:val="auto"/>
              </w:rPr>
            </w:pPr>
            <w:r>
              <w:rPr>
                <w:rFonts w:hint="eastAsia"/>
                <w:color w:val="auto"/>
                <w:lang w:val="en-US" w:eastAsia="zh-CN"/>
              </w:rPr>
              <w:t>120.4412</w:t>
            </w:r>
          </w:p>
        </w:tc>
        <w:tc>
          <w:tcPr>
            <w:tcW w:w="1007" w:type="dxa"/>
            <w:tcBorders>
              <w:tl2br w:val="nil"/>
              <w:tr2bl w:val="nil"/>
            </w:tcBorders>
            <w:shd w:val="clear" w:color="auto" w:fill="auto"/>
            <w:noWrap/>
            <w:vAlign w:val="center"/>
          </w:tcPr>
          <w:p w14:paraId="56637F62">
            <w:pPr>
              <w:pStyle w:val="34"/>
              <w:tabs>
                <w:tab w:val="left" w:pos="1389"/>
              </w:tabs>
              <w:bidi w:val="0"/>
              <w:rPr>
                <w:rFonts w:hint="eastAsia"/>
                <w:color w:val="auto"/>
              </w:rPr>
            </w:pPr>
            <w:r>
              <w:rPr>
                <w:rFonts w:hint="eastAsia"/>
                <w:color w:val="auto"/>
                <w:lang w:val="en-US" w:eastAsia="zh-CN"/>
              </w:rPr>
              <w:t>2.0254</w:t>
            </w:r>
          </w:p>
        </w:tc>
        <w:tc>
          <w:tcPr>
            <w:tcW w:w="1124" w:type="dxa"/>
            <w:tcBorders>
              <w:tl2br w:val="nil"/>
              <w:tr2bl w:val="nil"/>
            </w:tcBorders>
            <w:shd w:val="clear" w:color="auto" w:fill="auto"/>
            <w:noWrap/>
            <w:vAlign w:val="center"/>
          </w:tcPr>
          <w:p w14:paraId="376A5974">
            <w:pPr>
              <w:pStyle w:val="34"/>
              <w:tabs>
                <w:tab w:val="left" w:pos="1389"/>
              </w:tabs>
              <w:bidi w:val="0"/>
              <w:rPr>
                <w:rFonts w:hint="eastAsia"/>
                <w:color w:val="auto"/>
              </w:rPr>
            </w:pPr>
            <w:r>
              <w:rPr>
                <w:rFonts w:hint="eastAsia"/>
                <w:color w:val="auto"/>
                <w:lang w:val="en-US" w:eastAsia="zh-CN"/>
              </w:rPr>
              <w:t>3</w:t>
            </w:r>
          </w:p>
        </w:tc>
        <w:tc>
          <w:tcPr>
            <w:tcW w:w="1288" w:type="dxa"/>
            <w:tcBorders>
              <w:tl2br w:val="nil"/>
              <w:tr2bl w:val="nil"/>
            </w:tcBorders>
            <w:shd w:val="clear" w:color="auto" w:fill="auto"/>
            <w:noWrap/>
            <w:vAlign w:val="center"/>
          </w:tcPr>
          <w:p w14:paraId="5567B137">
            <w:pPr>
              <w:pStyle w:val="34"/>
              <w:tabs>
                <w:tab w:val="left" w:pos="1389"/>
              </w:tabs>
              <w:bidi w:val="0"/>
              <w:rPr>
                <w:rFonts w:hint="eastAsia"/>
                <w:color w:val="auto"/>
              </w:rPr>
            </w:pPr>
            <w:r>
              <w:rPr>
                <w:rFonts w:hint="eastAsia"/>
                <w:color w:val="auto"/>
                <w:lang w:val="en-US" w:eastAsia="zh-CN"/>
              </w:rPr>
              <w:t>361.3236</w:t>
            </w:r>
          </w:p>
        </w:tc>
        <w:tc>
          <w:tcPr>
            <w:tcW w:w="933" w:type="dxa"/>
            <w:tcBorders>
              <w:tl2br w:val="nil"/>
              <w:tr2bl w:val="nil"/>
            </w:tcBorders>
            <w:shd w:val="clear" w:color="auto" w:fill="auto"/>
            <w:noWrap/>
            <w:vAlign w:val="center"/>
          </w:tcPr>
          <w:p w14:paraId="3D24172D">
            <w:pPr>
              <w:pStyle w:val="34"/>
              <w:tabs>
                <w:tab w:val="left" w:pos="1389"/>
              </w:tabs>
              <w:bidi w:val="0"/>
              <w:rPr>
                <w:rFonts w:hint="eastAsia"/>
                <w:color w:val="auto"/>
              </w:rPr>
            </w:pPr>
            <w:r>
              <w:rPr>
                <w:rFonts w:hint="eastAsia"/>
                <w:color w:val="auto"/>
                <w:lang w:val="en-US" w:eastAsia="zh-CN"/>
              </w:rPr>
              <w:t>6.0761</w:t>
            </w:r>
          </w:p>
        </w:tc>
        <w:tc>
          <w:tcPr>
            <w:tcW w:w="846" w:type="dxa"/>
            <w:tcBorders>
              <w:tl2br w:val="nil"/>
              <w:tr2bl w:val="nil"/>
            </w:tcBorders>
            <w:shd w:val="clear" w:color="auto" w:fill="auto"/>
            <w:noWrap/>
            <w:vAlign w:val="center"/>
          </w:tcPr>
          <w:p w14:paraId="62363637">
            <w:pPr>
              <w:pStyle w:val="34"/>
              <w:tabs>
                <w:tab w:val="left" w:pos="1389"/>
              </w:tabs>
              <w:bidi w:val="0"/>
              <w:rPr>
                <w:rFonts w:hint="eastAsia"/>
                <w:color w:val="auto"/>
              </w:rPr>
            </w:pPr>
            <w:r>
              <w:rPr>
                <w:rFonts w:hint="eastAsia"/>
                <w:color w:val="auto"/>
                <w:lang w:val="en-US" w:eastAsia="zh-CN"/>
              </w:rPr>
              <w:t>1.68</w:t>
            </w:r>
          </w:p>
        </w:tc>
      </w:tr>
      <w:tr w14:paraId="3D9BD4B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09" w:type="pct"/>
            <w:tcBorders>
              <w:tl2br w:val="nil"/>
              <w:tr2bl w:val="nil"/>
            </w:tcBorders>
            <w:shd w:val="clear" w:color="auto" w:fill="auto"/>
            <w:vAlign w:val="center"/>
          </w:tcPr>
          <w:p w14:paraId="29D917B3">
            <w:pPr>
              <w:pStyle w:val="34"/>
              <w:tabs>
                <w:tab w:val="left" w:pos="1389"/>
              </w:tabs>
              <w:bidi w:val="0"/>
              <w:rPr>
                <w:rFonts w:hint="eastAsia"/>
                <w:color w:val="auto"/>
              </w:rPr>
            </w:pPr>
            <w:r>
              <w:rPr>
                <w:rFonts w:hint="eastAsia"/>
                <w:color w:val="auto"/>
                <w:lang w:val="en-US" w:eastAsia="zh-CN"/>
              </w:rPr>
              <w:t>人工植被</w:t>
            </w:r>
          </w:p>
        </w:tc>
        <w:tc>
          <w:tcPr>
            <w:tcW w:w="844" w:type="pct"/>
            <w:tcBorders>
              <w:tl2br w:val="nil"/>
              <w:tr2bl w:val="nil"/>
            </w:tcBorders>
            <w:shd w:val="clear" w:color="auto" w:fill="auto"/>
            <w:noWrap/>
            <w:vAlign w:val="center"/>
          </w:tcPr>
          <w:p w14:paraId="0580808E">
            <w:pPr>
              <w:pStyle w:val="34"/>
              <w:tabs>
                <w:tab w:val="left" w:pos="1389"/>
              </w:tabs>
              <w:bidi w:val="0"/>
              <w:rPr>
                <w:rFonts w:hint="eastAsia"/>
                <w:color w:val="auto"/>
              </w:rPr>
            </w:pPr>
            <w:r>
              <w:rPr>
                <w:rFonts w:hint="eastAsia"/>
                <w:color w:val="auto"/>
                <w:lang w:val="en-US" w:eastAsia="zh-CN"/>
              </w:rPr>
              <w:t>耕地</w:t>
            </w:r>
            <w:r>
              <w:rPr>
                <w:rFonts w:hint="eastAsia"/>
                <w:color w:val="auto"/>
                <w:sz w:val="21"/>
                <w:szCs w:val="21"/>
                <w:lang w:val="en-US" w:eastAsia="zh-CN"/>
              </w:rPr>
              <w:t>植被</w:t>
            </w:r>
          </w:p>
        </w:tc>
        <w:tc>
          <w:tcPr>
            <w:tcW w:w="1143" w:type="dxa"/>
            <w:tcBorders>
              <w:tl2br w:val="nil"/>
              <w:tr2bl w:val="nil"/>
            </w:tcBorders>
            <w:shd w:val="clear" w:color="auto" w:fill="auto"/>
            <w:noWrap/>
            <w:vAlign w:val="center"/>
          </w:tcPr>
          <w:p w14:paraId="2B138975">
            <w:pPr>
              <w:pStyle w:val="34"/>
              <w:tabs>
                <w:tab w:val="left" w:pos="1389"/>
              </w:tabs>
              <w:bidi w:val="0"/>
              <w:rPr>
                <w:rFonts w:hint="eastAsia"/>
                <w:color w:val="auto"/>
              </w:rPr>
            </w:pPr>
            <w:r>
              <w:rPr>
                <w:rFonts w:hint="eastAsia"/>
                <w:color w:val="auto"/>
                <w:lang w:val="en-US" w:eastAsia="zh-CN"/>
              </w:rPr>
              <w:t>202.9908</w:t>
            </w:r>
          </w:p>
        </w:tc>
        <w:tc>
          <w:tcPr>
            <w:tcW w:w="1007" w:type="dxa"/>
            <w:tcBorders>
              <w:tl2br w:val="nil"/>
              <w:tr2bl w:val="nil"/>
            </w:tcBorders>
            <w:shd w:val="clear" w:color="auto" w:fill="auto"/>
            <w:noWrap/>
            <w:vAlign w:val="center"/>
          </w:tcPr>
          <w:p w14:paraId="2DB13123">
            <w:pPr>
              <w:pStyle w:val="34"/>
              <w:tabs>
                <w:tab w:val="left" w:pos="1389"/>
              </w:tabs>
              <w:bidi w:val="0"/>
              <w:rPr>
                <w:rFonts w:hint="eastAsia"/>
                <w:color w:val="auto"/>
              </w:rPr>
            </w:pPr>
            <w:r>
              <w:rPr>
                <w:rFonts w:hint="eastAsia"/>
                <w:color w:val="auto"/>
                <w:lang w:val="en-US" w:eastAsia="zh-CN"/>
              </w:rPr>
              <w:t>0.0439</w:t>
            </w:r>
          </w:p>
        </w:tc>
        <w:tc>
          <w:tcPr>
            <w:tcW w:w="1124" w:type="dxa"/>
            <w:tcBorders>
              <w:tl2br w:val="nil"/>
              <w:tr2bl w:val="nil"/>
            </w:tcBorders>
            <w:shd w:val="clear" w:color="auto" w:fill="auto"/>
            <w:noWrap/>
            <w:vAlign w:val="center"/>
          </w:tcPr>
          <w:p w14:paraId="7DEBCF9B">
            <w:pPr>
              <w:pStyle w:val="34"/>
              <w:tabs>
                <w:tab w:val="left" w:pos="1389"/>
              </w:tabs>
              <w:bidi w:val="0"/>
              <w:rPr>
                <w:rFonts w:hint="eastAsia"/>
                <w:color w:val="auto"/>
              </w:rPr>
            </w:pPr>
            <w:r>
              <w:rPr>
                <w:rFonts w:hint="eastAsia"/>
                <w:color w:val="auto"/>
                <w:lang w:val="en-US" w:eastAsia="zh-CN"/>
              </w:rPr>
              <w:t>5</w:t>
            </w:r>
          </w:p>
        </w:tc>
        <w:tc>
          <w:tcPr>
            <w:tcW w:w="1288" w:type="dxa"/>
            <w:tcBorders>
              <w:tl2br w:val="nil"/>
              <w:tr2bl w:val="nil"/>
            </w:tcBorders>
            <w:shd w:val="clear" w:color="auto" w:fill="auto"/>
            <w:noWrap/>
            <w:vAlign w:val="center"/>
          </w:tcPr>
          <w:p w14:paraId="5749BF77">
            <w:pPr>
              <w:pStyle w:val="34"/>
              <w:tabs>
                <w:tab w:val="left" w:pos="1389"/>
              </w:tabs>
              <w:bidi w:val="0"/>
              <w:rPr>
                <w:rFonts w:hint="eastAsia"/>
                <w:color w:val="auto"/>
              </w:rPr>
            </w:pPr>
            <w:r>
              <w:rPr>
                <w:rFonts w:hint="eastAsia"/>
                <w:color w:val="auto"/>
                <w:lang w:val="en-US" w:eastAsia="zh-CN"/>
              </w:rPr>
              <w:t>1014.9539</w:t>
            </w:r>
          </w:p>
        </w:tc>
        <w:tc>
          <w:tcPr>
            <w:tcW w:w="933" w:type="dxa"/>
            <w:tcBorders>
              <w:tl2br w:val="nil"/>
              <w:tr2bl w:val="nil"/>
            </w:tcBorders>
            <w:shd w:val="clear" w:color="auto" w:fill="auto"/>
            <w:noWrap/>
            <w:vAlign w:val="center"/>
          </w:tcPr>
          <w:p w14:paraId="363AB3E5">
            <w:pPr>
              <w:pStyle w:val="34"/>
              <w:tabs>
                <w:tab w:val="left" w:pos="1389"/>
              </w:tabs>
              <w:bidi w:val="0"/>
              <w:rPr>
                <w:rFonts w:hint="eastAsia"/>
                <w:color w:val="auto"/>
              </w:rPr>
            </w:pPr>
            <w:r>
              <w:rPr>
                <w:rFonts w:hint="eastAsia"/>
                <w:color w:val="auto"/>
                <w:lang w:val="en-US" w:eastAsia="zh-CN"/>
              </w:rPr>
              <w:t>0.2195</w:t>
            </w:r>
          </w:p>
        </w:tc>
        <w:tc>
          <w:tcPr>
            <w:tcW w:w="846" w:type="dxa"/>
            <w:tcBorders>
              <w:tl2br w:val="nil"/>
              <w:tr2bl w:val="nil"/>
            </w:tcBorders>
            <w:shd w:val="clear" w:color="auto" w:fill="auto"/>
            <w:noWrap/>
            <w:vAlign w:val="center"/>
          </w:tcPr>
          <w:p w14:paraId="3936329A">
            <w:pPr>
              <w:pStyle w:val="34"/>
              <w:tabs>
                <w:tab w:val="left" w:pos="1389"/>
              </w:tabs>
              <w:bidi w:val="0"/>
              <w:rPr>
                <w:rFonts w:hint="eastAsia"/>
                <w:color w:val="auto"/>
              </w:rPr>
            </w:pPr>
            <w:r>
              <w:rPr>
                <w:rFonts w:hint="eastAsia"/>
                <w:color w:val="auto"/>
                <w:lang w:val="en-US" w:eastAsia="zh-CN"/>
              </w:rPr>
              <w:t>0.02</w:t>
            </w:r>
          </w:p>
        </w:tc>
      </w:tr>
      <w:tr w14:paraId="33A73DA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09" w:type="pct"/>
            <w:vMerge w:val="restart"/>
            <w:tcBorders>
              <w:tl2br w:val="nil"/>
              <w:tr2bl w:val="nil"/>
            </w:tcBorders>
            <w:shd w:val="clear" w:color="auto" w:fill="auto"/>
            <w:noWrap/>
            <w:vAlign w:val="center"/>
          </w:tcPr>
          <w:p w14:paraId="31399C77">
            <w:pPr>
              <w:pStyle w:val="34"/>
              <w:tabs>
                <w:tab w:val="left" w:pos="1389"/>
              </w:tabs>
              <w:bidi w:val="0"/>
              <w:rPr>
                <w:rFonts w:hint="eastAsia"/>
                <w:color w:val="auto"/>
              </w:rPr>
            </w:pPr>
            <w:r>
              <w:rPr>
                <w:rFonts w:hint="eastAsia"/>
                <w:color w:val="auto"/>
                <w:lang w:val="en-US" w:eastAsia="zh-CN"/>
              </w:rPr>
              <w:t>其他</w:t>
            </w:r>
          </w:p>
        </w:tc>
        <w:tc>
          <w:tcPr>
            <w:tcW w:w="844" w:type="pct"/>
            <w:tcBorders>
              <w:tl2br w:val="nil"/>
              <w:tr2bl w:val="nil"/>
            </w:tcBorders>
            <w:shd w:val="clear" w:color="auto" w:fill="auto"/>
            <w:noWrap/>
            <w:vAlign w:val="center"/>
          </w:tcPr>
          <w:p w14:paraId="27E5BFB3">
            <w:pPr>
              <w:pStyle w:val="34"/>
              <w:tabs>
                <w:tab w:val="left" w:pos="1389"/>
              </w:tabs>
              <w:bidi w:val="0"/>
              <w:rPr>
                <w:rFonts w:hint="eastAsia"/>
                <w:color w:val="auto"/>
              </w:rPr>
            </w:pPr>
            <w:r>
              <w:rPr>
                <w:rFonts w:hint="eastAsia"/>
                <w:color w:val="auto"/>
                <w:lang w:val="en-US" w:eastAsia="zh-CN"/>
              </w:rPr>
              <w:t>水库</w:t>
            </w:r>
          </w:p>
        </w:tc>
        <w:tc>
          <w:tcPr>
            <w:tcW w:w="1143" w:type="dxa"/>
            <w:tcBorders>
              <w:tl2br w:val="nil"/>
              <w:tr2bl w:val="nil"/>
            </w:tcBorders>
            <w:shd w:val="clear" w:color="auto" w:fill="auto"/>
            <w:noWrap/>
            <w:vAlign w:val="center"/>
          </w:tcPr>
          <w:p w14:paraId="0A63910C">
            <w:pPr>
              <w:pStyle w:val="34"/>
              <w:tabs>
                <w:tab w:val="left" w:pos="1389"/>
              </w:tabs>
              <w:bidi w:val="0"/>
              <w:rPr>
                <w:rFonts w:hint="eastAsia"/>
                <w:color w:val="auto"/>
              </w:rPr>
            </w:pPr>
            <w:r>
              <w:rPr>
                <w:rFonts w:hint="eastAsia"/>
                <w:color w:val="auto"/>
                <w:lang w:val="en-US" w:eastAsia="zh-CN"/>
              </w:rPr>
              <w:t>2.7065</w:t>
            </w:r>
          </w:p>
        </w:tc>
        <w:tc>
          <w:tcPr>
            <w:tcW w:w="1007" w:type="dxa"/>
            <w:tcBorders>
              <w:tl2br w:val="nil"/>
              <w:tr2bl w:val="nil"/>
            </w:tcBorders>
            <w:shd w:val="clear" w:color="auto" w:fill="auto"/>
            <w:noWrap/>
            <w:vAlign w:val="center"/>
          </w:tcPr>
          <w:p w14:paraId="7FFB9D9A">
            <w:pPr>
              <w:pStyle w:val="34"/>
              <w:tabs>
                <w:tab w:val="left" w:pos="1389"/>
              </w:tabs>
              <w:bidi w:val="0"/>
              <w:rPr>
                <w:rFonts w:hint="eastAsia"/>
                <w:color w:val="auto"/>
              </w:rPr>
            </w:pPr>
            <w:r>
              <w:rPr>
                <w:rFonts w:hint="eastAsia"/>
                <w:color w:val="auto"/>
                <w:lang w:val="en-US" w:eastAsia="zh-CN"/>
              </w:rPr>
              <w:t>0.0000</w:t>
            </w:r>
          </w:p>
        </w:tc>
        <w:tc>
          <w:tcPr>
            <w:tcW w:w="1124" w:type="dxa"/>
            <w:tcBorders>
              <w:tl2br w:val="nil"/>
              <w:tr2bl w:val="nil"/>
            </w:tcBorders>
            <w:shd w:val="clear" w:color="auto" w:fill="auto"/>
            <w:noWrap/>
            <w:vAlign w:val="center"/>
          </w:tcPr>
          <w:p w14:paraId="2A154475">
            <w:pPr>
              <w:pStyle w:val="34"/>
              <w:tabs>
                <w:tab w:val="left" w:pos="1389"/>
              </w:tabs>
              <w:bidi w:val="0"/>
              <w:rPr>
                <w:rFonts w:hint="eastAsia"/>
                <w:color w:val="auto"/>
              </w:rPr>
            </w:pPr>
            <w:r>
              <w:rPr>
                <w:rFonts w:hint="eastAsia"/>
                <w:color w:val="auto"/>
                <w:lang w:val="en-US" w:eastAsia="zh-CN"/>
              </w:rPr>
              <w:t>2</w:t>
            </w:r>
          </w:p>
        </w:tc>
        <w:tc>
          <w:tcPr>
            <w:tcW w:w="1288" w:type="dxa"/>
            <w:tcBorders>
              <w:tl2br w:val="nil"/>
              <w:tr2bl w:val="nil"/>
            </w:tcBorders>
            <w:shd w:val="clear" w:color="auto" w:fill="auto"/>
            <w:noWrap/>
            <w:vAlign w:val="center"/>
          </w:tcPr>
          <w:p w14:paraId="733D4C04">
            <w:pPr>
              <w:pStyle w:val="34"/>
              <w:tabs>
                <w:tab w:val="left" w:pos="1389"/>
              </w:tabs>
              <w:bidi w:val="0"/>
              <w:rPr>
                <w:rFonts w:hint="eastAsia"/>
                <w:color w:val="auto"/>
              </w:rPr>
            </w:pPr>
            <w:r>
              <w:rPr>
                <w:rFonts w:hint="eastAsia"/>
                <w:color w:val="auto"/>
                <w:lang w:val="en-US" w:eastAsia="zh-CN"/>
              </w:rPr>
              <w:t>5.4131</w:t>
            </w:r>
          </w:p>
        </w:tc>
        <w:tc>
          <w:tcPr>
            <w:tcW w:w="933" w:type="dxa"/>
            <w:tcBorders>
              <w:tl2br w:val="nil"/>
              <w:tr2bl w:val="nil"/>
            </w:tcBorders>
            <w:shd w:val="clear" w:color="auto" w:fill="auto"/>
            <w:noWrap/>
            <w:vAlign w:val="center"/>
          </w:tcPr>
          <w:p w14:paraId="2DAB63FE">
            <w:pPr>
              <w:pStyle w:val="34"/>
              <w:tabs>
                <w:tab w:val="left" w:pos="1389"/>
              </w:tabs>
              <w:bidi w:val="0"/>
              <w:rPr>
                <w:rFonts w:hint="eastAsia"/>
                <w:color w:val="auto"/>
              </w:rPr>
            </w:pPr>
            <w:r>
              <w:rPr>
                <w:rFonts w:hint="eastAsia"/>
                <w:color w:val="auto"/>
                <w:lang w:val="en-US" w:eastAsia="zh-CN"/>
              </w:rPr>
              <w:t>0</w:t>
            </w:r>
          </w:p>
        </w:tc>
        <w:tc>
          <w:tcPr>
            <w:tcW w:w="846" w:type="dxa"/>
            <w:tcBorders>
              <w:tl2br w:val="nil"/>
              <w:tr2bl w:val="nil"/>
            </w:tcBorders>
            <w:shd w:val="clear" w:color="auto" w:fill="auto"/>
            <w:noWrap/>
            <w:vAlign w:val="center"/>
          </w:tcPr>
          <w:p w14:paraId="3684A01D">
            <w:pPr>
              <w:pStyle w:val="34"/>
              <w:tabs>
                <w:tab w:val="left" w:pos="1389"/>
              </w:tabs>
              <w:bidi w:val="0"/>
              <w:rPr>
                <w:rFonts w:hint="eastAsia"/>
                <w:color w:val="auto"/>
              </w:rPr>
            </w:pPr>
            <w:r>
              <w:rPr>
                <w:rFonts w:hint="eastAsia"/>
                <w:color w:val="auto"/>
                <w:lang w:val="en-US" w:eastAsia="zh-CN"/>
              </w:rPr>
              <w:t>0</w:t>
            </w:r>
          </w:p>
        </w:tc>
      </w:tr>
      <w:tr w14:paraId="43B845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609" w:type="pct"/>
            <w:vMerge w:val="continue"/>
            <w:tcBorders>
              <w:tl2br w:val="nil"/>
              <w:tr2bl w:val="nil"/>
            </w:tcBorders>
            <w:shd w:val="clear" w:color="auto" w:fill="auto"/>
            <w:noWrap/>
            <w:vAlign w:val="center"/>
          </w:tcPr>
          <w:p w14:paraId="1B3A2ED1">
            <w:pPr>
              <w:pStyle w:val="34"/>
              <w:tabs>
                <w:tab w:val="left" w:pos="1389"/>
              </w:tabs>
              <w:bidi w:val="0"/>
              <w:rPr>
                <w:rFonts w:hint="eastAsia"/>
                <w:color w:val="auto"/>
              </w:rPr>
            </w:pPr>
          </w:p>
        </w:tc>
        <w:tc>
          <w:tcPr>
            <w:tcW w:w="844" w:type="pct"/>
            <w:tcBorders>
              <w:tl2br w:val="nil"/>
              <w:tr2bl w:val="nil"/>
            </w:tcBorders>
            <w:shd w:val="clear" w:color="auto" w:fill="auto"/>
            <w:noWrap/>
            <w:vAlign w:val="center"/>
          </w:tcPr>
          <w:p w14:paraId="4B916995">
            <w:pPr>
              <w:pStyle w:val="34"/>
              <w:tabs>
                <w:tab w:val="left" w:pos="1389"/>
              </w:tabs>
              <w:bidi w:val="0"/>
              <w:rPr>
                <w:rFonts w:hint="eastAsia"/>
                <w:color w:val="auto"/>
              </w:rPr>
            </w:pPr>
            <w:r>
              <w:rPr>
                <w:rFonts w:hint="eastAsia"/>
                <w:color w:val="auto"/>
                <w:lang w:val="en-US" w:eastAsia="zh-CN"/>
              </w:rPr>
              <w:t>其他无植被区</w:t>
            </w:r>
          </w:p>
        </w:tc>
        <w:tc>
          <w:tcPr>
            <w:tcW w:w="1143" w:type="dxa"/>
            <w:tcBorders>
              <w:tl2br w:val="nil"/>
              <w:tr2bl w:val="nil"/>
            </w:tcBorders>
            <w:shd w:val="clear" w:color="auto" w:fill="auto"/>
            <w:noWrap/>
            <w:vAlign w:val="center"/>
          </w:tcPr>
          <w:p w14:paraId="29C6A979">
            <w:pPr>
              <w:pStyle w:val="34"/>
              <w:tabs>
                <w:tab w:val="left" w:pos="1389"/>
              </w:tabs>
              <w:bidi w:val="0"/>
              <w:rPr>
                <w:rFonts w:hint="eastAsia"/>
                <w:color w:val="auto"/>
              </w:rPr>
            </w:pPr>
            <w:r>
              <w:rPr>
                <w:rFonts w:hint="eastAsia"/>
                <w:color w:val="auto"/>
                <w:lang w:val="en-US" w:eastAsia="zh-CN"/>
              </w:rPr>
              <w:t>32.2149</w:t>
            </w:r>
          </w:p>
        </w:tc>
        <w:tc>
          <w:tcPr>
            <w:tcW w:w="1007" w:type="dxa"/>
            <w:tcBorders>
              <w:tl2br w:val="nil"/>
              <w:tr2bl w:val="nil"/>
            </w:tcBorders>
            <w:shd w:val="clear" w:color="auto" w:fill="auto"/>
            <w:noWrap/>
            <w:vAlign w:val="center"/>
          </w:tcPr>
          <w:p w14:paraId="3F592081">
            <w:pPr>
              <w:pStyle w:val="34"/>
              <w:tabs>
                <w:tab w:val="left" w:pos="1389"/>
              </w:tabs>
              <w:bidi w:val="0"/>
              <w:rPr>
                <w:rFonts w:hint="eastAsia"/>
                <w:color w:val="auto"/>
              </w:rPr>
            </w:pPr>
            <w:r>
              <w:rPr>
                <w:rFonts w:hint="eastAsia"/>
                <w:color w:val="auto"/>
                <w:lang w:val="en-US" w:eastAsia="zh-CN"/>
              </w:rPr>
              <w:t>0.1725</w:t>
            </w:r>
          </w:p>
        </w:tc>
        <w:tc>
          <w:tcPr>
            <w:tcW w:w="1124" w:type="dxa"/>
            <w:tcBorders>
              <w:tl2br w:val="nil"/>
              <w:tr2bl w:val="nil"/>
            </w:tcBorders>
            <w:shd w:val="clear" w:color="auto" w:fill="auto"/>
            <w:noWrap/>
            <w:vAlign w:val="center"/>
          </w:tcPr>
          <w:p w14:paraId="427BEBC1">
            <w:pPr>
              <w:pStyle w:val="34"/>
              <w:tabs>
                <w:tab w:val="left" w:pos="1389"/>
              </w:tabs>
              <w:bidi w:val="0"/>
              <w:rPr>
                <w:rFonts w:hint="eastAsia"/>
                <w:color w:val="auto"/>
              </w:rPr>
            </w:pPr>
            <w:r>
              <w:rPr>
                <w:rFonts w:hint="eastAsia"/>
                <w:color w:val="auto"/>
                <w:lang w:val="en-US" w:eastAsia="zh-CN"/>
              </w:rPr>
              <w:t>0</w:t>
            </w:r>
          </w:p>
        </w:tc>
        <w:tc>
          <w:tcPr>
            <w:tcW w:w="1288" w:type="dxa"/>
            <w:tcBorders>
              <w:tl2br w:val="nil"/>
              <w:tr2bl w:val="nil"/>
            </w:tcBorders>
            <w:shd w:val="clear" w:color="auto" w:fill="auto"/>
            <w:noWrap/>
            <w:vAlign w:val="center"/>
          </w:tcPr>
          <w:p w14:paraId="3EAD5D13">
            <w:pPr>
              <w:pStyle w:val="34"/>
              <w:tabs>
                <w:tab w:val="left" w:pos="1389"/>
              </w:tabs>
              <w:bidi w:val="0"/>
              <w:rPr>
                <w:rFonts w:hint="eastAsia"/>
                <w:color w:val="auto"/>
              </w:rPr>
            </w:pPr>
            <w:r>
              <w:rPr>
                <w:rFonts w:hint="eastAsia"/>
                <w:color w:val="auto"/>
                <w:lang w:val="en-US" w:eastAsia="zh-CN"/>
              </w:rPr>
              <w:t>0.0000</w:t>
            </w:r>
          </w:p>
        </w:tc>
        <w:tc>
          <w:tcPr>
            <w:tcW w:w="933" w:type="dxa"/>
            <w:tcBorders>
              <w:tl2br w:val="nil"/>
              <w:tr2bl w:val="nil"/>
            </w:tcBorders>
            <w:shd w:val="clear" w:color="auto" w:fill="auto"/>
            <w:noWrap/>
            <w:vAlign w:val="center"/>
          </w:tcPr>
          <w:p w14:paraId="53093A63">
            <w:pPr>
              <w:pStyle w:val="34"/>
              <w:tabs>
                <w:tab w:val="left" w:pos="1389"/>
              </w:tabs>
              <w:bidi w:val="0"/>
              <w:rPr>
                <w:rFonts w:hint="eastAsia"/>
                <w:color w:val="auto"/>
              </w:rPr>
            </w:pPr>
            <w:r>
              <w:rPr>
                <w:rFonts w:hint="eastAsia"/>
                <w:color w:val="auto"/>
                <w:lang w:val="en-US" w:eastAsia="zh-CN"/>
              </w:rPr>
              <w:t>0</w:t>
            </w:r>
          </w:p>
        </w:tc>
        <w:tc>
          <w:tcPr>
            <w:tcW w:w="846" w:type="dxa"/>
            <w:tcBorders>
              <w:tl2br w:val="nil"/>
              <w:tr2bl w:val="nil"/>
            </w:tcBorders>
            <w:shd w:val="clear" w:color="auto" w:fill="auto"/>
            <w:noWrap/>
            <w:vAlign w:val="center"/>
          </w:tcPr>
          <w:p w14:paraId="78338A47">
            <w:pPr>
              <w:pStyle w:val="34"/>
              <w:tabs>
                <w:tab w:val="left" w:pos="1389"/>
              </w:tabs>
              <w:bidi w:val="0"/>
              <w:rPr>
                <w:rFonts w:hint="eastAsia"/>
                <w:color w:val="auto"/>
              </w:rPr>
            </w:pPr>
          </w:p>
        </w:tc>
      </w:tr>
      <w:tr w14:paraId="47EB498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1453" w:type="pct"/>
            <w:gridSpan w:val="2"/>
            <w:tcBorders>
              <w:tl2br w:val="nil"/>
              <w:tr2bl w:val="nil"/>
            </w:tcBorders>
            <w:shd w:val="clear" w:color="auto" w:fill="auto"/>
            <w:noWrap/>
            <w:vAlign w:val="center"/>
          </w:tcPr>
          <w:p w14:paraId="165DE56D">
            <w:pPr>
              <w:pStyle w:val="34"/>
              <w:tabs>
                <w:tab w:val="left" w:pos="1389"/>
              </w:tabs>
              <w:bidi w:val="0"/>
              <w:rPr>
                <w:rFonts w:hint="eastAsia"/>
                <w:color w:val="auto"/>
              </w:rPr>
            </w:pPr>
            <w:r>
              <w:rPr>
                <w:rFonts w:hint="eastAsia"/>
                <w:color w:val="auto"/>
                <w:lang w:val="en-US" w:eastAsia="zh-CN"/>
              </w:rPr>
              <w:t>合计</w:t>
            </w:r>
          </w:p>
        </w:tc>
        <w:tc>
          <w:tcPr>
            <w:tcW w:w="1143" w:type="dxa"/>
            <w:tcBorders>
              <w:tl2br w:val="nil"/>
              <w:tr2bl w:val="nil"/>
            </w:tcBorders>
            <w:shd w:val="clear" w:color="auto" w:fill="auto"/>
            <w:noWrap/>
            <w:vAlign w:val="center"/>
          </w:tcPr>
          <w:p w14:paraId="73CDFD90">
            <w:pPr>
              <w:pStyle w:val="34"/>
              <w:tabs>
                <w:tab w:val="left" w:pos="1389"/>
              </w:tabs>
              <w:bidi w:val="0"/>
              <w:rPr>
                <w:rFonts w:hint="eastAsia"/>
                <w:color w:val="auto"/>
              </w:rPr>
            </w:pPr>
            <w:r>
              <w:rPr>
                <w:rFonts w:hint="eastAsia"/>
                <w:color w:val="auto"/>
                <w:lang w:val="en-US" w:eastAsia="zh-CN"/>
              </w:rPr>
              <w:t>1132.4249</w:t>
            </w:r>
          </w:p>
        </w:tc>
        <w:tc>
          <w:tcPr>
            <w:tcW w:w="1007" w:type="dxa"/>
            <w:tcBorders>
              <w:tl2br w:val="nil"/>
              <w:tr2bl w:val="nil"/>
            </w:tcBorders>
            <w:shd w:val="clear" w:color="auto" w:fill="auto"/>
            <w:noWrap/>
            <w:vAlign w:val="center"/>
          </w:tcPr>
          <w:p w14:paraId="7A8D7C35">
            <w:pPr>
              <w:pStyle w:val="34"/>
              <w:tabs>
                <w:tab w:val="left" w:pos="1389"/>
              </w:tabs>
              <w:bidi w:val="0"/>
              <w:rPr>
                <w:rFonts w:hint="eastAsia"/>
                <w:color w:val="auto"/>
              </w:rPr>
            </w:pPr>
            <w:r>
              <w:rPr>
                <w:rFonts w:hint="eastAsia"/>
                <w:color w:val="auto"/>
                <w:lang w:val="en-US" w:eastAsia="zh-CN"/>
              </w:rPr>
              <w:t>2.9347</w:t>
            </w:r>
          </w:p>
        </w:tc>
        <w:tc>
          <w:tcPr>
            <w:tcW w:w="1124" w:type="dxa"/>
            <w:tcBorders>
              <w:tl2br w:val="nil"/>
              <w:tr2bl w:val="nil"/>
            </w:tcBorders>
            <w:shd w:val="clear" w:color="auto" w:fill="auto"/>
            <w:noWrap/>
            <w:vAlign w:val="center"/>
          </w:tcPr>
          <w:p w14:paraId="06843981">
            <w:pPr>
              <w:pStyle w:val="34"/>
              <w:tabs>
                <w:tab w:val="left" w:pos="1389"/>
              </w:tabs>
              <w:bidi w:val="0"/>
              <w:rPr>
                <w:rFonts w:hint="eastAsia"/>
                <w:color w:val="auto"/>
              </w:rPr>
            </w:pPr>
            <w:r>
              <w:rPr>
                <w:rFonts w:hint="eastAsia"/>
                <w:color w:val="auto"/>
                <w:lang w:val="en-US" w:eastAsia="zh-CN"/>
              </w:rPr>
              <w:t>0</w:t>
            </w:r>
          </w:p>
        </w:tc>
        <w:tc>
          <w:tcPr>
            <w:tcW w:w="1288" w:type="dxa"/>
            <w:tcBorders>
              <w:tl2br w:val="nil"/>
              <w:tr2bl w:val="nil"/>
            </w:tcBorders>
            <w:shd w:val="clear" w:color="auto" w:fill="auto"/>
            <w:noWrap/>
            <w:vAlign w:val="center"/>
          </w:tcPr>
          <w:p w14:paraId="4982893B">
            <w:pPr>
              <w:pStyle w:val="34"/>
              <w:tabs>
                <w:tab w:val="left" w:pos="1389"/>
              </w:tabs>
              <w:bidi w:val="0"/>
              <w:rPr>
                <w:rFonts w:hint="eastAsia"/>
                <w:color w:val="auto"/>
              </w:rPr>
            </w:pPr>
            <w:r>
              <w:rPr>
                <w:rFonts w:hint="eastAsia"/>
                <w:color w:val="auto"/>
                <w:lang w:val="en-US" w:eastAsia="zh-CN"/>
              </w:rPr>
              <w:t>7608.0945</w:t>
            </w:r>
          </w:p>
        </w:tc>
        <w:tc>
          <w:tcPr>
            <w:tcW w:w="933" w:type="dxa"/>
            <w:tcBorders>
              <w:tl2br w:val="nil"/>
              <w:tr2bl w:val="nil"/>
            </w:tcBorders>
            <w:shd w:val="clear" w:color="auto" w:fill="auto"/>
            <w:noWrap/>
            <w:vAlign w:val="center"/>
          </w:tcPr>
          <w:p w14:paraId="6BE2DEEF">
            <w:pPr>
              <w:pStyle w:val="34"/>
              <w:tabs>
                <w:tab w:val="left" w:pos="1389"/>
              </w:tabs>
              <w:bidi w:val="0"/>
              <w:rPr>
                <w:rFonts w:hint="default"/>
                <w:color w:val="auto"/>
                <w:lang w:val="en-US"/>
              </w:rPr>
            </w:pPr>
            <w:r>
              <w:rPr>
                <w:rFonts w:hint="eastAsia"/>
                <w:color w:val="auto"/>
                <w:lang w:val="en-US" w:eastAsia="zh-CN"/>
              </w:rPr>
              <w:t>11.8391</w:t>
            </w:r>
          </w:p>
        </w:tc>
        <w:tc>
          <w:tcPr>
            <w:tcW w:w="846" w:type="dxa"/>
            <w:tcBorders>
              <w:tl2br w:val="nil"/>
              <w:tr2bl w:val="nil"/>
            </w:tcBorders>
            <w:shd w:val="clear" w:color="auto" w:fill="auto"/>
            <w:noWrap/>
            <w:vAlign w:val="center"/>
          </w:tcPr>
          <w:p w14:paraId="50E9E581">
            <w:pPr>
              <w:pStyle w:val="34"/>
              <w:tabs>
                <w:tab w:val="left" w:pos="1389"/>
              </w:tabs>
              <w:bidi w:val="0"/>
              <w:rPr>
                <w:rFonts w:hint="default"/>
                <w:color w:val="auto"/>
                <w:lang w:val="en-US"/>
              </w:rPr>
            </w:pPr>
            <w:r>
              <w:rPr>
                <w:rFonts w:hint="eastAsia"/>
                <w:color w:val="auto"/>
                <w:lang w:val="en-US" w:eastAsia="zh-CN"/>
              </w:rPr>
              <w:t>0.16</w:t>
            </w:r>
          </w:p>
        </w:tc>
      </w:tr>
    </w:tbl>
    <w:p w14:paraId="24B9678E">
      <w:pPr>
        <w:pStyle w:val="42"/>
        <w:bidi w:val="0"/>
        <w:rPr>
          <w:rFonts w:hint="eastAsia"/>
          <w:color w:val="auto"/>
        </w:rPr>
      </w:pPr>
    </w:p>
    <w:p w14:paraId="1EFCE9B1">
      <w:pPr>
        <w:numPr>
          <w:ilvl w:val="0"/>
          <w:numId w:val="0"/>
        </w:numPr>
        <w:spacing w:line="360" w:lineRule="auto"/>
        <w:ind w:right="34" w:rightChars="0" w:firstLine="480" w:firstLineChars="200"/>
        <w:rPr>
          <w:bCs/>
          <w:color w:val="auto"/>
          <w:sz w:val="24"/>
          <w:highlight w:val="none"/>
        </w:rPr>
      </w:pPr>
      <w:r>
        <w:rPr>
          <w:bCs/>
          <w:color w:val="auto"/>
          <w:sz w:val="24"/>
          <w:highlight w:val="none"/>
        </w:rPr>
        <w:t>本项目占地损失</w:t>
      </w:r>
      <w:r>
        <w:rPr>
          <w:rFonts w:hint="eastAsia"/>
          <w:bCs/>
          <w:color w:val="auto"/>
          <w:sz w:val="24"/>
          <w:highlight w:val="none"/>
          <w:lang w:val="en-US" w:eastAsia="zh-CN"/>
        </w:rPr>
        <w:t>生产力</w:t>
      </w:r>
      <w:r>
        <w:rPr>
          <w:bCs/>
          <w:color w:val="auto"/>
          <w:sz w:val="24"/>
          <w:highlight w:val="none"/>
        </w:rPr>
        <w:t>约</w:t>
      </w:r>
      <w:r>
        <w:rPr>
          <w:rFonts w:hint="eastAsia"/>
          <w:bCs/>
          <w:color w:val="auto"/>
          <w:sz w:val="24"/>
          <w:highlight w:val="none"/>
          <w:lang w:val="en-US" w:eastAsia="zh-CN"/>
        </w:rPr>
        <w:t>11.8391</w:t>
      </w:r>
      <w:r>
        <w:rPr>
          <w:bCs/>
          <w:color w:val="auto"/>
          <w:sz w:val="24"/>
          <w:highlight w:val="none"/>
        </w:rPr>
        <w:t>t</w:t>
      </w:r>
      <w:r>
        <w:rPr>
          <w:rFonts w:hint="eastAsia"/>
          <w:bCs/>
          <w:color w:val="auto"/>
          <w:sz w:val="24"/>
          <w:highlight w:val="none"/>
          <w:lang w:eastAsia="zh-CN"/>
        </w:rPr>
        <w:t>，</w:t>
      </w:r>
      <w:r>
        <w:rPr>
          <w:bCs/>
          <w:color w:val="auto"/>
          <w:sz w:val="24"/>
          <w:highlight w:val="none"/>
        </w:rPr>
        <w:t>其中以</w:t>
      </w:r>
      <w:r>
        <w:rPr>
          <w:rFonts w:hint="eastAsia"/>
          <w:bCs/>
          <w:color w:val="auto"/>
          <w:sz w:val="24"/>
          <w:highlight w:val="none"/>
          <w:lang w:val="en-US" w:eastAsia="zh-CN"/>
        </w:rPr>
        <w:t>禾草草丛</w:t>
      </w:r>
      <w:r>
        <w:rPr>
          <w:bCs/>
          <w:color w:val="auto"/>
          <w:sz w:val="24"/>
          <w:highlight w:val="none"/>
        </w:rPr>
        <w:t>的</w:t>
      </w:r>
      <w:r>
        <w:rPr>
          <w:rFonts w:hint="eastAsia"/>
          <w:bCs/>
          <w:color w:val="auto"/>
          <w:sz w:val="24"/>
          <w:highlight w:val="none"/>
          <w:lang w:val="en-US" w:eastAsia="zh-CN"/>
        </w:rPr>
        <w:t>损失量</w:t>
      </w:r>
      <w:r>
        <w:rPr>
          <w:bCs/>
          <w:color w:val="auto"/>
          <w:sz w:val="24"/>
          <w:highlight w:val="none"/>
        </w:rPr>
        <w:t>最高约</w:t>
      </w:r>
      <w:r>
        <w:rPr>
          <w:rFonts w:hint="eastAsia"/>
          <w:bCs/>
          <w:color w:val="auto"/>
          <w:sz w:val="24"/>
          <w:highlight w:val="none"/>
          <w:lang w:val="en-US" w:eastAsia="zh-CN"/>
        </w:rPr>
        <w:t>6.0761</w:t>
      </w:r>
      <w:r>
        <w:rPr>
          <w:bCs/>
          <w:color w:val="auto"/>
          <w:sz w:val="24"/>
          <w:highlight w:val="none"/>
        </w:rPr>
        <w:t>t，占</w:t>
      </w:r>
      <w:r>
        <w:rPr>
          <w:rFonts w:hint="eastAsia"/>
          <w:bCs/>
          <w:color w:val="auto"/>
          <w:sz w:val="24"/>
          <w:highlight w:val="none"/>
          <w:lang w:val="en-US" w:eastAsia="zh-CN"/>
        </w:rPr>
        <w:t>总损失</w:t>
      </w:r>
      <w:r>
        <w:rPr>
          <w:bCs/>
          <w:color w:val="auto"/>
          <w:sz w:val="24"/>
          <w:highlight w:val="none"/>
        </w:rPr>
        <w:t>量的</w:t>
      </w:r>
      <w:r>
        <w:rPr>
          <w:rFonts w:hint="eastAsia"/>
          <w:bCs/>
          <w:color w:val="auto"/>
          <w:sz w:val="24"/>
          <w:highlight w:val="none"/>
          <w:lang w:val="en-US" w:eastAsia="zh-CN"/>
        </w:rPr>
        <w:t>51.32</w:t>
      </w:r>
      <w:r>
        <w:rPr>
          <w:bCs/>
          <w:color w:val="auto"/>
          <w:sz w:val="24"/>
          <w:highlight w:val="none"/>
        </w:rPr>
        <w:t>%。项目建设带来的</w:t>
      </w:r>
      <w:r>
        <w:rPr>
          <w:rFonts w:hint="eastAsia"/>
          <w:bCs/>
          <w:color w:val="auto"/>
          <w:sz w:val="24"/>
          <w:highlight w:val="none"/>
          <w:lang w:val="en-US" w:eastAsia="zh-CN"/>
        </w:rPr>
        <w:t>生产力</w:t>
      </w:r>
      <w:r>
        <w:rPr>
          <w:bCs/>
          <w:color w:val="auto"/>
          <w:sz w:val="24"/>
          <w:highlight w:val="none"/>
        </w:rPr>
        <w:t>损失占评价区总</w:t>
      </w:r>
      <w:r>
        <w:rPr>
          <w:rFonts w:hint="eastAsia"/>
          <w:bCs/>
          <w:color w:val="auto"/>
          <w:sz w:val="24"/>
          <w:highlight w:val="none"/>
          <w:lang w:val="en-US" w:eastAsia="zh-CN"/>
        </w:rPr>
        <w:t>生产力</w:t>
      </w:r>
      <w:r>
        <w:rPr>
          <w:bCs/>
          <w:color w:val="auto"/>
          <w:sz w:val="24"/>
          <w:highlight w:val="none"/>
        </w:rPr>
        <w:t>的比例较小为</w:t>
      </w:r>
      <w:r>
        <w:rPr>
          <w:rFonts w:hint="eastAsia"/>
          <w:bCs/>
          <w:color w:val="auto"/>
          <w:sz w:val="24"/>
          <w:highlight w:val="none"/>
          <w:lang w:val="en-US" w:eastAsia="zh-CN"/>
        </w:rPr>
        <w:t>0.16</w:t>
      </w:r>
      <w:r>
        <w:rPr>
          <w:bCs/>
          <w:color w:val="auto"/>
          <w:sz w:val="24"/>
          <w:highlight w:val="none"/>
        </w:rPr>
        <w:t>%，对评价区</w:t>
      </w:r>
      <w:r>
        <w:rPr>
          <w:rFonts w:hint="eastAsia"/>
          <w:bCs/>
          <w:color w:val="auto"/>
          <w:sz w:val="24"/>
          <w:highlight w:val="none"/>
          <w:lang w:val="en-US" w:eastAsia="zh-CN"/>
        </w:rPr>
        <w:t>生态系统的生产力</w:t>
      </w:r>
      <w:r>
        <w:rPr>
          <w:bCs/>
          <w:color w:val="auto"/>
          <w:sz w:val="24"/>
          <w:highlight w:val="none"/>
        </w:rPr>
        <w:t>影响</w:t>
      </w:r>
      <w:r>
        <w:rPr>
          <w:rFonts w:hint="eastAsia"/>
          <w:bCs/>
          <w:color w:val="auto"/>
          <w:sz w:val="24"/>
          <w:highlight w:val="none"/>
          <w:lang w:val="en-US" w:eastAsia="zh-CN"/>
        </w:rPr>
        <w:t>较</w:t>
      </w:r>
      <w:r>
        <w:rPr>
          <w:bCs/>
          <w:color w:val="auto"/>
          <w:sz w:val="24"/>
          <w:highlight w:val="none"/>
        </w:rPr>
        <w:t>小。</w:t>
      </w:r>
    </w:p>
    <w:p w14:paraId="6382372E">
      <w:pPr>
        <w:pStyle w:val="3"/>
        <w:bidi w:val="0"/>
        <w:rPr>
          <w:rFonts w:hint="default"/>
          <w:color w:val="auto"/>
          <w:lang w:val="en-US" w:eastAsia="zh-CN"/>
        </w:rPr>
      </w:pPr>
      <w:r>
        <w:rPr>
          <w:rFonts w:hint="eastAsia"/>
          <w:color w:val="auto"/>
          <w:lang w:val="en-US" w:eastAsia="zh-CN"/>
        </w:rPr>
        <w:t>3.6项目对生态保护红线的影响分析</w:t>
      </w:r>
    </w:p>
    <w:p w14:paraId="6AE58B71">
      <w:pPr>
        <w:pStyle w:val="4"/>
        <w:bidi w:val="0"/>
        <w:rPr>
          <w:rFonts w:hint="eastAsia"/>
          <w:color w:val="auto"/>
          <w:lang w:val="en-US" w:eastAsia="zh-CN"/>
        </w:rPr>
      </w:pPr>
      <w:r>
        <w:rPr>
          <w:rFonts w:hint="eastAsia"/>
          <w:color w:val="auto"/>
          <w:lang w:val="en-US" w:eastAsia="zh-CN"/>
        </w:rPr>
        <w:t>3.6.1与生态保护红线的关系</w:t>
      </w:r>
    </w:p>
    <w:p w14:paraId="3948AF3C">
      <w:pPr>
        <w:spacing w:line="360" w:lineRule="auto"/>
        <w:ind w:firstLine="480" w:firstLineChars="200"/>
        <w:rPr>
          <w:color w:val="auto"/>
          <w:sz w:val="24"/>
          <w:highlight w:val="none"/>
        </w:rPr>
      </w:pPr>
      <w:r>
        <w:rPr>
          <w:rFonts w:hint="eastAsia"/>
          <w:color w:val="auto"/>
          <w:sz w:val="24"/>
          <w:highlight w:val="none"/>
        </w:rPr>
        <w:t>根据宣威市自然资源局关于西泽风电场</w:t>
      </w:r>
      <w:r>
        <w:rPr>
          <w:rFonts w:hint="eastAsia"/>
          <w:color w:val="auto"/>
          <w:sz w:val="24"/>
          <w:highlight w:val="none"/>
          <w:lang w:eastAsia="zh-CN"/>
        </w:rPr>
        <w:t>（</w:t>
      </w:r>
      <w:r>
        <w:rPr>
          <w:rFonts w:hint="eastAsia"/>
          <w:color w:val="auto"/>
          <w:sz w:val="24"/>
          <w:highlight w:val="none"/>
        </w:rPr>
        <w:t>二期)</w:t>
      </w:r>
      <w:r>
        <w:rPr>
          <w:rFonts w:hint="eastAsia"/>
          <w:color w:val="auto"/>
          <w:sz w:val="24"/>
          <w:highlight w:val="none"/>
          <w:lang w:eastAsia="zh-CN"/>
        </w:rPr>
        <w:t>项目</w:t>
      </w:r>
      <w:r>
        <w:rPr>
          <w:rFonts w:hint="eastAsia"/>
          <w:color w:val="auto"/>
          <w:sz w:val="24"/>
          <w:highlight w:val="none"/>
        </w:rPr>
        <w:t>“三区三线”查询的意见，项目用地范围不涉及占用永久基本农田、生态保护红线</w:t>
      </w:r>
      <w:r>
        <w:rPr>
          <w:color w:val="auto"/>
          <w:sz w:val="24"/>
          <w:highlight w:val="none"/>
        </w:rPr>
        <w:t>。</w:t>
      </w:r>
    </w:p>
    <w:p w14:paraId="21E3E660">
      <w:pPr>
        <w:spacing w:line="360" w:lineRule="auto"/>
        <w:ind w:firstLine="480" w:firstLineChars="200"/>
        <w:rPr>
          <w:color w:val="auto"/>
          <w:sz w:val="24"/>
          <w:highlight w:val="none"/>
        </w:rPr>
      </w:pPr>
      <w:r>
        <w:rPr>
          <w:rFonts w:hint="eastAsia"/>
          <w:color w:val="auto"/>
          <w:sz w:val="24"/>
          <w:highlight w:val="none"/>
        </w:rPr>
        <w:t>项目部分35kV集电线路</w:t>
      </w:r>
      <w:r>
        <w:rPr>
          <w:rFonts w:hint="eastAsia"/>
          <w:color w:val="auto"/>
          <w:sz w:val="24"/>
          <w:highlight w:val="none"/>
          <w:lang w:val="en-US" w:eastAsia="zh-CN"/>
        </w:rPr>
        <w:t>及风机平台评价范围内存在划定的</w:t>
      </w:r>
      <w:r>
        <w:rPr>
          <w:rFonts w:hint="eastAsia"/>
          <w:color w:val="auto"/>
          <w:sz w:val="24"/>
          <w:highlight w:val="none"/>
        </w:rPr>
        <w:t>生态保护红线。生态保护红线的类型为</w:t>
      </w:r>
      <w:r>
        <w:rPr>
          <w:rFonts w:hint="eastAsia"/>
          <w:color w:val="auto"/>
          <w:sz w:val="24"/>
          <w:highlight w:val="none"/>
          <w:lang w:eastAsia="zh-CN"/>
        </w:rPr>
        <w:t>“</w:t>
      </w:r>
      <w:r>
        <w:rPr>
          <w:rFonts w:hint="eastAsia"/>
          <w:color w:val="auto"/>
          <w:sz w:val="24"/>
          <w:highlight w:val="none"/>
        </w:rPr>
        <w:t>珠江上游及滇东南喀斯特地带水土保持生态保护红线</w:t>
      </w:r>
      <w:r>
        <w:rPr>
          <w:rFonts w:hint="eastAsia"/>
          <w:color w:val="auto"/>
          <w:sz w:val="24"/>
          <w:highlight w:val="none"/>
          <w:lang w:eastAsia="zh-CN"/>
        </w:rPr>
        <w:t>”，</w:t>
      </w:r>
      <w:r>
        <w:rPr>
          <w:rFonts w:hint="eastAsia"/>
          <w:color w:val="auto"/>
          <w:sz w:val="24"/>
          <w:highlight w:val="none"/>
        </w:rPr>
        <w:t>主导功能为</w:t>
      </w:r>
      <w:r>
        <w:rPr>
          <w:rFonts w:hint="eastAsia" w:ascii="宋体" w:hAnsi="宋体" w:eastAsia="宋体" w:cs="宋体"/>
          <w:color w:val="auto"/>
          <w:sz w:val="24"/>
          <w:highlight w:val="none"/>
        </w:rPr>
        <w:t>水土保持</w:t>
      </w:r>
      <w:r>
        <w:rPr>
          <w:rFonts w:hint="eastAsia"/>
          <w:color w:val="auto"/>
          <w:sz w:val="24"/>
          <w:highlight w:val="none"/>
        </w:rPr>
        <w:t>。</w:t>
      </w:r>
    </w:p>
    <w:p w14:paraId="5E122C19">
      <w:pPr>
        <w:pStyle w:val="47"/>
        <w:ind w:firstLine="480"/>
        <w:rPr>
          <w:rFonts w:eastAsia="宋体"/>
          <w:color w:val="auto"/>
          <w:sz w:val="24"/>
          <w:szCs w:val="24"/>
          <w:highlight w:val="none"/>
        </w:rPr>
      </w:pPr>
      <w:r>
        <w:rPr>
          <w:rFonts w:hint="eastAsia" w:eastAsia="宋体"/>
          <w:color w:val="auto"/>
          <w:sz w:val="24"/>
          <w:szCs w:val="24"/>
          <w:highlight w:val="none"/>
        </w:rPr>
        <w:t>综上所述，本项目的建设对评价区内的生态保护红线存在影响，但影响低。本报告要求项目在施工图设计阶段，</w:t>
      </w:r>
      <w:r>
        <w:rPr>
          <w:rFonts w:hint="eastAsia" w:eastAsia="宋体"/>
          <w:color w:val="auto"/>
          <w:sz w:val="24"/>
          <w:szCs w:val="24"/>
          <w:highlight w:val="none"/>
          <w:lang w:val="en-US" w:eastAsia="zh-CN"/>
        </w:rPr>
        <w:t>在靠近生态保护红线区域应</w:t>
      </w:r>
      <w:r>
        <w:rPr>
          <w:rFonts w:hint="eastAsia" w:eastAsia="宋体"/>
          <w:color w:val="auto"/>
          <w:sz w:val="24"/>
          <w:szCs w:val="24"/>
          <w:highlight w:val="none"/>
        </w:rPr>
        <w:t>对</w:t>
      </w:r>
      <w:r>
        <w:rPr>
          <w:rFonts w:hint="eastAsia" w:eastAsia="宋体"/>
          <w:color w:val="auto"/>
          <w:sz w:val="24"/>
          <w:szCs w:val="24"/>
          <w:highlight w:val="none"/>
          <w:lang w:eastAsia="zh-CN"/>
        </w:rPr>
        <w:t>生态保护红线进行</w:t>
      </w:r>
      <w:r>
        <w:rPr>
          <w:rFonts w:hint="eastAsia" w:eastAsia="宋体"/>
          <w:color w:val="auto"/>
          <w:sz w:val="24"/>
          <w:szCs w:val="24"/>
          <w:highlight w:val="none"/>
        </w:rPr>
        <w:t>避让保护</w:t>
      </w:r>
      <w:r>
        <w:rPr>
          <w:rFonts w:hint="eastAsia" w:eastAsia="宋体"/>
          <w:color w:val="auto"/>
          <w:sz w:val="24"/>
          <w:szCs w:val="24"/>
          <w:highlight w:val="none"/>
          <w:lang w:eastAsia="zh-CN"/>
        </w:rPr>
        <w:t>，</w:t>
      </w:r>
      <w:r>
        <w:rPr>
          <w:rFonts w:hint="eastAsia" w:eastAsia="宋体"/>
          <w:color w:val="auto"/>
          <w:sz w:val="24"/>
          <w:szCs w:val="24"/>
          <w:highlight w:val="none"/>
          <w:lang w:val="en-US" w:eastAsia="zh-CN"/>
        </w:rPr>
        <w:t>严禁在生态保护红线区域进行施工</w:t>
      </w:r>
      <w:r>
        <w:rPr>
          <w:rFonts w:hint="eastAsia" w:eastAsia="宋体"/>
          <w:color w:val="auto"/>
          <w:sz w:val="24"/>
          <w:szCs w:val="24"/>
          <w:highlight w:val="none"/>
        </w:rPr>
        <w:t>。</w:t>
      </w:r>
    </w:p>
    <w:p w14:paraId="44FB297F">
      <w:pPr>
        <w:pStyle w:val="4"/>
        <w:bidi w:val="0"/>
        <w:rPr>
          <w:rFonts w:hint="eastAsia"/>
          <w:color w:val="auto"/>
          <w:lang w:val="en-US" w:eastAsia="zh-CN"/>
        </w:rPr>
      </w:pPr>
      <w:r>
        <w:rPr>
          <w:rFonts w:hint="eastAsia"/>
          <w:color w:val="auto"/>
          <w:lang w:val="en-US" w:eastAsia="zh-CN"/>
        </w:rPr>
        <w:t>3.6.2影响分析</w:t>
      </w:r>
    </w:p>
    <w:p w14:paraId="17453BE7">
      <w:pPr>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（1）</w:t>
      </w:r>
      <w:r>
        <w:rPr>
          <w:rFonts w:hint="eastAsia" w:ascii="Times New Roman" w:hAnsi="Times New Roman" w:eastAsia="宋体" w:cs="Times New Roman"/>
          <w:color w:val="auto"/>
          <w:sz w:val="24"/>
          <w:highlight w:val="none"/>
          <w:lang w:val="en-US" w:eastAsia="zh-CN"/>
        </w:rPr>
        <w:t>评价区域</w:t>
      </w:r>
      <w:r>
        <w:rPr>
          <w:rFonts w:hint="eastAsia" w:ascii="Times New Roman" w:hAnsi="Times New Roman" w:eastAsia="宋体" w:cs="Times New Roman"/>
          <w:color w:val="auto"/>
          <w:sz w:val="24"/>
          <w:highlight w:val="none"/>
        </w:rPr>
        <w:t>涉及生态保护</w:t>
      </w:r>
      <w:r>
        <w:rPr>
          <w:rFonts w:hint="eastAsia" w:cs="Times New Roman"/>
          <w:color w:val="auto"/>
          <w:sz w:val="24"/>
          <w:highlight w:val="none"/>
          <w:lang w:eastAsia="zh-CN"/>
        </w:rPr>
        <w:t>红线</w:t>
      </w:r>
      <w:r>
        <w:rPr>
          <w:rFonts w:hint="eastAsia" w:ascii="Times New Roman" w:hAnsi="Times New Roman" w:eastAsia="宋体" w:cs="Times New Roman"/>
          <w:color w:val="auto"/>
          <w:sz w:val="24"/>
          <w:highlight w:val="none"/>
        </w:rPr>
        <w:t>的植被类型分析</w:t>
      </w:r>
    </w:p>
    <w:p w14:paraId="4EB31DA9">
      <w:pPr>
        <w:spacing w:line="360" w:lineRule="auto"/>
        <w:ind w:firstLine="480" w:firstLineChars="200"/>
        <w:rPr>
          <w:rFonts w:hint="eastAsia" w:cs="Times New Roman"/>
          <w:color w:val="auto"/>
          <w:sz w:val="24"/>
          <w:highlight w:val="none"/>
          <w:lang w:eastAsia="zh-CN"/>
        </w:rPr>
      </w:pPr>
      <w:r>
        <w:rPr>
          <w:rFonts w:hint="eastAsia" w:ascii="Times New Roman" w:hAnsi="Times New Roman" w:eastAsia="宋体" w:cs="Times New Roman"/>
          <w:color w:val="auto"/>
          <w:sz w:val="24"/>
          <w:highlight w:val="none"/>
        </w:rPr>
        <w:t>本项目临近“珠江上游及滇东南喀斯特地带水土保持生态保护红线”生态保护红线，区域生态保护红线主要功能为水土保持，植被类型主要以</w:t>
      </w:r>
      <w:r>
        <w:rPr>
          <w:rFonts w:hint="eastAsia" w:ascii="Times New Roman" w:hAnsi="Times New Roman" w:eastAsia="宋体" w:cs="Times New Roman"/>
          <w:color w:val="auto"/>
          <w:sz w:val="24"/>
          <w:highlight w:val="none"/>
          <w:lang w:val="en-US" w:eastAsia="zh-CN"/>
        </w:rPr>
        <w:t>华山松林、</w:t>
      </w:r>
      <w:r>
        <w:rPr>
          <w:rFonts w:hint="eastAsia" w:ascii="Times New Roman" w:hAnsi="Times New Roman" w:eastAsia="宋体" w:cs="Times New Roman"/>
          <w:color w:val="auto"/>
          <w:sz w:val="24"/>
          <w:highlight w:val="none"/>
        </w:rPr>
        <w:t>云南松林、禾草</w:t>
      </w:r>
      <w:r>
        <w:rPr>
          <w:rFonts w:hint="eastAsia" w:cs="Times New Roman"/>
          <w:color w:val="auto"/>
          <w:sz w:val="24"/>
          <w:highlight w:val="none"/>
          <w:lang w:eastAsia="zh-CN"/>
        </w:rPr>
        <w:t>草丛</w:t>
      </w:r>
      <w:r>
        <w:rPr>
          <w:rFonts w:hint="eastAsia" w:ascii="Times New Roman" w:hAnsi="Times New Roman" w:eastAsia="宋体" w:cs="Times New Roman"/>
          <w:color w:val="auto"/>
          <w:sz w:val="24"/>
          <w:highlight w:val="none"/>
        </w:rPr>
        <w:t>为主。项目</w:t>
      </w:r>
      <w:r>
        <w:rPr>
          <w:rFonts w:hint="eastAsia" w:ascii="Times New Roman" w:hAnsi="Times New Roman" w:eastAsia="宋体" w:cs="Times New Roman"/>
          <w:color w:val="auto"/>
          <w:sz w:val="24"/>
          <w:highlight w:val="none"/>
          <w:lang w:val="en-US" w:eastAsia="zh-CN"/>
        </w:rPr>
        <w:t>永久占地以及</w:t>
      </w:r>
      <w:r>
        <w:rPr>
          <w:rFonts w:hint="eastAsia" w:ascii="Times New Roman" w:hAnsi="Times New Roman" w:eastAsia="宋体" w:cs="Times New Roman"/>
          <w:color w:val="auto"/>
          <w:sz w:val="24"/>
          <w:highlight w:val="none"/>
        </w:rPr>
        <w:t>临时</w:t>
      </w:r>
      <w:r>
        <w:rPr>
          <w:rFonts w:hint="eastAsia" w:ascii="Times New Roman" w:hAnsi="Times New Roman" w:eastAsia="宋体" w:cs="Times New Roman"/>
          <w:color w:val="auto"/>
          <w:sz w:val="24"/>
          <w:highlight w:val="none"/>
          <w:lang w:val="en-US" w:eastAsia="zh-CN"/>
        </w:rPr>
        <w:t>占地均不涉及</w:t>
      </w:r>
      <w:r>
        <w:rPr>
          <w:rFonts w:hint="eastAsia" w:ascii="Times New Roman" w:hAnsi="Times New Roman" w:eastAsia="宋体" w:cs="Times New Roman"/>
          <w:color w:val="auto"/>
          <w:sz w:val="24"/>
          <w:highlight w:val="none"/>
        </w:rPr>
        <w:t>占用生态保护红线，</w:t>
      </w:r>
      <w:r>
        <w:rPr>
          <w:rFonts w:hint="eastAsia" w:eastAsia="宋体" w:cs="Times New Roman"/>
          <w:color w:val="auto"/>
          <w:sz w:val="24"/>
          <w:highlight w:val="none"/>
          <w:lang w:val="en-US" w:eastAsia="zh-CN"/>
        </w:rPr>
        <w:t>施工期</w:t>
      </w:r>
      <w:r>
        <w:rPr>
          <w:rFonts w:hint="eastAsia" w:cs="Times New Roman"/>
          <w:color w:val="auto"/>
          <w:sz w:val="24"/>
          <w:highlight w:val="none"/>
          <w:lang w:val="en-US" w:eastAsia="zh-CN"/>
        </w:rPr>
        <w:t>不会造成</w:t>
      </w:r>
      <w:r>
        <w:rPr>
          <w:rFonts w:hint="eastAsia" w:ascii="Times New Roman" w:hAnsi="Times New Roman" w:eastAsia="宋体" w:cs="Times New Roman"/>
          <w:color w:val="auto"/>
          <w:sz w:val="24"/>
          <w:highlight w:val="none"/>
        </w:rPr>
        <w:t>生态保护红线范围内地表植被的破坏和减少</w:t>
      </w:r>
      <w:r>
        <w:rPr>
          <w:rFonts w:hint="eastAsia" w:cs="Times New Roman"/>
          <w:color w:val="auto"/>
          <w:sz w:val="24"/>
          <w:highlight w:val="none"/>
          <w:lang w:eastAsia="zh-CN"/>
        </w:rPr>
        <w:t>。</w:t>
      </w:r>
    </w:p>
    <w:p w14:paraId="1E1AF1B5">
      <w:pPr>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（2）对生态保护红线的影响分析</w:t>
      </w:r>
    </w:p>
    <w:p w14:paraId="055904A6">
      <w:pPr>
        <w:spacing w:line="360" w:lineRule="auto"/>
        <w:ind w:firstLine="480" w:firstLineChars="200"/>
        <w:rPr>
          <w:rFonts w:hint="eastAsia" w:eastAsia="宋体" w:cs="Times New Roman"/>
          <w:b/>
          <w:bCs/>
          <w:color w:val="auto"/>
          <w:sz w:val="24"/>
          <w:highlight w:val="none"/>
          <w:lang w:val="en-US" w:eastAsia="zh-CN"/>
        </w:rPr>
      </w:pPr>
      <w:r>
        <w:rPr>
          <w:rFonts w:hint="eastAsia" w:ascii="Times New Roman" w:hAnsi="Times New Roman" w:eastAsia="宋体" w:cs="Times New Roman"/>
          <w:color w:val="auto"/>
          <w:sz w:val="24"/>
          <w:highlight w:val="none"/>
        </w:rPr>
        <w:t>项目</w:t>
      </w:r>
      <w:r>
        <w:rPr>
          <w:rFonts w:hint="eastAsia" w:eastAsia="宋体" w:cs="Times New Roman"/>
          <w:color w:val="auto"/>
          <w:sz w:val="24"/>
          <w:highlight w:val="none"/>
          <w:lang w:val="en-US" w:eastAsia="zh-CN"/>
        </w:rPr>
        <w:t>施工过程将扰动</w:t>
      </w:r>
      <w:r>
        <w:rPr>
          <w:rFonts w:hint="eastAsia" w:cs="Times New Roman"/>
          <w:color w:val="auto"/>
          <w:sz w:val="24"/>
          <w:highlight w:val="none"/>
          <w:lang w:val="en-US" w:eastAsia="zh-CN"/>
        </w:rPr>
        <w:t>占地范围内</w:t>
      </w:r>
      <w:r>
        <w:rPr>
          <w:rFonts w:hint="eastAsia" w:eastAsia="宋体" w:cs="Times New Roman"/>
          <w:color w:val="auto"/>
          <w:sz w:val="24"/>
          <w:highlight w:val="none"/>
          <w:lang w:val="en-US" w:eastAsia="zh-CN"/>
        </w:rPr>
        <w:t>地表土壤结构造成水土流失</w:t>
      </w:r>
      <w:r>
        <w:rPr>
          <w:rFonts w:hint="eastAsia" w:cs="Times New Roman"/>
          <w:color w:val="auto"/>
          <w:sz w:val="24"/>
          <w:highlight w:val="none"/>
          <w:lang w:val="en-US" w:eastAsia="zh-CN"/>
        </w:rPr>
        <w:t>，</w:t>
      </w:r>
      <w:r>
        <w:rPr>
          <w:rFonts w:hint="eastAsia" w:eastAsia="宋体" w:cs="Times New Roman"/>
          <w:color w:val="auto"/>
          <w:sz w:val="24"/>
          <w:highlight w:val="none"/>
          <w:lang w:val="en-US" w:eastAsia="zh-CN"/>
        </w:rPr>
        <w:t>建设单位应督促施工单位</w:t>
      </w:r>
      <w:r>
        <w:rPr>
          <w:rFonts w:hint="eastAsia" w:ascii="Times New Roman" w:hAnsi="Times New Roman" w:eastAsia="宋体" w:cs="Times New Roman"/>
          <w:color w:val="auto"/>
          <w:sz w:val="24"/>
          <w:highlight w:val="none"/>
        </w:rPr>
        <w:t>文明施工、做</w:t>
      </w:r>
      <w:r>
        <w:rPr>
          <w:rFonts w:hint="eastAsia" w:eastAsia="宋体" w:cs="Times New Roman"/>
          <w:color w:val="auto"/>
          <w:sz w:val="24"/>
          <w:highlight w:val="none"/>
          <w:lang w:val="en-US" w:eastAsia="zh-CN"/>
        </w:rPr>
        <w:t>好</w:t>
      </w:r>
      <w:r>
        <w:rPr>
          <w:rFonts w:hint="eastAsia" w:ascii="Times New Roman" w:hAnsi="Times New Roman" w:eastAsia="宋体" w:cs="Times New Roman"/>
          <w:color w:val="auto"/>
          <w:sz w:val="24"/>
          <w:highlight w:val="none"/>
        </w:rPr>
        <w:t>水土保持</w:t>
      </w:r>
      <w:r>
        <w:rPr>
          <w:rFonts w:hint="eastAsia" w:eastAsia="宋体" w:cs="Times New Roman"/>
          <w:color w:val="auto"/>
          <w:sz w:val="24"/>
          <w:highlight w:val="none"/>
          <w:lang w:val="en-US" w:eastAsia="zh-CN"/>
        </w:rPr>
        <w:t>防护</w:t>
      </w:r>
      <w:r>
        <w:rPr>
          <w:rFonts w:hint="eastAsia" w:ascii="Times New Roman" w:hAnsi="Times New Roman" w:eastAsia="宋体" w:cs="Times New Roman"/>
          <w:color w:val="auto"/>
          <w:sz w:val="24"/>
          <w:highlight w:val="none"/>
        </w:rPr>
        <w:t>措施</w:t>
      </w:r>
      <w:r>
        <w:rPr>
          <w:rFonts w:hint="eastAsia" w:eastAsia="宋体" w:cs="Times New Roman"/>
          <w:color w:val="auto"/>
          <w:sz w:val="24"/>
          <w:highlight w:val="none"/>
          <w:lang w:eastAsia="zh-CN"/>
        </w:rPr>
        <w:t>，</w:t>
      </w:r>
      <w:r>
        <w:rPr>
          <w:rFonts w:hint="eastAsia" w:cs="Times New Roman"/>
          <w:color w:val="auto"/>
          <w:sz w:val="24"/>
          <w:highlight w:val="none"/>
          <w:lang w:val="en-US" w:eastAsia="zh-CN"/>
        </w:rPr>
        <w:t>施工用地禁止进入</w:t>
      </w:r>
      <w:r>
        <w:rPr>
          <w:rFonts w:hint="eastAsia" w:eastAsia="宋体" w:cs="Times New Roman"/>
          <w:color w:val="auto"/>
          <w:sz w:val="24"/>
          <w:highlight w:val="none"/>
          <w:lang w:val="en-US" w:eastAsia="zh-CN"/>
        </w:rPr>
        <w:t>生态保护红线区域</w:t>
      </w:r>
      <w:r>
        <w:rPr>
          <w:rFonts w:hint="eastAsia" w:cs="Times New Roman"/>
          <w:color w:val="auto"/>
          <w:sz w:val="24"/>
          <w:highlight w:val="none"/>
          <w:lang w:val="en-US" w:eastAsia="zh-CN"/>
        </w:rPr>
        <w:t>，</w:t>
      </w:r>
      <w:r>
        <w:rPr>
          <w:rFonts w:hint="eastAsia" w:eastAsia="宋体" w:cs="Times New Roman"/>
          <w:color w:val="auto"/>
          <w:sz w:val="24"/>
          <w:highlight w:val="none"/>
          <w:lang w:val="en-US" w:eastAsia="zh-CN"/>
        </w:rPr>
        <w:t>在采取相应的措施之后对生态保护红线区域</w:t>
      </w:r>
      <w:r>
        <w:rPr>
          <w:rFonts w:hint="eastAsia" w:cs="Times New Roman"/>
          <w:color w:val="auto"/>
          <w:sz w:val="24"/>
          <w:highlight w:val="none"/>
          <w:lang w:val="en-US" w:eastAsia="zh-CN"/>
        </w:rPr>
        <w:t>影响较小</w:t>
      </w:r>
      <w:r>
        <w:rPr>
          <w:rFonts w:hint="eastAsia" w:eastAsia="宋体" w:cs="Times New Roman"/>
          <w:color w:val="auto"/>
          <w:sz w:val="24"/>
          <w:highlight w:val="none"/>
          <w:lang w:val="en-US" w:eastAsia="zh-CN"/>
        </w:rPr>
        <w:t>。</w:t>
      </w:r>
      <w:r>
        <w:rPr>
          <w:rFonts w:hint="eastAsia" w:ascii="Times New Roman" w:hAnsi="Times New Roman" w:eastAsia="宋体" w:cs="Times New Roman"/>
          <w:color w:val="auto"/>
          <w:sz w:val="24"/>
          <w:highlight w:val="none"/>
        </w:rPr>
        <w:t>施工结束后</w:t>
      </w:r>
      <w:r>
        <w:rPr>
          <w:rFonts w:hint="eastAsia" w:eastAsia="宋体" w:cs="Times New Roman"/>
          <w:color w:val="auto"/>
          <w:sz w:val="24"/>
          <w:highlight w:val="none"/>
          <w:lang w:val="en-US" w:eastAsia="zh-CN"/>
        </w:rPr>
        <w:t>及时覆土，</w:t>
      </w:r>
      <w:r>
        <w:rPr>
          <w:rFonts w:hint="eastAsia" w:ascii="Times New Roman" w:hAnsi="Times New Roman" w:eastAsia="宋体" w:cs="Times New Roman"/>
          <w:color w:val="auto"/>
          <w:sz w:val="24"/>
          <w:highlight w:val="none"/>
        </w:rPr>
        <w:t>进行植被恢复。</w:t>
      </w:r>
      <w:r>
        <w:rPr>
          <w:rFonts w:hint="eastAsia" w:eastAsia="宋体" w:cs="Times New Roman"/>
          <w:b/>
          <w:bCs/>
          <w:color w:val="auto"/>
          <w:sz w:val="24"/>
          <w:highlight w:val="none"/>
          <w:lang w:val="en-US" w:eastAsia="zh-CN"/>
        </w:rPr>
        <w:t>具体措施见生态保护措施章节。</w:t>
      </w:r>
    </w:p>
    <w:p w14:paraId="3E6D9CEF">
      <w:pPr>
        <w:spacing w:line="360" w:lineRule="auto"/>
        <w:ind w:firstLine="480" w:firstLineChars="200"/>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综上，施工过程中按照</w:t>
      </w:r>
      <w:r>
        <w:rPr>
          <w:rFonts w:hint="eastAsia" w:eastAsia="宋体" w:cs="Times New Roman"/>
          <w:color w:val="auto"/>
          <w:sz w:val="24"/>
          <w:highlight w:val="none"/>
          <w:lang w:val="en-US" w:eastAsia="zh-CN"/>
        </w:rPr>
        <w:t>本环评及</w:t>
      </w:r>
      <w:r>
        <w:rPr>
          <w:rFonts w:hint="eastAsia" w:ascii="Times New Roman" w:hAnsi="Times New Roman" w:eastAsia="宋体" w:cs="Times New Roman"/>
          <w:color w:val="auto"/>
          <w:sz w:val="24"/>
          <w:highlight w:val="none"/>
        </w:rPr>
        <w:t>水保方案的要求采取相关措施后，</w:t>
      </w:r>
      <w:r>
        <w:rPr>
          <w:rFonts w:hint="eastAsia" w:eastAsia="宋体" w:cs="Times New Roman"/>
          <w:color w:val="auto"/>
          <w:sz w:val="24"/>
          <w:highlight w:val="none"/>
          <w:lang w:val="en-US" w:eastAsia="zh-CN"/>
        </w:rPr>
        <w:t>项目</w:t>
      </w:r>
      <w:r>
        <w:rPr>
          <w:rFonts w:hint="eastAsia" w:ascii="Times New Roman" w:hAnsi="Times New Roman" w:eastAsia="宋体" w:cs="Times New Roman"/>
          <w:color w:val="auto"/>
          <w:sz w:val="24"/>
          <w:highlight w:val="none"/>
        </w:rPr>
        <w:t>对生态保护红线的主导功能“水土保持”产生</w:t>
      </w:r>
      <w:r>
        <w:rPr>
          <w:rFonts w:hint="eastAsia" w:eastAsia="宋体" w:cs="Times New Roman"/>
          <w:color w:val="auto"/>
          <w:sz w:val="24"/>
          <w:highlight w:val="none"/>
          <w:lang w:eastAsia="zh-CN"/>
        </w:rPr>
        <w:t>的</w:t>
      </w:r>
      <w:r>
        <w:rPr>
          <w:rFonts w:hint="eastAsia" w:ascii="Times New Roman" w:hAnsi="Times New Roman" w:eastAsia="宋体" w:cs="Times New Roman"/>
          <w:color w:val="auto"/>
          <w:sz w:val="24"/>
          <w:highlight w:val="none"/>
        </w:rPr>
        <w:t>影响</w:t>
      </w:r>
      <w:r>
        <w:rPr>
          <w:rFonts w:hint="eastAsia" w:eastAsia="宋体" w:cs="Times New Roman"/>
          <w:color w:val="auto"/>
          <w:sz w:val="24"/>
          <w:highlight w:val="none"/>
          <w:lang w:val="en-US" w:eastAsia="zh-CN"/>
        </w:rPr>
        <w:t>可接受</w:t>
      </w:r>
      <w:r>
        <w:rPr>
          <w:rFonts w:hint="eastAsia" w:ascii="Times New Roman" w:hAnsi="Times New Roman" w:eastAsia="宋体" w:cs="Times New Roman"/>
          <w:color w:val="auto"/>
          <w:sz w:val="24"/>
          <w:highlight w:val="none"/>
        </w:rPr>
        <w:t>。</w:t>
      </w:r>
    </w:p>
    <w:p w14:paraId="23F18E5A">
      <w:pPr>
        <w:bidi w:val="0"/>
        <w:rPr>
          <w:rFonts w:hint="eastAsia"/>
          <w:color w:val="auto"/>
          <w:lang w:val="en-US" w:eastAsia="zh-CN"/>
        </w:rPr>
      </w:pPr>
    </w:p>
    <w:p w14:paraId="053BA0DB">
      <w:pPr>
        <w:pStyle w:val="41"/>
        <w:bidi w:val="0"/>
        <w:ind w:left="0" w:leftChars="0" w:firstLine="0" w:firstLineChars="0"/>
        <w:rPr>
          <w:rFonts w:hint="eastAsia"/>
          <w:color w:val="auto"/>
          <w:lang w:val="en-US" w:eastAsia="zh-CN"/>
        </w:rPr>
        <w:sectPr>
          <w:pgSz w:w="11906" w:h="16838"/>
          <w:pgMar w:top="1701" w:right="1588" w:bottom="1418" w:left="1588" w:header="1247" w:footer="1418" w:gutter="0"/>
          <w:pgBorders>
            <w:top w:val="none" w:sz="0" w:space="0"/>
            <w:left w:val="none" w:sz="0" w:space="0"/>
            <w:bottom w:val="none" w:sz="0" w:space="0"/>
            <w:right w:val="none" w:sz="0" w:space="0"/>
          </w:pgBorders>
          <w:pgNumType w:fmt="decimal"/>
          <w:cols w:space="720" w:num="1"/>
          <w:docGrid w:type="lines" w:linePitch="312" w:charSpace="0"/>
        </w:sectPr>
      </w:pPr>
    </w:p>
    <w:p w14:paraId="28260FA2">
      <w:pPr>
        <w:pStyle w:val="3"/>
        <w:bidi w:val="0"/>
        <w:rPr>
          <w:rFonts w:hint="eastAsia"/>
          <w:sz w:val="32"/>
          <w:szCs w:val="32"/>
          <w:lang w:val="en-US" w:eastAsia="zh-CN"/>
        </w:rPr>
      </w:pPr>
      <w:bookmarkStart w:id="66" w:name="_Toc28989"/>
      <w:r>
        <w:rPr>
          <w:rFonts w:hint="eastAsia"/>
          <w:sz w:val="32"/>
          <w:szCs w:val="32"/>
          <w:lang w:val="en-US" w:eastAsia="zh-CN"/>
        </w:rPr>
        <w:t>4.运营期生态影响分析</w:t>
      </w:r>
      <w:bookmarkEnd w:id="66"/>
    </w:p>
    <w:p w14:paraId="3CB41F4A">
      <w:pPr>
        <w:pStyle w:val="3"/>
        <w:bidi w:val="0"/>
        <w:rPr>
          <w:rFonts w:hint="eastAsia"/>
          <w:color w:val="auto"/>
          <w:lang w:val="en-US" w:eastAsia="zh-CN"/>
        </w:rPr>
      </w:pPr>
      <w:r>
        <w:rPr>
          <w:rFonts w:hint="eastAsia"/>
          <w:color w:val="auto"/>
          <w:lang w:val="en-US" w:eastAsia="zh-CN"/>
        </w:rPr>
        <w:t>4.1对植被、植物资源的影响</w:t>
      </w:r>
    </w:p>
    <w:p w14:paraId="42E72524">
      <w:pPr>
        <w:pStyle w:val="4"/>
        <w:bidi w:val="0"/>
        <w:rPr>
          <w:rFonts w:hint="eastAsia"/>
          <w:color w:val="auto"/>
          <w:lang w:val="en-US" w:eastAsia="zh-CN"/>
        </w:rPr>
      </w:pPr>
      <w:r>
        <w:rPr>
          <w:rFonts w:hint="eastAsia"/>
          <w:color w:val="auto"/>
          <w:lang w:val="en-US" w:eastAsia="zh-CN"/>
        </w:rPr>
        <w:t>4.1.1对植被的影响</w:t>
      </w:r>
    </w:p>
    <w:p w14:paraId="16E06FF4">
      <w:pPr>
        <w:pStyle w:val="41"/>
        <w:bidi w:val="0"/>
        <w:rPr>
          <w:rFonts w:hint="eastAsia"/>
          <w:color w:val="auto"/>
          <w:lang w:val="en-US" w:eastAsia="zh-CN"/>
        </w:rPr>
      </w:pPr>
      <w:r>
        <w:rPr>
          <w:rFonts w:hint="eastAsia"/>
          <w:color w:val="auto"/>
          <w:lang w:val="en-US" w:eastAsia="zh-CN"/>
        </w:rPr>
        <w:t>项目建设对生态环境的直接影响主要是施工期的影响。风电场运行后，基本不会再对植被造成新的破坏。随着项目运营和植被恢复措施的执行，区域内的植被将得到逐步恢复。</w:t>
      </w:r>
    </w:p>
    <w:p w14:paraId="3FD8A4BD">
      <w:pPr>
        <w:pStyle w:val="4"/>
        <w:bidi w:val="0"/>
        <w:rPr>
          <w:rFonts w:hint="eastAsia"/>
          <w:color w:val="auto"/>
          <w:lang w:val="en-US" w:eastAsia="zh-CN"/>
        </w:rPr>
      </w:pPr>
      <w:r>
        <w:rPr>
          <w:rFonts w:hint="eastAsia"/>
          <w:color w:val="auto"/>
          <w:lang w:val="en-US" w:eastAsia="zh-CN"/>
        </w:rPr>
        <w:t>4.1.2对植物物种的影响</w:t>
      </w:r>
    </w:p>
    <w:p w14:paraId="4409D21C">
      <w:pPr>
        <w:pStyle w:val="41"/>
        <w:bidi w:val="0"/>
        <w:rPr>
          <w:rFonts w:hint="eastAsia"/>
          <w:color w:val="auto"/>
          <w:lang w:val="en-US" w:eastAsia="zh-CN"/>
        </w:rPr>
      </w:pPr>
      <w:r>
        <w:rPr>
          <w:rFonts w:hint="eastAsia"/>
          <w:color w:val="auto"/>
          <w:lang w:val="en-US" w:eastAsia="zh-CN"/>
        </w:rPr>
        <w:t>风电场运行后，基本不会再对区域植物资源造成新的破坏影响。随着项目运营，随着周边环境保护管理的加强，有利于区域植物物种减少人为活动的扰动等影响，有利于区域植物的生长。另外，因建设单位日常的巡查管理，区域人为活动扰动减少，特别是携带火种进入风电场区域的情况得到控制，有利于区域森林防火，将会为更多植物提供生存空间，植物种群和个体数量有可能增加。但是，项目运营对评价区整体环境的改变作用有限，当地原生植物种类构成不会发生显著变化。</w:t>
      </w:r>
    </w:p>
    <w:p w14:paraId="77A7DF80">
      <w:pPr>
        <w:pStyle w:val="3"/>
        <w:bidi w:val="0"/>
        <w:rPr>
          <w:rFonts w:hint="eastAsia"/>
          <w:color w:val="auto"/>
          <w:lang w:val="en-US" w:eastAsia="zh-CN"/>
        </w:rPr>
      </w:pPr>
      <w:r>
        <w:rPr>
          <w:rFonts w:hint="eastAsia"/>
          <w:color w:val="auto"/>
          <w:lang w:val="en-US" w:eastAsia="zh-CN"/>
        </w:rPr>
        <w:t>4.1.3对陆生动物的影响</w:t>
      </w:r>
    </w:p>
    <w:p w14:paraId="73754ED1">
      <w:pPr>
        <w:pStyle w:val="41"/>
        <w:bidi w:val="0"/>
        <w:rPr>
          <w:rFonts w:hint="eastAsia"/>
          <w:color w:val="auto"/>
          <w:lang w:val="en-US" w:eastAsia="zh-CN"/>
        </w:rPr>
      </w:pPr>
      <w:r>
        <w:rPr>
          <w:rFonts w:hint="eastAsia"/>
          <w:color w:val="auto"/>
          <w:lang w:val="en-US" w:eastAsia="zh-CN"/>
        </w:rPr>
        <w:t>风电场运营期对哺乳类、爬行类和两栖类等野生动物的影响为：风机产生的噪声，会影响其活动和交流；评价区道路以及车辆行驶，使蛙类、蛇类、鼠类的栖息地受到分隔，它们在穿行中易被碾压，评价区野生动物种类、数量将会减少。现场调查的结果表明，区域分布的两栖类动物、爬行类动物及哺乳类动物是地区广泛分布的物种，其栖息的生境类型多样，通常可在2～3种生境中生存。项目评价区附近适宜生境较多，上述不利影响不会造成动物种类的灭绝，也不会使动物在这一区域绝迹。因此，项目运营期对区域动物种群数量和分布的影响不显著，在可接受的范围内。</w:t>
      </w:r>
    </w:p>
    <w:p w14:paraId="64413F36">
      <w:pPr>
        <w:pStyle w:val="3"/>
        <w:bidi w:val="0"/>
        <w:rPr>
          <w:rFonts w:hint="eastAsia"/>
          <w:color w:val="auto"/>
          <w:lang w:val="en-US" w:eastAsia="zh-CN"/>
        </w:rPr>
      </w:pPr>
      <w:r>
        <w:rPr>
          <w:rFonts w:hint="eastAsia"/>
          <w:color w:val="auto"/>
          <w:lang w:val="en-US" w:eastAsia="zh-CN"/>
        </w:rPr>
        <w:t>4.1.4对鸟类的影响</w:t>
      </w:r>
    </w:p>
    <w:p w14:paraId="729AB13D">
      <w:pPr>
        <w:pStyle w:val="41"/>
        <w:bidi w:val="0"/>
        <w:rPr>
          <w:color w:val="auto"/>
        </w:rPr>
      </w:pPr>
      <w:r>
        <w:rPr>
          <w:color w:val="auto"/>
        </w:rPr>
        <w:t>（1）对鸟类生境影响</w:t>
      </w:r>
    </w:p>
    <w:p w14:paraId="7E9F0672">
      <w:pPr>
        <w:pStyle w:val="41"/>
        <w:bidi w:val="0"/>
        <w:rPr>
          <w:color w:val="auto"/>
        </w:rPr>
      </w:pPr>
      <w:bookmarkStart w:id="67" w:name="_Hlk92893690"/>
      <w:r>
        <w:rPr>
          <w:color w:val="auto"/>
        </w:rPr>
        <w:t>风电场建设后导致原有植被类型改变，导致占地区域内鸟类活动生境改变，对鸟类生存产生影响；鸟类可能与风机及电缆发生碰撞，对鸟类活动造成影响。风电场噪声可能对该区域活动的鸟类</w:t>
      </w:r>
      <w:r>
        <w:rPr>
          <w:rFonts w:hint="eastAsia"/>
          <w:color w:val="auto"/>
          <w:lang w:val="en-US" w:eastAsia="zh-CN"/>
        </w:rPr>
        <w:t>及</w:t>
      </w:r>
      <w:r>
        <w:rPr>
          <w:color w:val="auto"/>
        </w:rPr>
        <w:t>周边鸟类产生短暂的驱离影响。</w:t>
      </w:r>
      <w:bookmarkEnd w:id="67"/>
      <w:r>
        <w:rPr>
          <w:color w:val="auto"/>
        </w:rPr>
        <w:t>经过一段时间的适应，很多鸟类个体将会习惯在风电场活动。从调查情况看，周围猛禽很少，不会对种群的延续带来严重的不利影响。</w:t>
      </w:r>
    </w:p>
    <w:p w14:paraId="1FB4F7D8">
      <w:pPr>
        <w:pStyle w:val="41"/>
        <w:bidi w:val="0"/>
        <w:rPr>
          <w:color w:val="auto"/>
        </w:rPr>
      </w:pPr>
      <w:r>
        <w:rPr>
          <w:color w:val="auto"/>
        </w:rPr>
        <w:t>（</w:t>
      </w:r>
      <w:r>
        <w:rPr>
          <w:rFonts w:hint="eastAsia"/>
          <w:color w:val="auto"/>
          <w:lang w:val="en-US" w:eastAsia="zh-CN"/>
        </w:rPr>
        <w:t>2</w:t>
      </w:r>
      <w:r>
        <w:rPr>
          <w:color w:val="auto"/>
        </w:rPr>
        <w:t>）对鸟类迁徙路线的影响</w:t>
      </w:r>
    </w:p>
    <w:p w14:paraId="7D3B492C">
      <w:pPr>
        <w:pStyle w:val="41"/>
        <w:bidi w:val="0"/>
        <w:rPr>
          <w:color w:val="auto"/>
        </w:rPr>
      </w:pPr>
      <w:r>
        <w:rPr>
          <w:rFonts w:hint="eastAsia"/>
          <w:color w:val="auto"/>
        </w:rPr>
        <w:t>通过文献资料查阅、实地调查、访问调查和地形分析，</w:t>
      </w:r>
      <w:r>
        <w:rPr>
          <w:rFonts w:hint="eastAsia"/>
          <w:color w:val="auto"/>
          <w:lang w:val="en-US" w:eastAsia="zh-CN"/>
        </w:rPr>
        <w:t>本</w:t>
      </w:r>
      <w:r>
        <w:rPr>
          <w:rFonts w:hint="eastAsia"/>
          <w:color w:val="auto"/>
        </w:rPr>
        <w:t>项目场址范围存在秋季候鸟迁徙聚集点的可能性不大。从地形分析，项目西面为</w:t>
      </w:r>
      <w:r>
        <w:rPr>
          <w:rFonts w:hint="eastAsia"/>
          <w:color w:val="auto"/>
          <w:lang w:val="en-US" w:eastAsia="zh-CN"/>
        </w:rPr>
        <w:t>牛栏江</w:t>
      </w:r>
      <w:r>
        <w:rPr>
          <w:rFonts w:hint="eastAsia"/>
          <w:color w:val="auto"/>
        </w:rPr>
        <w:t>河谷，迁徙候鸟集中在此河谷迁徙的可能性较大。但根据鸟类调查结果，仍有小群或零星候鸟可能会从调查区迁飞和过境。由于调查区历史调查较少，项目区鸟类迁徙状况了解有限，建设单位应在建设前</w:t>
      </w:r>
      <w:r>
        <w:rPr>
          <w:rFonts w:hint="eastAsia"/>
          <w:color w:val="auto"/>
          <w:lang w:eastAsia="zh-CN"/>
        </w:rPr>
        <w:t>，在</w:t>
      </w:r>
      <w:r>
        <w:rPr>
          <w:rFonts w:hint="eastAsia"/>
          <w:color w:val="auto"/>
        </w:rPr>
        <w:t>施工期和运营期开展迁徙候鸟监测工作，掌握区域的鸟类迁徙状况，根据监测结果开展相应的保护措施</w:t>
      </w:r>
      <w:r>
        <w:rPr>
          <w:color w:val="auto"/>
        </w:rPr>
        <w:t>。</w:t>
      </w:r>
    </w:p>
    <w:p w14:paraId="08169E03">
      <w:pPr>
        <w:pStyle w:val="41"/>
        <w:bidi w:val="0"/>
        <w:rPr>
          <w:color w:val="auto"/>
        </w:rPr>
      </w:pPr>
      <w:r>
        <w:rPr>
          <w:color w:val="auto"/>
        </w:rPr>
        <w:t>（</w:t>
      </w:r>
      <w:r>
        <w:rPr>
          <w:rFonts w:hint="eastAsia"/>
          <w:color w:val="auto"/>
          <w:lang w:val="en-US" w:eastAsia="zh-CN"/>
        </w:rPr>
        <w:t>3</w:t>
      </w:r>
      <w:r>
        <w:rPr>
          <w:color w:val="auto"/>
        </w:rPr>
        <w:t>）对鸟类日常活动的影响</w:t>
      </w:r>
    </w:p>
    <w:p w14:paraId="33DE7E50">
      <w:pPr>
        <w:pStyle w:val="41"/>
        <w:bidi w:val="0"/>
        <w:rPr>
          <w:color w:val="auto"/>
        </w:rPr>
      </w:pPr>
      <w:bookmarkStart w:id="68" w:name="_Hlk92893756"/>
      <w:r>
        <w:rPr>
          <w:color w:val="auto"/>
        </w:rPr>
        <w:t>风电场建成后，会产生噪</w:t>
      </w:r>
      <w:r>
        <w:rPr>
          <w:rFonts w:hint="eastAsia"/>
          <w:color w:val="auto"/>
          <w:lang w:val="en-US" w:eastAsia="zh-CN"/>
        </w:rPr>
        <w:t>声</w:t>
      </w:r>
      <w:r>
        <w:rPr>
          <w:color w:val="auto"/>
        </w:rPr>
        <w:t>，周围50m内鸟类活动会减少。但该区域鸟类物种及数量分布都较少，且周围可替代生境很多，因此不会对鸟类日常活动产生很大影响。综合来讲，风电场工程运行后对区域鸟类迁徙路线以及日常活动影响较小。</w:t>
      </w:r>
      <w:bookmarkEnd w:id="68"/>
    </w:p>
    <w:p w14:paraId="6F177762">
      <w:pPr>
        <w:pStyle w:val="41"/>
        <w:bidi w:val="0"/>
        <w:rPr>
          <w:color w:val="auto"/>
        </w:rPr>
      </w:pPr>
      <w:r>
        <w:rPr>
          <w:rFonts w:hint="eastAsia"/>
          <w:color w:val="auto"/>
          <w:lang w:val="en-US" w:eastAsia="zh-CN"/>
        </w:rPr>
        <w:t>依据报告的预测结果</w:t>
      </w:r>
      <w:r>
        <w:rPr>
          <w:color w:val="auto"/>
        </w:rPr>
        <w:t>，发现距离风电场200米以外噪声约为</w:t>
      </w:r>
      <w:r>
        <w:rPr>
          <w:rFonts w:hint="eastAsia"/>
          <w:color w:val="auto"/>
          <w:lang w:val="en-US" w:eastAsia="zh-CN"/>
        </w:rPr>
        <w:t>50</w:t>
      </w:r>
      <w:r>
        <w:rPr>
          <w:color w:val="auto"/>
        </w:rPr>
        <w:t>dB，且在风电场100米以内仍有鸟类在活动。以上调查结果表明风电场，尽管生境发生了变化，并且有噪声的影响，但部分鸟类仍能在风电场附近活动。</w:t>
      </w:r>
    </w:p>
    <w:p w14:paraId="5EFD7B8C">
      <w:pPr>
        <w:pStyle w:val="41"/>
        <w:bidi w:val="0"/>
        <w:rPr>
          <w:rFonts w:hint="eastAsia"/>
          <w:color w:val="auto"/>
          <w:lang w:eastAsia="zh-CN"/>
        </w:rPr>
      </w:pPr>
      <w:r>
        <w:rPr>
          <w:rFonts w:hint="eastAsia"/>
          <w:color w:val="auto"/>
          <w:lang w:eastAsia="zh-CN"/>
        </w:rPr>
        <w:t>（</w:t>
      </w:r>
      <w:r>
        <w:rPr>
          <w:rFonts w:hint="eastAsia"/>
          <w:color w:val="auto"/>
          <w:lang w:val="en-US" w:eastAsia="zh-CN"/>
        </w:rPr>
        <w:t>4</w:t>
      </w:r>
      <w:r>
        <w:rPr>
          <w:rFonts w:hint="eastAsia"/>
          <w:color w:val="auto"/>
          <w:lang w:eastAsia="zh-CN"/>
        </w:rPr>
        <w:t>）鸟撞影响</w:t>
      </w:r>
    </w:p>
    <w:p w14:paraId="03E55C8B">
      <w:pPr>
        <w:pStyle w:val="41"/>
        <w:bidi w:val="0"/>
        <w:rPr>
          <w:rFonts w:hint="eastAsia"/>
          <w:color w:val="auto"/>
          <w:lang w:eastAsia="zh-CN"/>
        </w:rPr>
      </w:pPr>
      <w:r>
        <w:rPr>
          <w:rFonts w:hint="eastAsia"/>
          <w:color w:val="auto"/>
          <w:lang w:eastAsia="zh-CN"/>
        </w:rPr>
        <w:t>风电场对鸟类最严重的影响为鸟撞风机，即在鸟类飞行过程中由于不能避让风机，而出现撞击风机的现象，造成鸟类死亡或受伤。发生鸟撞事件与鸟类的飞行高度、鸟类个体大小、集群情况等因素有关。在调查区，鸟类个体较大且飞行高度较高的主要为猛禽，如普通鵟、红隼、</w:t>
      </w:r>
      <w:r>
        <w:rPr>
          <w:rFonts w:hint="eastAsia"/>
          <w:color w:val="auto"/>
          <w:lang w:val="en-US" w:eastAsia="zh-CN"/>
        </w:rPr>
        <w:t>游隼、</w:t>
      </w:r>
      <w:r>
        <w:rPr>
          <w:rFonts w:hint="eastAsia"/>
          <w:color w:val="auto"/>
          <w:lang w:eastAsia="zh-CN"/>
        </w:rPr>
        <w:t>凤头鹰、白尾鹞等，其中雀鹰主要活动于林区内，盘旋于空中的行为较少，故减少了鸟撞的风险，且其还属于冬候鸟或旅鸟在项目区的停歇时间相对较短。普通鵟、红隼有空中盘旋的行为，白尾鹞喜在旱地上空巡飞，但普通鵟和白尾鹞为冬候鸟，仅在越冬季节在评价区内活动，故鸟撞风险几率相对较小。而凤头鹰在项目区为过境鸟，在调查区停留时间较短，故鸟撞风险也相对不高。综上，在猛禽中红隼属于留鸟且有盘旋空中的行为，鸟撞风险相对较大。但由于猛禽属于肉食性鸟类，领域范围较大，调查区的猛禽密度较小，发生鸟撞风险的概率也随之变小。此外，根据类比云南省已建成的风电场项目，昼行性猛禽鸟撞风机的现象概率较低，所以项目建成后发生猛禽鸟撞的概率不大。调查区内具有集群习性，且</w:t>
      </w:r>
      <w:r>
        <w:rPr>
          <w:rFonts w:hint="eastAsia"/>
          <w:color w:val="auto"/>
          <w:lang w:val="en-US" w:eastAsia="zh-CN"/>
        </w:rPr>
        <w:t>飞得高</w:t>
      </w:r>
      <w:r>
        <w:rPr>
          <w:rFonts w:hint="eastAsia"/>
          <w:color w:val="auto"/>
          <w:lang w:eastAsia="zh-CN"/>
        </w:rPr>
        <w:t>的鸟类主要为黑头金翅雀、小云雀和小鹀等。这些鸟类多数在地面活动，在受干扰惊飞时，会飞入林内或林上层躲避，一般在迁徙或迁移时才会出现集群高空飞行现象，这类鸟类的迁徙和迁移并不频繁（秋季和春季的迁徙季节），故鸟撞几率不大。对于调查区的地栖鸟类（雉类、鸫类、部分鹛类等）、林内或灌丛活动鸟类</w:t>
      </w:r>
      <w:r>
        <w:rPr>
          <w:rFonts w:hint="eastAsia"/>
          <w:color w:val="auto"/>
          <w:lang w:val="en-US" w:eastAsia="zh-CN"/>
        </w:rPr>
        <w:t>如</w:t>
      </w:r>
      <w:r>
        <w:rPr>
          <w:rFonts w:hint="eastAsia"/>
          <w:color w:val="auto"/>
          <w:lang w:eastAsia="zh-CN"/>
        </w:rPr>
        <w:t>褐胁雀鹛等，飞行高度较低，基本不会发生鸟撞风机的现象。</w:t>
      </w:r>
    </w:p>
    <w:p w14:paraId="666AA275">
      <w:pPr>
        <w:pStyle w:val="41"/>
        <w:bidi w:val="0"/>
        <w:rPr>
          <w:rFonts w:hint="eastAsia"/>
          <w:color w:val="auto"/>
          <w:lang w:eastAsia="zh-CN"/>
        </w:rPr>
      </w:pPr>
      <w:r>
        <w:rPr>
          <w:rFonts w:hint="eastAsia"/>
          <w:color w:val="auto"/>
          <w:lang w:eastAsia="zh-CN"/>
        </w:rPr>
        <w:t>（</w:t>
      </w:r>
      <w:r>
        <w:rPr>
          <w:rFonts w:hint="eastAsia"/>
          <w:color w:val="auto"/>
          <w:lang w:val="en-US" w:eastAsia="zh-CN"/>
        </w:rPr>
        <w:t>5</w:t>
      </w:r>
      <w:r>
        <w:rPr>
          <w:rFonts w:hint="eastAsia"/>
          <w:color w:val="auto"/>
          <w:lang w:eastAsia="zh-CN"/>
        </w:rPr>
        <w:t>）对鸟类的其他影响</w:t>
      </w:r>
    </w:p>
    <w:p w14:paraId="32CAF293">
      <w:pPr>
        <w:pStyle w:val="41"/>
        <w:bidi w:val="0"/>
        <w:rPr>
          <w:rFonts w:hint="eastAsia"/>
          <w:color w:val="auto"/>
          <w:lang w:eastAsia="zh-CN"/>
        </w:rPr>
      </w:pPr>
      <w:r>
        <w:rPr>
          <w:rFonts w:hint="eastAsia"/>
          <w:color w:val="auto"/>
          <w:lang w:eastAsia="zh-CN"/>
        </w:rPr>
        <w:t>风电场风机点位施工和场内道路建设将占用部分调查区内的植被，对鸟类栖息地产生一定的影响。由于调查区的鸟类生境类型存在连续性和分布广泛性，项目在建设过程中，鸟类可进行主动避让，迁飞至周边的适宜生境内。随着项目的完成、植被的恢复以及鸟类的逐步适应，区内鸟类可能存在重新迁入项目区的可能，所以，项目建设对鸟类栖息地的影响是可以接受的。</w:t>
      </w:r>
    </w:p>
    <w:p w14:paraId="168D7682">
      <w:pPr>
        <w:pStyle w:val="41"/>
        <w:bidi w:val="0"/>
        <w:rPr>
          <w:rFonts w:hint="eastAsia"/>
          <w:color w:val="auto"/>
          <w:lang w:eastAsia="zh-CN"/>
        </w:rPr>
      </w:pPr>
      <w:r>
        <w:rPr>
          <w:rFonts w:hint="eastAsia"/>
          <w:color w:val="auto"/>
          <w:lang w:eastAsia="zh-CN"/>
        </w:rPr>
        <w:t>项目施工期产生的噪声将干扰鸟类的正常活动，影响鸟类在项目区域的正常的觅食等活动，导致原本生活在该区域的鸟类向周边区域迁移。运行期风机运转产生的噪声相对稳定，持续恒定的噪声和气流可能会导致鸟类因避噪而迁出此区域，由于风电场产生噪声影响区域有限，附近地区类似项目地区周边的生境广泛分布，风电场产生的这种影响程度是有限的。</w:t>
      </w:r>
    </w:p>
    <w:p w14:paraId="0160F60D">
      <w:pPr>
        <w:pStyle w:val="3"/>
        <w:bidi w:val="0"/>
        <w:rPr>
          <w:rFonts w:hint="eastAsia"/>
          <w:color w:val="auto"/>
          <w:highlight w:val="none"/>
          <w:lang w:val="en-US" w:eastAsia="zh-CN"/>
        </w:rPr>
      </w:pPr>
      <w:r>
        <w:rPr>
          <w:rFonts w:hint="eastAsia"/>
          <w:color w:val="auto"/>
          <w:highlight w:val="none"/>
          <w:lang w:val="en-US" w:eastAsia="zh-CN"/>
        </w:rPr>
        <w:t>4.2工程建设对珍稀保护动物的影响</w:t>
      </w:r>
    </w:p>
    <w:p w14:paraId="03FB16D5">
      <w:pPr>
        <w:pStyle w:val="41"/>
        <w:bidi w:val="0"/>
        <w:rPr>
          <w:color w:val="auto"/>
        </w:rPr>
      </w:pPr>
      <w:r>
        <w:rPr>
          <w:color w:val="auto"/>
        </w:rPr>
        <w:t>（1）对国家级重点保护动物的影响</w:t>
      </w:r>
    </w:p>
    <w:p w14:paraId="380438C7">
      <w:pPr>
        <w:pStyle w:val="41"/>
        <w:bidi w:val="0"/>
        <w:rPr>
          <w:rFonts w:hint="eastAsia"/>
          <w:color w:val="auto"/>
          <w:sz w:val="24"/>
          <w:highlight w:val="none"/>
        </w:rPr>
      </w:pPr>
      <w:r>
        <w:rPr>
          <w:color w:val="auto"/>
        </w:rPr>
        <w:t>根据2021年2月最新的《国家重点保护动物名录》核实，评价区内没有国家级和云南省级重点保护两栖、爬行动物分布。</w:t>
      </w:r>
      <w:r>
        <w:rPr>
          <w:rFonts w:hint="eastAsia" w:cs="Times New Roman"/>
          <w:color w:val="auto"/>
          <w:kern w:val="0"/>
          <w:sz w:val="24"/>
          <w:szCs w:val="24"/>
          <w:highlight w:val="none"/>
          <w:lang w:val="en-US" w:eastAsia="zh-CN"/>
        </w:rPr>
        <w:t>项目所在区域内曾记录有国家二级保护动物豹猫分布</w:t>
      </w:r>
      <w:r>
        <w:rPr>
          <w:rFonts w:hint="eastAsia"/>
          <w:color w:val="auto"/>
          <w:sz w:val="24"/>
          <w:highlight w:val="none"/>
        </w:rPr>
        <w:t>。</w:t>
      </w:r>
    </w:p>
    <w:p w14:paraId="0D17428D">
      <w:pPr>
        <w:pStyle w:val="41"/>
        <w:bidi w:val="0"/>
        <w:rPr>
          <w:rFonts w:hint="default"/>
          <w:color w:val="auto"/>
          <w:lang w:val="en-US"/>
        </w:rPr>
      </w:pPr>
      <w:r>
        <w:rPr>
          <w:rFonts w:hint="eastAsia"/>
          <w:color w:val="auto"/>
          <w:sz w:val="24"/>
          <w:highlight w:val="none"/>
          <w:lang w:val="en-US" w:eastAsia="zh-CN"/>
        </w:rPr>
        <w:t>项目建设一定程度上造成了豹猫栖息地的破碎化和斑块化，项目单台风机的噪声影响范围在400m左右，加之豹猫警惕性强、易受惊吓的特征，项目建成后短期内区域内的豹猫活动会减少。但长期来看，项目所在区域周边有村庄和道路分布，人为活动本就频繁，周边豹猫对人类活动有一定的适应，经历最初对风机的适应阶段后，豹猫能逐渐接受风电场运行的干扰，在区域内正常生活。</w:t>
      </w:r>
    </w:p>
    <w:p w14:paraId="34B6A77F">
      <w:pPr>
        <w:pStyle w:val="41"/>
        <w:bidi w:val="0"/>
        <w:rPr>
          <w:color w:val="auto"/>
        </w:rPr>
      </w:pPr>
      <w:r>
        <w:rPr>
          <w:color w:val="auto"/>
        </w:rPr>
        <w:t>（2）对CITES保护物种的影响</w:t>
      </w:r>
    </w:p>
    <w:p w14:paraId="62114778">
      <w:pPr>
        <w:pStyle w:val="41"/>
        <w:bidi w:val="0"/>
        <w:rPr>
          <w:color w:val="auto"/>
        </w:rPr>
      </w:pPr>
      <w:r>
        <w:rPr>
          <w:color w:val="auto"/>
        </w:rPr>
        <w:t>评价区未记录到的濒危野生动植物种国际贸易公约（CITES）附录</w:t>
      </w:r>
      <w:r>
        <w:rPr>
          <w:rFonts w:hint="eastAsia"/>
          <w:color w:val="auto"/>
          <w:lang w:eastAsia="zh-CN"/>
        </w:rPr>
        <w:t>Ⅱ</w:t>
      </w:r>
      <w:r>
        <w:rPr>
          <w:color w:val="auto"/>
        </w:rPr>
        <w:t>中的两栖、爬行、哺乳动物分布。</w:t>
      </w:r>
    </w:p>
    <w:p w14:paraId="0AEC5EE0">
      <w:pPr>
        <w:pStyle w:val="41"/>
        <w:bidi w:val="0"/>
        <w:rPr>
          <w:color w:val="auto"/>
        </w:rPr>
      </w:pPr>
      <w:r>
        <w:rPr>
          <w:color w:val="auto"/>
        </w:rPr>
        <w:t>（3）对特有物种的影响</w:t>
      </w:r>
    </w:p>
    <w:p w14:paraId="431F898A">
      <w:pPr>
        <w:pStyle w:val="41"/>
        <w:bidi w:val="0"/>
        <w:rPr>
          <w:rFonts w:hint="default"/>
          <w:color w:val="auto"/>
          <w:lang w:val="en-US"/>
        </w:rPr>
      </w:pPr>
      <w:r>
        <w:rPr>
          <w:color w:val="auto"/>
        </w:rPr>
        <w:t>评价区内中国特有物种有华西蟾蜍、滇蛙、多疣狭口蛙、岩松鼠计4种。华西蟾蜍、滇蛙、多疣狭口蛙的活动半径小，活动能力不强。但它们的分布范围</w:t>
      </w:r>
      <w:r>
        <w:rPr>
          <w:rFonts w:hint="eastAsia"/>
          <w:color w:val="auto"/>
          <w:lang w:eastAsia="zh-CN"/>
        </w:rPr>
        <w:t>极其</w:t>
      </w:r>
      <w:r>
        <w:rPr>
          <w:color w:val="auto"/>
        </w:rPr>
        <w:t>有限，仅仅在农耕地、水域附近，评价区内这样的生境很少，因此，项目实施对它们影响有限。岩松鼠</w:t>
      </w:r>
      <w:r>
        <w:rPr>
          <w:rFonts w:hint="eastAsia"/>
          <w:color w:val="auto"/>
          <w:lang w:val="en-US" w:eastAsia="zh-CN"/>
        </w:rPr>
        <w:t>常见于林中，项目主要占地类型为草地，对乔木林地的占用较少，且该区域内林地广布，不会造成岩松鼠栖息地的丧失。风电场运营噪声可能会对岩松鼠造成一定影响，但区域内人为活动本就频繁，岩松鼠经过一段时间的适应后能正常生存和繁衍，整体来说对其影响不大。</w:t>
      </w:r>
    </w:p>
    <w:p w14:paraId="7196C0B9">
      <w:pPr>
        <w:pStyle w:val="41"/>
        <w:bidi w:val="0"/>
        <w:rPr>
          <w:color w:val="auto"/>
        </w:rPr>
      </w:pPr>
      <w:r>
        <w:rPr>
          <w:color w:val="auto"/>
        </w:rPr>
        <w:t>总之，项目实施对陆栖脊椎动物有一定影响，从整体上说，将使动物的栖息和活动场所</w:t>
      </w:r>
      <w:r>
        <w:rPr>
          <w:rFonts w:hint="eastAsia"/>
          <w:color w:val="auto"/>
          <w:lang w:val="en-US" w:eastAsia="zh-CN"/>
        </w:rPr>
        <w:t>有所</w:t>
      </w:r>
      <w:r>
        <w:rPr>
          <w:color w:val="auto"/>
        </w:rPr>
        <w:t>缩小</w:t>
      </w:r>
      <w:r>
        <w:rPr>
          <w:rFonts w:hint="eastAsia"/>
          <w:color w:val="auto"/>
          <w:lang w:eastAsia="zh-CN"/>
        </w:rPr>
        <w:t>，</w:t>
      </w:r>
      <w:r>
        <w:rPr>
          <w:color w:val="auto"/>
        </w:rPr>
        <w:t>少数动物的繁殖</w:t>
      </w:r>
      <w:r>
        <w:rPr>
          <w:rFonts w:hint="eastAsia"/>
          <w:color w:val="auto"/>
          <w:lang w:val="en-US" w:eastAsia="zh-CN"/>
        </w:rPr>
        <w:t>短期内</w:t>
      </w:r>
      <w:r>
        <w:rPr>
          <w:color w:val="auto"/>
        </w:rPr>
        <w:t>有可能受到一定影响。结果迫使原栖息在这一带的动物迁往其他生境适宜的地区，但不会导致任何物种的消失。两栖类动物会受到一定影响，种群在一段时间内将会有大的波动，最后随着工程建设的结束，生态环境逐渐恢复，种群又会逐渐恢复。整个项目实施对野生动物影响以间接影响为主，对这些动物产生的影响不会导致其在当地的灭绝和密度大幅下降。</w:t>
      </w:r>
    </w:p>
    <w:p w14:paraId="3087EAB7">
      <w:pPr>
        <w:pStyle w:val="41"/>
        <w:bidi w:val="0"/>
        <w:rPr>
          <w:color w:val="auto"/>
          <w:highlight w:val="none"/>
        </w:rPr>
      </w:pPr>
      <w:r>
        <w:rPr>
          <w:color w:val="auto"/>
          <w:highlight w:val="none"/>
        </w:rPr>
        <w:t>（4）对保护鸟类的影响</w:t>
      </w:r>
    </w:p>
    <w:p w14:paraId="15E0AABD">
      <w:pPr>
        <w:pStyle w:val="41"/>
        <w:bidi w:val="0"/>
        <w:rPr>
          <w:color w:val="auto"/>
          <w:highlight w:val="yellow"/>
        </w:rPr>
      </w:pPr>
      <w:r>
        <w:rPr>
          <w:rFonts w:hint="eastAsia"/>
          <w:color w:val="auto"/>
          <w:highlight w:val="none"/>
          <w:lang w:eastAsia="zh-CN"/>
        </w:rPr>
        <w:t>调查区共记录重要鸟类</w:t>
      </w:r>
      <w:r>
        <w:rPr>
          <w:rFonts w:hint="eastAsia"/>
          <w:color w:val="auto"/>
          <w:highlight w:val="none"/>
          <w:lang w:val="en-US" w:eastAsia="zh-CN"/>
        </w:rPr>
        <w:t>10</w:t>
      </w:r>
      <w:r>
        <w:rPr>
          <w:rFonts w:hint="eastAsia"/>
          <w:color w:val="auto"/>
          <w:highlight w:val="none"/>
          <w:lang w:eastAsia="zh-CN"/>
        </w:rPr>
        <w:t>种，其中猛禽</w:t>
      </w:r>
      <w:r>
        <w:rPr>
          <w:rFonts w:hint="eastAsia"/>
          <w:color w:val="auto"/>
          <w:highlight w:val="none"/>
          <w:lang w:val="en-US" w:eastAsia="zh-CN"/>
        </w:rPr>
        <w:t>7</w:t>
      </w:r>
      <w:r>
        <w:rPr>
          <w:rFonts w:hint="eastAsia"/>
          <w:color w:val="auto"/>
          <w:highlight w:val="none"/>
          <w:lang w:eastAsia="zh-CN"/>
        </w:rPr>
        <w:t>种。</w:t>
      </w:r>
      <w:r>
        <w:rPr>
          <w:rFonts w:hint="eastAsia"/>
          <w:color w:val="auto"/>
          <w:highlight w:val="none"/>
          <w:lang w:val="en-US" w:eastAsia="zh-CN"/>
        </w:rPr>
        <w:t>理论而言，风电场的建设对项目区内诸如凤头鹰、白尾鹞、普通鵟、红隼、游隼等猛禽的影响较大，项目建成后猛禽在飞迁的过程中可能会发生“鸟撞”事故，此外，风机转动对周边气流的干扰可能会影响猛禽的正常飞行。但</w:t>
      </w:r>
      <w:r>
        <w:rPr>
          <w:rFonts w:hint="eastAsia"/>
          <w:color w:val="auto"/>
          <w:highlight w:val="none"/>
          <w:lang w:eastAsia="zh-CN"/>
        </w:rPr>
        <w:t>根据云南已建风电场对比，昼行性猛禽鸟撞风机的现象概率较低。夜行性猛禽由于数量稀少且均具有较大的领域范围，鸟撞风机的概率亦不高。对于白腹锦鸡、红嘴相思鸟和白领凤鹛，这些鸟类以地栖或灌草丛活动为主，基本不会造成鸟撞影响，影响主要为施工干扰和风机噪声干扰，因其具有较强的迁移能力，且调查区及周边相似生境分布广泛，受干扰后能主动避让干扰源。</w:t>
      </w:r>
    </w:p>
    <w:p w14:paraId="76DCB824">
      <w:pPr>
        <w:pStyle w:val="3"/>
        <w:bidi w:val="0"/>
        <w:rPr>
          <w:color w:val="auto"/>
        </w:rPr>
      </w:pPr>
      <w:r>
        <w:rPr>
          <w:rFonts w:hint="eastAsia"/>
          <w:color w:val="auto"/>
          <w:lang w:val="en-US" w:eastAsia="zh-CN"/>
        </w:rPr>
        <w:t>4.3</w:t>
      </w:r>
      <w:r>
        <w:rPr>
          <w:rFonts w:hint="eastAsia"/>
          <w:color w:val="auto"/>
        </w:rPr>
        <w:t>生态系统的影响分析</w:t>
      </w:r>
    </w:p>
    <w:p w14:paraId="65C9C928">
      <w:pPr>
        <w:spacing w:line="360" w:lineRule="auto"/>
        <w:ind w:firstLine="480" w:firstLineChars="200"/>
        <w:rPr>
          <w:color w:val="auto"/>
          <w:sz w:val="24"/>
          <w:highlight w:val="none"/>
        </w:rPr>
      </w:pPr>
      <w:r>
        <w:rPr>
          <w:rFonts w:hint="eastAsia"/>
          <w:color w:val="auto"/>
          <w:sz w:val="24"/>
          <w:highlight w:val="none"/>
          <w:lang w:val="en-US" w:eastAsia="zh-CN"/>
        </w:rPr>
        <w:t>项目建成后，明确了建设单位的责任和义务，通过加强环境保护宣传和管理，对项目区生态系统的恢复和保护是有利的。尤其是风机平台、场内道路等逐渐实现植被恢复，区域森林生态系统的完整性和整体性可以得到恢复。此外，本项目的植被恢复采用乡土树种，可避免外来不良物种入侵和病虫害的影响导致生态系统失稳。因此，本项目建设不会降低区域生态系统稳定性。</w:t>
      </w:r>
    </w:p>
    <w:p w14:paraId="1A39FA5E">
      <w:pPr>
        <w:pStyle w:val="3"/>
        <w:bidi w:val="0"/>
        <w:rPr>
          <w:rFonts w:hint="eastAsia"/>
          <w:color w:val="auto"/>
          <w:lang w:val="en-US" w:eastAsia="zh-CN"/>
        </w:rPr>
      </w:pPr>
      <w:r>
        <w:rPr>
          <w:rFonts w:hint="eastAsia"/>
          <w:color w:val="auto"/>
          <w:lang w:val="en-US" w:eastAsia="zh-CN"/>
        </w:rPr>
        <w:t>4.4对景观的影响</w:t>
      </w:r>
    </w:p>
    <w:p w14:paraId="773382EE">
      <w:pPr>
        <w:spacing w:line="360" w:lineRule="auto"/>
        <w:ind w:firstLine="480" w:firstLineChars="200"/>
        <w:jc w:val="left"/>
        <w:rPr>
          <w:rFonts w:hint="eastAsia"/>
          <w:color w:val="auto"/>
          <w:sz w:val="24"/>
          <w:highlight w:val="none"/>
          <w:lang w:val="en-US" w:eastAsia="zh-CN"/>
        </w:rPr>
      </w:pPr>
      <w:r>
        <w:rPr>
          <w:rFonts w:hint="eastAsia"/>
          <w:color w:val="auto"/>
          <w:sz w:val="24"/>
          <w:highlight w:val="none"/>
          <w:lang w:val="en-US" w:eastAsia="zh-CN"/>
        </w:rPr>
        <w:t>建设项目施工期对评价区景观生态的影响主要表现在主体工程和临时施工占地对景观生态组成格局的影响，以及风电场建成后对自然景观分割带来的结构稳定性影响等。工程评价区的景观类型分为自然景观和人工景观两大类，自然景观包括森林、灌丛和草地景观。总面积约894.5127</w:t>
      </w:r>
      <w:r>
        <w:rPr>
          <w:rFonts w:hint="default"/>
          <w:color w:val="auto"/>
          <w:sz w:val="24"/>
          <w:highlight w:val="none"/>
          <w:lang w:val="en-US" w:eastAsia="zh-CN"/>
        </w:rPr>
        <w:t>hm</w:t>
      </w:r>
      <w:r>
        <w:rPr>
          <w:rFonts w:hint="default"/>
          <w:color w:val="auto"/>
          <w:sz w:val="24"/>
          <w:highlight w:val="none"/>
          <w:vertAlign w:val="superscript"/>
          <w:lang w:val="en-US" w:eastAsia="zh-CN"/>
        </w:rPr>
        <w:t>2</w:t>
      </w:r>
      <w:r>
        <w:rPr>
          <w:rFonts w:hint="eastAsia"/>
          <w:color w:val="auto"/>
          <w:sz w:val="24"/>
          <w:highlight w:val="none"/>
          <w:lang w:val="en-US" w:eastAsia="zh-CN"/>
        </w:rPr>
        <w:t>，占评价区面积的78.78</w:t>
      </w:r>
      <w:r>
        <w:rPr>
          <w:rFonts w:hint="default"/>
          <w:color w:val="auto"/>
          <w:sz w:val="24"/>
          <w:highlight w:val="none"/>
          <w:lang w:val="en-US" w:eastAsia="zh-CN"/>
        </w:rPr>
        <w:t>%</w:t>
      </w:r>
      <w:r>
        <w:rPr>
          <w:rFonts w:hint="eastAsia"/>
          <w:color w:val="auto"/>
          <w:sz w:val="24"/>
          <w:highlight w:val="none"/>
          <w:lang w:val="en-US" w:eastAsia="zh-CN"/>
        </w:rPr>
        <w:t>。人工景观包括农田景观、村庄景观、水域景观等，总面积约240.8824</w:t>
      </w:r>
      <w:r>
        <w:rPr>
          <w:rFonts w:hint="default"/>
          <w:color w:val="auto"/>
          <w:sz w:val="24"/>
          <w:highlight w:val="none"/>
          <w:lang w:val="en-US" w:eastAsia="zh-CN"/>
        </w:rPr>
        <w:t>hm</w:t>
      </w:r>
      <w:r>
        <w:rPr>
          <w:rFonts w:hint="default"/>
          <w:color w:val="auto"/>
          <w:sz w:val="24"/>
          <w:highlight w:val="none"/>
          <w:vertAlign w:val="superscript"/>
          <w:lang w:val="en-US" w:eastAsia="zh-CN"/>
        </w:rPr>
        <w:t>2</w:t>
      </w:r>
      <w:r>
        <w:rPr>
          <w:rFonts w:hint="eastAsia"/>
          <w:color w:val="auto"/>
          <w:sz w:val="24"/>
          <w:highlight w:val="none"/>
          <w:lang w:val="en-US" w:eastAsia="zh-CN"/>
        </w:rPr>
        <w:t>，占评价区面积的21.22</w:t>
      </w:r>
      <w:r>
        <w:rPr>
          <w:rFonts w:hint="default"/>
          <w:color w:val="auto"/>
          <w:sz w:val="24"/>
          <w:highlight w:val="none"/>
          <w:lang w:val="en-US" w:eastAsia="zh-CN"/>
        </w:rPr>
        <w:t>%</w:t>
      </w:r>
      <w:r>
        <w:rPr>
          <w:rFonts w:hint="eastAsia"/>
          <w:color w:val="auto"/>
          <w:sz w:val="24"/>
          <w:highlight w:val="none"/>
          <w:lang w:val="en-US" w:eastAsia="zh-CN"/>
        </w:rPr>
        <w:t>。该项目建成后，评价区自然景观面积减少0.1596</w:t>
      </w:r>
      <w:r>
        <w:rPr>
          <w:rFonts w:hint="default"/>
          <w:color w:val="auto"/>
          <w:sz w:val="24"/>
          <w:highlight w:val="none"/>
          <w:lang w:val="en-US" w:eastAsia="zh-CN"/>
        </w:rPr>
        <w:t>hm</w:t>
      </w:r>
      <w:r>
        <w:rPr>
          <w:rFonts w:hint="default"/>
          <w:color w:val="auto"/>
          <w:sz w:val="24"/>
          <w:highlight w:val="none"/>
          <w:vertAlign w:val="superscript"/>
          <w:lang w:val="en-US" w:eastAsia="zh-CN"/>
        </w:rPr>
        <w:t>2</w:t>
      </w:r>
      <w:r>
        <w:rPr>
          <w:rFonts w:hint="eastAsia"/>
          <w:color w:val="auto"/>
          <w:sz w:val="24"/>
          <w:highlight w:val="none"/>
          <w:lang w:val="en-US" w:eastAsia="zh-CN"/>
        </w:rPr>
        <w:t>，自然景观变化率（减少率）为</w:t>
      </w:r>
      <w:r>
        <w:rPr>
          <w:rFonts w:hint="default"/>
          <w:color w:val="auto"/>
          <w:sz w:val="24"/>
          <w:highlight w:val="none"/>
          <w:lang w:val="en-US" w:eastAsia="zh-CN"/>
        </w:rPr>
        <w:t>0.</w:t>
      </w:r>
      <w:r>
        <w:rPr>
          <w:rFonts w:hint="eastAsia"/>
          <w:color w:val="auto"/>
          <w:sz w:val="24"/>
          <w:highlight w:val="none"/>
          <w:lang w:val="en-US" w:eastAsia="zh-CN"/>
        </w:rPr>
        <w:t>019</w:t>
      </w:r>
      <w:r>
        <w:rPr>
          <w:rFonts w:hint="default"/>
          <w:color w:val="auto"/>
          <w:sz w:val="24"/>
          <w:highlight w:val="none"/>
          <w:lang w:val="en-US" w:eastAsia="zh-CN"/>
        </w:rPr>
        <w:t>%</w:t>
      </w:r>
      <w:r>
        <w:rPr>
          <w:rFonts w:hint="eastAsia"/>
          <w:color w:val="auto"/>
          <w:sz w:val="24"/>
          <w:highlight w:val="none"/>
          <w:lang w:val="en-US" w:eastAsia="zh-CN"/>
        </w:rPr>
        <w:t>；其中森林景观减少0.0055</w:t>
      </w:r>
      <w:r>
        <w:rPr>
          <w:rFonts w:hint="default"/>
          <w:color w:val="auto"/>
          <w:sz w:val="24"/>
          <w:highlight w:val="none"/>
          <w:lang w:val="en-US" w:eastAsia="zh-CN"/>
        </w:rPr>
        <w:t>hm</w:t>
      </w:r>
      <w:r>
        <w:rPr>
          <w:rFonts w:hint="default"/>
          <w:color w:val="auto"/>
          <w:sz w:val="24"/>
          <w:highlight w:val="none"/>
          <w:vertAlign w:val="superscript"/>
          <w:lang w:val="en-US" w:eastAsia="zh-CN"/>
        </w:rPr>
        <w:t>2</w:t>
      </w:r>
      <w:r>
        <w:rPr>
          <w:rFonts w:hint="eastAsia"/>
          <w:color w:val="auto"/>
          <w:sz w:val="24"/>
          <w:highlight w:val="none"/>
          <w:vertAlign w:val="baseline"/>
          <w:lang w:val="en-US" w:eastAsia="zh-CN"/>
        </w:rPr>
        <w:t>、</w:t>
      </w:r>
      <w:r>
        <w:rPr>
          <w:rFonts w:hint="eastAsia"/>
          <w:color w:val="auto"/>
          <w:sz w:val="24"/>
          <w:highlight w:val="none"/>
          <w:lang w:val="en-US" w:eastAsia="zh-CN"/>
        </w:rPr>
        <w:t>草地景观减少0.1541</w:t>
      </w:r>
      <w:r>
        <w:rPr>
          <w:rFonts w:hint="default"/>
          <w:color w:val="auto"/>
          <w:sz w:val="24"/>
          <w:highlight w:val="none"/>
          <w:lang w:val="en-US" w:eastAsia="zh-CN"/>
        </w:rPr>
        <w:t>hm</w:t>
      </w:r>
      <w:r>
        <w:rPr>
          <w:rFonts w:hint="default"/>
          <w:color w:val="auto"/>
          <w:sz w:val="24"/>
          <w:highlight w:val="none"/>
          <w:vertAlign w:val="superscript"/>
          <w:lang w:val="en-US" w:eastAsia="zh-CN"/>
        </w:rPr>
        <w:t>2</w:t>
      </w:r>
      <w:r>
        <w:rPr>
          <w:rFonts w:hint="eastAsia"/>
          <w:color w:val="auto"/>
          <w:sz w:val="24"/>
          <w:highlight w:val="none"/>
          <w:lang w:val="en-US" w:eastAsia="zh-CN"/>
        </w:rPr>
        <w:t>，其减少率分别为0.001</w:t>
      </w:r>
      <w:r>
        <w:rPr>
          <w:rFonts w:hint="default"/>
          <w:color w:val="auto"/>
          <w:sz w:val="24"/>
          <w:highlight w:val="none"/>
          <w:lang w:val="en-US" w:eastAsia="zh-CN"/>
        </w:rPr>
        <w:t>%</w:t>
      </w:r>
      <w:r>
        <w:rPr>
          <w:rFonts w:hint="eastAsia"/>
          <w:color w:val="auto"/>
          <w:sz w:val="24"/>
          <w:highlight w:val="none"/>
          <w:lang w:val="en-US" w:eastAsia="zh-CN"/>
        </w:rPr>
        <w:t>和</w:t>
      </w:r>
      <w:r>
        <w:rPr>
          <w:rFonts w:hint="default"/>
          <w:color w:val="auto"/>
          <w:sz w:val="24"/>
          <w:highlight w:val="none"/>
          <w:lang w:val="en-US" w:eastAsia="zh-CN"/>
        </w:rPr>
        <w:t>0.</w:t>
      </w:r>
      <w:r>
        <w:rPr>
          <w:rFonts w:hint="eastAsia"/>
          <w:color w:val="auto"/>
          <w:sz w:val="24"/>
          <w:highlight w:val="none"/>
          <w:lang w:val="en-US" w:eastAsia="zh-CN"/>
        </w:rPr>
        <w:t>139</w:t>
      </w:r>
      <w:r>
        <w:rPr>
          <w:rFonts w:hint="default"/>
          <w:color w:val="auto"/>
          <w:sz w:val="24"/>
          <w:highlight w:val="none"/>
          <w:lang w:val="en-US" w:eastAsia="zh-CN"/>
        </w:rPr>
        <w:t>%</w:t>
      </w:r>
      <w:r>
        <w:rPr>
          <w:rFonts w:hint="eastAsia"/>
          <w:color w:val="auto"/>
          <w:sz w:val="24"/>
          <w:highlight w:val="none"/>
          <w:lang w:val="en-US" w:eastAsia="zh-CN"/>
        </w:rPr>
        <w:t>。工程建设后，评价区人工景观中</w:t>
      </w:r>
      <w:r>
        <w:rPr>
          <w:rFonts w:hint="eastAsia"/>
          <w:color w:val="auto"/>
          <w:sz w:val="24"/>
          <w:szCs w:val="24"/>
          <w:highlight w:val="none"/>
          <w:vertAlign w:val="baseline"/>
          <w:lang w:val="en-US" w:eastAsia="zh-CN"/>
        </w:rPr>
        <w:t>工矿交通景观</w:t>
      </w:r>
      <w:r>
        <w:rPr>
          <w:rFonts w:hint="eastAsia"/>
          <w:color w:val="auto"/>
          <w:sz w:val="24"/>
          <w:highlight w:val="none"/>
          <w:lang w:val="en-US" w:eastAsia="zh-CN"/>
        </w:rPr>
        <w:t>面积增加0.1596</w:t>
      </w:r>
      <w:r>
        <w:rPr>
          <w:rFonts w:hint="default"/>
          <w:color w:val="auto"/>
          <w:sz w:val="24"/>
          <w:highlight w:val="none"/>
          <w:lang w:val="en-US" w:eastAsia="zh-CN"/>
        </w:rPr>
        <w:t>hm</w:t>
      </w:r>
      <w:r>
        <w:rPr>
          <w:rFonts w:hint="default"/>
          <w:color w:val="auto"/>
          <w:sz w:val="24"/>
          <w:highlight w:val="none"/>
          <w:vertAlign w:val="superscript"/>
          <w:lang w:val="en-US" w:eastAsia="zh-CN"/>
        </w:rPr>
        <w:t>2</w:t>
      </w:r>
      <w:r>
        <w:rPr>
          <w:rFonts w:hint="eastAsia"/>
          <w:color w:val="auto"/>
          <w:sz w:val="24"/>
          <w:highlight w:val="none"/>
          <w:lang w:val="en-US" w:eastAsia="zh-CN"/>
        </w:rPr>
        <w:t>，使评价区的人工景观面积由工程前的240.8824</w:t>
      </w:r>
      <w:r>
        <w:rPr>
          <w:rFonts w:hint="default"/>
          <w:color w:val="auto"/>
          <w:sz w:val="24"/>
          <w:highlight w:val="none"/>
          <w:lang w:val="en-US" w:eastAsia="zh-CN"/>
        </w:rPr>
        <w:t>hm</w:t>
      </w:r>
      <w:r>
        <w:rPr>
          <w:rFonts w:hint="default"/>
          <w:color w:val="auto"/>
          <w:sz w:val="24"/>
          <w:highlight w:val="none"/>
          <w:vertAlign w:val="superscript"/>
          <w:lang w:val="en-US" w:eastAsia="zh-CN"/>
        </w:rPr>
        <w:t>2</w:t>
      </w:r>
      <w:r>
        <w:rPr>
          <w:rFonts w:hint="eastAsia"/>
          <w:color w:val="auto"/>
          <w:sz w:val="24"/>
          <w:highlight w:val="none"/>
          <w:lang w:val="en-US" w:eastAsia="zh-CN"/>
        </w:rPr>
        <w:t>，增加为工程后的241.0420</w:t>
      </w:r>
      <w:r>
        <w:rPr>
          <w:rFonts w:hint="default"/>
          <w:color w:val="auto"/>
          <w:sz w:val="24"/>
          <w:highlight w:val="none"/>
          <w:lang w:val="en-US" w:eastAsia="zh-CN"/>
        </w:rPr>
        <w:t>hm</w:t>
      </w:r>
      <w:r>
        <w:rPr>
          <w:rFonts w:hint="default"/>
          <w:color w:val="auto"/>
          <w:sz w:val="24"/>
          <w:highlight w:val="none"/>
          <w:vertAlign w:val="superscript"/>
          <w:lang w:val="en-US" w:eastAsia="zh-CN"/>
        </w:rPr>
        <w:t>2</w:t>
      </w:r>
      <w:r>
        <w:rPr>
          <w:rFonts w:hint="eastAsia"/>
          <w:color w:val="auto"/>
          <w:sz w:val="24"/>
          <w:highlight w:val="none"/>
          <w:lang w:val="en-US" w:eastAsia="zh-CN"/>
        </w:rPr>
        <w:t>，评价区人工景观面积增加率为0.014</w:t>
      </w:r>
      <w:r>
        <w:rPr>
          <w:rFonts w:hint="default"/>
          <w:color w:val="auto"/>
          <w:sz w:val="24"/>
          <w:highlight w:val="none"/>
          <w:lang w:val="en-US" w:eastAsia="zh-CN"/>
        </w:rPr>
        <w:t>%</w:t>
      </w:r>
      <w:r>
        <w:rPr>
          <w:rFonts w:hint="eastAsia"/>
          <w:color w:val="auto"/>
          <w:sz w:val="24"/>
          <w:highlight w:val="none"/>
          <w:lang w:val="en-US" w:eastAsia="zh-CN"/>
        </w:rPr>
        <w:t>。人工景观中，4个风机机组区及吊装平台占地面积较大，这些风机机组区之间由施工道路相连接，使风电场工程区的景观形成显著公路路网及风机机组景观特征。工程建设对评价区景观格局和景观生态系统的影响较小。</w:t>
      </w:r>
    </w:p>
    <w:p w14:paraId="50C38672">
      <w:pPr>
        <w:spacing w:line="360" w:lineRule="auto"/>
        <w:ind w:firstLine="482" w:firstLineChars="200"/>
        <w:jc w:val="center"/>
        <w:rPr>
          <w:rFonts w:hint="eastAsia"/>
          <w:b/>
          <w:bCs/>
          <w:color w:val="auto"/>
          <w:sz w:val="24"/>
          <w:highlight w:val="none"/>
          <w:vertAlign w:val="superscript"/>
          <w:lang w:val="en-US" w:eastAsia="zh-CN"/>
        </w:rPr>
      </w:pPr>
      <w:r>
        <w:rPr>
          <w:rFonts w:hint="eastAsia"/>
          <w:b/>
          <w:bCs/>
          <w:color w:val="auto"/>
          <w:sz w:val="24"/>
          <w:highlight w:val="none"/>
          <w:lang w:val="en-US" w:eastAsia="zh-CN"/>
        </w:rPr>
        <w:t>表3—5  对评价区景观生态的影响  单位：hm</w:t>
      </w:r>
      <w:r>
        <w:rPr>
          <w:rFonts w:hint="eastAsia"/>
          <w:b/>
          <w:bCs/>
          <w:color w:val="auto"/>
          <w:sz w:val="24"/>
          <w:highlight w:val="none"/>
          <w:vertAlign w:val="superscript"/>
          <w:lang w:val="en-US" w:eastAsia="zh-CN"/>
        </w:rPr>
        <w:t>2</w:t>
      </w:r>
    </w:p>
    <w:tbl>
      <w:tblPr>
        <w:tblStyle w:val="20"/>
        <w:tblW w:w="8761" w:type="dxa"/>
        <w:tblInd w:w="93"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01"/>
        <w:gridCol w:w="1359"/>
        <w:gridCol w:w="1335"/>
        <w:gridCol w:w="1335"/>
        <w:gridCol w:w="1335"/>
        <w:gridCol w:w="1320"/>
        <w:gridCol w:w="1276"/>
      </w:tblGrid>
      <w:tr w14:paraId="0FA9AD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88" w:hRule="atLeast"/>
        </w:trPr>
        <w:tc>
          <w:tcPr>
            <w:tcW w:w="2160" w:type="dxa"/>
            <w:gridSpan w:val="2"/>
            <w:tcBorders>
              <w:tl2br w:val="nil"/>
              <w:tr2bl w:val="nil"/>
            </w:tcBorders>
            <w:shd w:val="clear" w:color="auto" w:fill="auto"/>
            <w:vAlign w:val="center"/>
          </w:tcPr>
          <w:p w14:paraId="797414CB">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景观类型</w:t>
            </w:r>
          </w:p>
        </w:tc>
        <w:tc>
          <w:tcPr>
            <w:tcW w:w="1335" w:type="dxa"/>
            <w:tcBorders>
              <w:tl2br w:val="nil"/>
              <w:tr2bl w:val="nil"/>
            </w:tcBorders>
            <w:shd w:val="clear" w:color="auto" w:fill="auto"/>
            <w:vAlign w:val="center"/>
          </w:tcPr>
          <w:p w14:paraId="4A59BE40">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施工前面积</w:t>
            </w:r>
          </w:p>
        </w:tc>
        <w:tc>
          <w:tcPr>
            <w:tcW w:w="1335" w:type="dxa"/>
            <w:tcBorders>
              <w:tl2br w:val="nil"/>
              <w:tr2bl w:val="nil"/>
            </w:tcBorders>
            <w:shd w:val="clear" w:color="auto" w:fill="auto"/>
            <w:vAlign w:val="center"/>
          </w:tcPr>
          <w:p w14:paraId="26FBD2A0">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占比</w:t>
            </w:r>
          </w:p>
        </w:tc>
        <w:tc>
          <w:tcPr>
            <w:tcW w:w="1335" w:type="dxa"/>
            <w:tcBorders>
              <w:tl2br w:val="nil"/>
              <w:tr2bl w:val="nil"/>
            </w:tcBorders>
            <w:shd w:val="clear" w:color="auto" w:fill="auto"/>
            <w:vAlign w:val="center"/>
          </w:tcPr>
          <w:p w14:paraId="47B5BCBD">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施工后面积</w:t>
            </w:r>
          </w:p>
        </w:tc>
        <w:tc>
          <w:tcPr>
            <w:tcW w:w="1320" w:type="dxa"/>
            <w:tcBorders>
              <w:tl2br w:val="nil"/>
              <w:tr2bl w:val="nil"/>
            </w:tcBorders>
            <w:shd w:val="clear" w:color="auto" w:fill="auto"/>
            <w:vAlign w:val="center"/>
          </w:tcPr>
          <w:p w14:paraId="008F4A7C">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变化量</w:t>
            </w:r>
          </w:p>
        </w:tc>
        <w:tc>
          <w:tcPr>
            <w:tcW w:w="1276" w:type="dxa"/>
            <w:tcBorders>
              <w:tl2br w:val="nil"/>
              <w:tr2bl w:val="nil"/>
            </w:tcBorders>
            <w:shd w:val="clear" w:color="auto" w:fill="auto"/>
            <w:vAlign w:val="center"/>
          </w:tcPr>
          <w:p w14:paraId="509DF8CF">
            <w:pPr>
              <w:keepNext w:val="0"/>
              <w:keepLines w:val="0"/>
              <w:widowControl/>
              <w:suppressLineNumbers w:val="0"/>
              <w:jc w:val="center"/>
              <w:textAlignment w:val="top"/>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变化率</w:t>
            </w:r>
            <w:r>
              <w:rPr>
                <w:rFonts w:hint="default" w:ascii="Times New Roman" w:hAnsi="Times New Roman" w:eastAsia="宋体" w:cs="Times New Roman"/>
                <w:i w:val="0"/>
                <w:iCs w:val="0"/>
                <w:color w:val="auto"/>
                <w:kern w:val="0"/>
                <w:sz w:val="21"/>
                <w:szCs w:val="21"/>
                <w:u w:val="none"/>
                <w:lang w:val="en-US" w:eastAsia="zh-CN" w:bidi="ar"/>
              </w:rPr>
              <w:t>%</w:t>
            </w:r>
          </w:p>
        </w:tc>
      </w:tr>
      <w:tr w14:paraId="4C1C11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1" w:type="dxa"/>
            <w:vMerge w:val="restart"/>
            <w:tcBorders>
              <w:tl2br w:val="nil"/>
              <w:tr2bl w:val="nil"/>
            </w:tcBorders>
            <w:shd w:val="clear" w:color="auto" w:fill="auto"/>
            <w:vAlign w:val="center"/>
          </w:tcPr>
          <w:p w14:paraId="5A50AE00">
            <w:pPr>
              <w:pStyle w:val="34"/>
              <w:tabs>
                <w:tab w:val="left" w:pos="1389"/>
              </w:tabs>
              <w:bidi w:val="0"/>
              <w:rPr>
                <w:rFonts w:hint="eastAsia"/>
                <w:color w:val="auto"/>
              </w:rPr>
            </w:pPr>
            <w:r>
              <w:rPr>
                <w:rFonts w:hint="eastAsia"/>
                <w:color w:val="auto"/>
                <w:lang w:val="en-US" w:eastAsia="zh-CN"/>
              </w:rPr>
              <w:t>自然景观</w:t>
            </w:r>
          </w:p>
        </w:tc>
        <w:tc>
          <w:tcPr>
            <w:tcW w:w="1359" w:type="dxa"/>
            <w:tcBorders>
              <w:tl2br w:val="nil"/>
              <w:tr2bl w:val="nil"/>
            </w:tcBorders>
            <w:shd w:val="clear" w:color="auto" w:fill="auto"/>
            <w:vAlign w:val="center"/>
          </w:tcPr>
          <w:p w14:paraId="4842BE0D">
            <w:pPr>
              <w:pStyle w:val="34"/>
              <w:tabs>
                <w:tab w:val="left" w:pos="1389"/>
              </w:tabs>
              <w:bidi w:val="0"/>
              <w:rPr>
                <w:rFonts w:hint="eastAsia"/>
                <w:color w:val="auto"/>
              </w:rPr>
            </w:pPr>
            <w:r>
              <w:rPr>
                <w:rFonts w:hint="eastAsia"/>
                <w:color w:val="auto"/>
                <w:lang w:val="en-US" w:eastAsia="zh-CN"/>
              </w:rPr>
              <w:t>森林景观</w:t>
            </w:r>
          </w:p>
        </w:tc>
        <w:tc>
          <w:tcPr>
            <w:tcW w:w="1335" w:type="dxa"/>
            <w:tcBorders>
              <w:tl2br w:val="nil"/>
              <w:tr2bl w:val="nil"/>
            </w:tcBorders>
            <w:shd w:val="clear" w:color="auto" w:fill="auto"/>
            <w:vAlign w:val="center"/>
          </w:tcPr>
          <w:p w14:paraId="77917C56">
            <w:pPr>
              <w:pStyle w:val="34"/>
              <w:tabs>
                <w:tab w:val="left" w:pos="1389"/>
              </w:tabs>
              <w:bidi w:val="0"/>
              <w:rPr>
                <w:rFonts w:hint="default"/>
                <w:color w:val="auto"/>
              </w:rPr>
            </w:pPr>
            <w:r>
              <w:rPr>
                <w:rFonts w:hint="default"/>
                <w:color w:val="auto"/>
                <w:lang w:val="en-US" w:eastAsia="zh-CN"/>
              </w:rPr>
              <w:t>756.4790</w:t>
            </w:r>
          </w:p>
        </w:tc>
        <w:tc>
          <w:tcPr>
            <w:tcW w:w="1335" w:type="dxa"/>
            <w:tcBorders>
              <w:tl2br w:val="nil"/>
              <w:tr2bl w:val="nil"/>
            </w:tcBorders>
            <w:shd w:val="clear" w:color="auto" w:fill="auto"/>
            <w:vAlign w:val="top"/>
          </w:tcPr>
          <w:p w14:paraId="6538B6BC">
            <w:pPr>
              <w:pStyle w:val="34"/>
              <w:tabs>
                <w:tab w:val="left" w:pos="1389"/>
              </w:tabs>
              <w:bidi w:val="0"/>
              <w:rPr>
                <w:rFonts w:hint="default"/>
                <w:color w:val="auto"/>
              </w:rPr>
            </w:pPr>
            <w:r>
              <w:rPr>
                <w:rFonts w:hint="default"/>
                <w:color w:val="auto"/>
                <w:lang w:val="en-US" w:eastAsia="zh-CN"/>
              </w:rPr>
              <w:t>66.63</w:t>
            </w:r>
          </w:p>
        </w:tc>
        <w:tc>
          <w:tcPr>
            <w:tcW w:w="1335" w:type="dxa"/>
            <w:tcBorders>
              <w:tl2br w:val="nil"/>
              <w:tr2bl w:val="nil"/>
            </w:tcBorders>
            <w:shd w:val="clear" w:color="auto" w:fill="auto"/>
            <w:vAlign w:val="center"/>
          </w:tcPr>
          <w:p w14:paraId="64E1CC6A">
            <w:pPr>
              <w:pStyle w:val="34"/>
              <w:tabs>
                <w:tab w:val="left" w:pos="1389"/>
              </w:tabs>
              <w:bidi w:val="0"/>
              <w:rPr>
                <w:rFonts w:hint="default"/>
                <w:color w:val="auto"/>
              </w:rPr>
            </w:pPr>
            <w:r>
              <w:rPr>
                <w:rFonts w:hint="default"/>
                <w:color w:val="auto"/>
                <w:lang w:val="en-US" w:eastAsia="zh-CN"/>
              </w:rPr>
              <w:t>756.4735</w:t>
            </w:r>
          </w:p>
        </w:tc>
        <w:tc>
          <w:tcPr>
            <w:tcW w:w="1320" w:type="dxa"/>
            <w:tcBorders>
              <w:tl2br w:val="nil"/>
              <w:tr2bl w:val="nil"/>
            </w:tcBorders>
            <w:shd w:val="clear" w:color="auto" w:fill="auto"/>
            <w:vAlign w:val="center"/>
          </w:tcPr>
          <w:p w14:paraId="340E054F">
            <w:pPr>
              <w:pStyle w:val="34"/>
              <w:tabs>
                <w:tab w:val="left" w:pos="1389"/>
              </w:tabs>
              <w:bidi w:val="0"/>
              <w:rPr>
                <w:rFonts w:hint="default"/>
                <w:color w:val="auto"/>
              </w:rPr>
            </w:pPr>
            <w:r>
              <w:rPr>
                <w:rFonts w:hint="default"/>
                <w:color w:val="auto"/>
                <w:lang w:val="en-US" w:eastAsia="zh-CN"/>
              </w:rPr>
              <w:t>-0.0055</w:t>
            </w:r>
          </w:p>
        </w:tc>
        <w:tc>
          <w:tcPr>
            <w:tcW w:w="1276" w:type="dxa"/>
            <w:tcBorders>
              <w:tl2br w:val="nil"/>
              <w:tr2bl w:val="nil"/>
            </w:tcBorders>
            <w:shd w:val="clear" w:color="auto" w:fill="auto"/>
            <w:vAlign w:val="center"/>
          </w:tcPr>
          <w:p w14:paraId="1DF4FDA7">
            <w:pPr>
              <w:pStyle w:val="34"/>
              <w:tabs>
                <w:tab w:val="left" w:pos="1389"/>
              </w:tabs>
              <w:bidi w:val="0"/>
              <w:rPr>
                <w:rFonts w:hint="default"/>
                <w:color w:val="auto"/>
              </w:rPr>
            </w:pPr>
            <w:r>
              <w:rPr>
                <w:rFonts w:hint="default"/>
                <w:color w:val="auto"/>
                <w:lang w:val="en-US" w:eastAsia="zh-CN"/>
              </w:rPr>
              <w:t>-0.001</w:t>
            </w:r>
          </w:p>
        </w:tc>
      </w:tr>
      <w:tr w14:paraId="0CDC14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01" w:type="dxa"/>
            <w:vMerge w:val="continue"/>
            <w:tcBorders>
              <w:tl2br w:val="nil"/>
              <w:tr2bl w:val="nil"/>
            </w:tcBorders>
            <w:shd w:val="clear" w:color="auto" w:fill="auto"/>
            <w:vAlign w:val="center"/>
          </w:tcPr>
          <w:p w14:paraId="0F5790B3">
            <w:pPr>
              <w:pStyle w:val="34"/>
              <w:tabs>
                <w:tab w:val="left" w:pos="1389"/>
              </w:tabs>
              <w:bidi w:val="0"/>
              <w:rPr>
                <w:rFonts w:hint="eastAsia"/>
                <w:color w:val="auto"/>
              </w:rPr>
            </w:pPr>
          </w:p>
        </w:tc>
        <w:tc>
          <w:tcPr>
            <w:tcW w:w="1359" w:type="dxa"/>
            <w:tcBorders>
              <w:tl2br w:val="nil"/>
              <w:tr2bl w:val="nil"/>
            </w:tcBorders>
            <w:shd w:val="clear" w:color="auto" w:fill="auto"/>
            <w:vAlign w:val="center"/>
          </w:tcPr>
          <w:p w14:paraId="099DC054">
            <w:pPr>
              <w:pStyle w:val="34"/>
              <w:tabs>
                <w:tab w:val="left" w:pos="1389"/>
              </w:tabs>
              <w:bidi w:val="0"/>
              <w:rPr>
                <w:rFonts w:hint="eastAsia"/>
                <w:color w:val="auto"/>
              </w:rPr>
            </w:pPr>
            <w:r>
              <w:rPr>
                <w:rFonts w:hint="eastAsia"/>
                <w:color w:val="auto"/>
                <w:lang w:val="en-US" w:eastAsia="zh-CN"/>
              </w:rPr>
              <w:t>灌丛景观</w:t>
            </w:r>
          </w:p>
        </w:tc>
        <w:tc>
          <w:tcPr>
            <w:tcW w:w="1335" w:type="dxa"/>
            <w:tcBorders>
              <w:tl2br w:val="nil"/>
              <w:tr2bl w:val="nil"/>
            </w:tcBorders>
            <w:shd w:val="clear" w:color="auto" w:fill="auto"/>
            <w:vAlign w:val="center"/>
          </w:tcPr>
          <w:p w14:paraId="4C77E651">
            <w:pPr>
              <w:pStyle w:val="34"/>
              <w:tabs>
                <w:tab w:val="left" w:pos="1389"/>
              </w:tabs>
              <w:bidi w:val="0"/>
              <w:rPr>
                <w:rFonts w:hint="default"/>
                <w:color w:val="auto"/>
              </w:rPr>
            </w:pPr>
            <w:r>
              <w:rPr>
                <w:rFonts w:hint="default"/>
                <w:color w:val="auto"/>
                <w:lang w:val="en-US" w:eastAsia="zh-CN"/>
              </w:rPr>
              <w:t>17.5925</w:t>
            </w:r>
          </w:p>
        </w:tc>
        <w:tc>
          <w:tcPr>
            <w:tcW w:w="1335" w:type="dxa"/>
            <w:tcBorders>
              <w:tl2br w:val="nil"/>
              <w:tr2bl w:val="nil"/>
            </w:tcBorders>
            <w:shd w:val="clear" w:color="auto" w:fill="auto"/>
            <w:vAlign w:val="top"/>
          </w:tcPr>
          <w:p w14:paraId="33E078F0">
            <w:pPr>
              <w:pStyle w:val="34"/>
              <w:tabs>
                <w:tab w:val="left" w:pos="1389"/>
              </w:tabs>
              <w:bidi w:val="0"/>
              <w:rPr>
                <w:rFonts w:hint="default"/>
                <w:color w:val="auto"/>
              </w:rPr>
            </w:pPr>
            <w:r>
              <w:rPr>
                <w:rFonts w:hint="default"/>
                <w:color w:val="auto"/>
                <w:lang w:val="en-US" w:eastAsia="zh-CN"/>
              </w:rPr>
              <w:t>1.55</w:t>
            </w:r>
          </w:p>
        </w:tc>
        <w:tc>
          <w:tcPr>
            <w:tcW w:w="1335" w:type="dxa"/>
            <w:tcBorders>
              <w:tl2br w:val="nil"/>
              <w:tr2bl w:val="nil"/>
            </w:tcBorders>
            <w:shd w:val="clear" w:color="auto" w:fill="auto"/>
            <w:vAlign w:val="center"/>
          </w:tcPr>
          <w:p w14:paraId="75519164">
            <w:pPr>
              <w:pStyle w:val="34"/>
              <w:tabs>
                <w:tab w:val="left" w:pos="1389"/>
              </w:tabs>
              <w:bidi w:val="0"/>
              <w:rPr>
                <w:rFonts w:hint="default"/>
                <w:color w:val="auto"/>
              </w:rPr>
            </w:pPr>
            <w:r>
              <w:rPr>
                <w:rFonts w:hint="default"/>
                <w:color w:val="auto"/>
                <w:lang w:val="en-US" w:eastAsia="zh-CN"/>
              </w:rPr>
              <w:t>17.5925</w:t>
            </w:r>
          </w:p>
        </w:tc>
        <w:tc>
          <w:tcPr>
            <w:tcW w:w="1320" w:type="dxa"/>
            <w:tcBorders>
              <w:tl2br w:val="nil"/>
              <w:tr2bl w:val="nil"/>
            </w:tcBorders>
            <w:shd w:val="clear" w:color="auto" w:fill="auto"/>
            <w:vAlign w:val="center"/>
          </w:tcPr>
          <w:p w14:paraId="3BDEBDA8">
            <w:pPr>
              <w:pStyle w:val="34"/>
              <w:tabs>
                <w:tab w:val="left" w:pos="1389"/>
              </w:tabs>
              <w:bidi w:val="0"/>
              <w:rPr>
                <w:rFonts w:hint="default"/>
                <w:color w:val="auto"/>
              </w:rPr>
            </w:pPr>
            <w:r>
              <w:rPr>
                <w:rFonts w:hint="default"/>
                <w:color w:val="auto"/>
                <w:lang w:val="en-US" w:eastAsia="zh-CN"/>
              </w:rPr>
              <w:t>0</w:t>
            </w:r>
          </w:p>
        </w:tc>
        <w:tc>
          <w:tcPr>
            <w:tcW w:w="1276" w:type="dxa"/>
            <w:tcBorders>
              <w:tl2br w:val="nil"/>
              <w:tr2bl w:val="nil"/>
            </w:tcBorders>
            <w:shd w:val="clear" w:color="auto" w:fill="auto"/>
            <w:vAlign w:val="center"/>
          </w:tcPr>
          <w:p w14:paraId="27C03E7F">
            <w:pPr>
              <w:pStyle w:val="34"/>
              <w:tabs>
                <w:tab w:val="left" w:pos="1389"/>
              </w:tabs>
              <w:bidi w:val="0"/>
              <w:rPr>
                <w:rFonts w:hint="default"/>
                <w:color w:val="auto"/>
              </w:rPr>
            </w:pPr>
            <w:r>
              <w:rPr>
                <w:rFonts w:hint="default"/>
                <w:color w:val="auto"/>
                <w:lang w:val="en-US" w:eastAsia="zh-CN"/>
              </w:rPr>
              <w:t>0</w:t>
            </w:r>
          </w:p>
        </w:tc>
      </w:tr>
      <w:tr w14:paraId="3365F21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801" w:type="dxa"/>
            <w:vMerge w:val="continue"/>
            <w:tcBorders>
              <w:tl2br w:val="nil"/>
              <w:tr2bl w:val="nil"/>
            </w:tcBorders>
            <w:shd w:val="clear" w:color="auto" w:fill="auto"/>
            <w:vAlign w:val="center"/>
          </w:tcPr>
          <w:p w14:paraId="176BC7C1">
            <w:pPr>
              <w:pStyle w:val="34"/>
              <w:tabs>
                <w:tab w:val="left" w:pos="1389"/>
              </w:tabs>
              <w:bidi w:val="0"/>
              <w:rPr>
                <w:rFonts w:hint="eastAsia"/>
                <w:color w:val="auto"/>
              </w:rPr>
            </w:pPr>
          </w:p>
        </w:tc>
        <w:tc>
          <w:tcPr>
            <w:tcW w:w="1359" w:type="dxa"/>
            <w:tcBorders>
              <w:tl2br w:val="nil"/>
              <w:tr2bl w:val="nil"/>
            </w:tcBorders>
            <w:shd w:val="clear" w:color="auto" w:fill="auto"/>
            <w:vAlign w:val="center"/>
          </w:tcPr>
          <w:p w14:paraId="48D68201">
            <w:pPr>
              <w:pStyle w:val="34"/>
              <w:tabs>
                <w:tab w:val="left" w:pos="1389"/>
              </w:tabs>
              <w:bidi w:val="0"/>
              <w:rPr>
                <w:rFonts w:hint="eastAsia"/>
                <w:color w:val="auto"/>
              </w:rPr>
            </w:pPr>
            <w:r>
              <w:rPr>
                <w:rFonts w:hint="eastAsia"/>
                <w:color w:val="auto"/>
                <w:lang w:val="en-US" w:eastAsia="zh-CN"/>
              </w:rPr>
              <w:t>草地景观</w:t>
            </w:r>
          </w:p>
        </w:tc>
        <w:tc>
          <w:tcPr>
            <w:tcW w:w="1335" w:type="dxa"/>
            <w:tcBorders>
              <w:tl2br w:val="nil"/>
              <w:tr2bl w:val="nil"/>
            </w:tcBorders>
            <w:shd w:val="clear" w:color="auto" w:fill="auto"/>
            <w:vAlign w:val="center"/>
          </w:tcPr>
          <w:p w14:paraId="396E229B">
            <w:pPr>
              <w:pStyle w:val="34"/>
              <w:tabs>
                <w:tab w:val="left" w:pos="1389"/>
              </w:tabs>
              <w:bidi w:val="0"/>
              <w:rPr>
                <w:rFonts w:hint="default"/>
                <w:color w:val="auto"/>
              </w:rPr>
            </w:pPr>
            <w:r>
              <w:rPr>
                <w:rFonts w:hint="default"/>
                <w:color w:val="auto"/>
                <w:lang w:val="en-US" w:eastAsia="zh-CN"/>
              </w:rPr>
              <w:t>120.4412</w:t>
            </w:r>
          </w:p>
        </w:tc>
        <w:tc>
          <w:tcPr>
            <w:tcW w:w="1335" w:type="dxa"/>
            <w:tcBorders>
              <w:tl2br w:val="nil"/>
              <w:tr2bl w:val="nil"/>
            </w:tcBorders>
            <w:shd w:val="clear" w:color="auto" w:fill="auto"/>
            <w:vAlign w:val="top"/>
          </w:tcPr>
          <w:p w14:paraId="788826DD">
            <w:pPr>
              <w:pStyle w:val="34"/>
              <w:tabs>
                <w:tab w:val="left" w:pos="1389"/>
              </w:tabs>
              <w:bidi w:val="0"/>
              <w:rPr>
                <w:rFonts w:hint="default"/>
                <w:color w:val="auto"/>
              </w:rPr>
            </w:pPr>
            <w:r>
              <w:rPr>
                <w:rFonts w:hint="default"/>
                <w:color w:val="auto"/>
                <w:lang w:val="en-US" w:eastAsia="zh-CN"/>
              </w:rPr>
              <w:t>10.61</w:t>
            </w:r>
          </w:p>
        </w:tc>
        <w:tc>
          <w:tcPr>
            <w:tcW w:w="1335" w:type="dxa"/>
            <w:tcBorders>
              <w:tl2br w:val="nil"/>
              <w:tr2bl w:val="nil"/>
            </w:tcBorders>
            <w:shd w:val="clear" w:color="auto" w:fill="auto"/>
            <w:vAlign w:val="center"/>
          </w:tcPr>
          <w:p w14:paraId="74AE1E0F">
            <w:pPr>
              <w:pStyle w:val="34"/>
              <w:tabs>
                <w:tab w:val="left" w:pos="1389"/>
              </w:tabs>
              <w:bidi w:val="0"/>
              <w:rPr>
                <w:rFonts w:hint="default"/>
                <w:color w:val="auto"/>
              </w:rPr>
            </w:pPr>
            <w:r>
              <w:rPr>
                <w:rFonts w:hint="default"/>
                <w:color w:val="auto"/>
                <w:lang w:val="en-US" w:eastAsia="zh-CN"/>
              </w:rPr>
              <w:t>120.2871</w:t>
            </w:r>
          </w:p>
        </w:tc>
        <w:tc>
          <w:tcPr>
            <w:tcW w:w="1320" w:type="dxa"/>
            <w:tcBorders>
              <w:tl2br w:val="nil"/>
              <w:tr2bl w:val="nil"/>
            </w:tcBorders>
            <w:shd w:val="clear" w:color="auto" w:fill="auto"/>
            <w:vAlign w:val="center"/>
          </w:tcPr>
          <w:p w14:paraId="3FC122B6">
            <w:pPr>
              <w:pStyle w:val="34"/>
              <w:tabs>
                <w:tab w:val="left" w:pos="1389"/>
              </w:tabs>
              <w:bidi w:val="0"/>
              <w:rPr>
                <w:rFonts w:hint="default"/>
                <w:color w:val="auto"/>
              </w:rPr>
            </w:pPr>
            <w:r>
              <w:rPr>
                <w:rFonts w:hint="default"/>
                <w:color w:val="auto"/>
                <w:lang w:val="en-US" w:eastAsia="zh-CN"/>
              </w:rPr>
              <w:t>-0.1541</w:t>
            </w:r>
          </w:p>
        </w:tc>
        <w:tc>
          <w:tcPr>
            <w:tcW w:w="1276" w:type="dxa"/>
            <w:tcBorders>
              <w:tl2br w:val="nil"/>
              <w:tr2bl w:val="nil"/>
            </w:tcBorders>
            <w:shd w:val="clear" w:color="auto" w:fill="auto"/>
            <w:vAlign w:val="center"/>
          </w:tcPr>
          <w:p w14:paraId="0D65A430">
            <w:pPr>
              <w:pStyle w:val="34"/>
              <w:tabs>
                <w:tab w:val="left" w:pos="1389"/>
              </w:tabs>
              <w:bidi w:val="0"/>
              <w:rPr>
                <w:rFonts w:hint="default"/>
                <w:color w:val="auto"/>
              </w:rPr>
            </w:pPr>
            <w:r>
              <w:rPr>
                <w:rFonts w:hint="default"/>
                <w:color w:val="auto"/>
                <w:lang w:val="en-US" w:eastAsia="zh-CN"/>
              </w:rPr>
              <w:t>-0.128</w:t>
            </w:r>
          </w:p>
        </w:tc>
      </w:tr>
      <w:tr w14:paraId="4F72538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1" w:type="dxa"/>
            <w:vMerge w:val="continue"/>
            <w:tcBorders>
              <w:tl2br w:val="nil"/>
              <w:tr2bl w:val="nil"/>
            </w:tcBorders>
            <w:shd w:val="clear" w:color="auto" w:fill="auto"/>
            <w:vAlign w:val="center"/>
          </w:tcPr>
          <w:p w14:paraId="5B24B350">
            <w:pPr>
              <w:pStyle w:val="34"/>
              <w:tabs>
                <w:tab w:val="left" w:pos="1389"/>
              </w:tabs>
              <w:bidi w:val="0"/>
              <w:rPr>
                <w:rFonts w:hint="eastAsia"/>
                <w:color w:val="auto"/>
              </w:rPr>
            </w:pPr>
          </w:p>
        </w:tc>
        <w:tc>
          <w:tcPr>
            <w:tcW w:w="1359" w:type="dxa"/>
            <w:tcBorders>
              <w:tl2br w:val="nil"/>
              <w:tr2bl w:val="nil"/>
            </w:tcBorders>
            <w:shd w:val="clear" w:color="auto" w:fill="auto"/>
            <w:vAlign w:val="center"/>
          </w:tcPr>
          <w:p w14:paraId="49422BBD">
            <w:pPr>
              <w:pStyle w:val="34"/>
              <w:tabs>
                <w:tab w:val="left" w:pos="1389"/>
              </w:tabs>
              <w:bidi w:val="0"/>
              <w:rPr>
                <w:rFonts w:hint="eastAsia"/>
                <w:color w:val="auto"/>
              </w:rPr>
            </w:pPr>
            <w:r>
              <w:rPr>
                <w:rFonts w:hint="eastAsia"/>
                <w:color w:val="auto"/>
                <w:lang w:val="en-US" w:eastAsia="zh-CN"/>
              </w:rPr>
              <w:t>小计</w:t>
            </w:r>
          </w:p>
        </w:tc>
        <w:tc>
          <w:tcPr>
            <w:tcW w:w="1335" w:type="dxa"/>
            <w:tcBorders>
              <w:tl2br w:val="nil"/>
              <w:tr2bl w:val="nil"/>
            </w:tcBorders>
            <w:shd w:val="clear" w:color="auto" w:fill="auto"/>
            <w:vAlign w:val="top"/>
          </w:tcPr>
          <w:p w14:paraId="28ACCD6B">
            <w:pPr>
              <w:pStyle w:val="34"/>
              <w:tabs>
                <w:tab w:val="left" w:pos="1389"/>
              </w:tabs>
              <w:bidi w:val="0"/>
              <w:rPr>
                <w:rFonts w:hint="default"/>
                <w:color w:val="auto"/>
              </w:rPr>
            </w:pPr>
            <w:r>
              <w:rPr>
                <w:rFonts w:hint="default"/>
                <w:color w:val="auto"/>
                <w:lang w:val="en-US" w:eastAsia="zh-CN"/>
              </w:rPr>
              <w:t>894.5127</w:t>
            </w:r>
          </w:p>
        </w:tc>
        <w:tc>
          <w:tcPr>
            <w:tcW w:w="1335" w:type="dxa"/>
            <w:tcBorders>
              <w:tl2br w:val="nil"/>
              <w:tr2bl w:val="nil"/>
            </w:tcBorders>
            <w:shd w:val="clear" w:color="auto" w:fill="auto"/>
            <w:vAlign w:val="top"/>
          </w:tcPr>
          <w:p w14:paraId="06DD3271">
            <w:pPr>
              <w:pStyle w:val="34"/>
              <w:tabs>
                <w:tab w:val="left" w:pos="1389"/>
              </w:tabs>
              <w:bidi w:val="0"/>
              <w:rPr>
                <w:rFonts w:hint="default"/>
                <w:color w:val="auto"/>
              </w:rPr>
            </w:pPr>
            <w:r>
              <w:rPr>
                <w:rFonts w:hint="default"/>
                <w:color w:val="auto"/>
                <w:lang w:val="en-US" w:eastAsia="zh-CN"/>
              </w:rPr>
              <w:t>78.78</w:t>
            </w:r>
          </w:p>
        </w:tc>
        <w:tc>
          <w:tcPr>
            <w:tcW w:w="1335" w:type="dxa"/>
            <w:tcBorders>
              <w:tl2br w:val="nil"/>
              <w:tr2bl w:val="nil"/>
            </w:tcBorders>
            <w:shd w:val="clear" w:color="auto" w:fill="auto"/>
            <w:vAlign w:val="center"/>
          </w:tcPr>
          <w:p w14:paraId="541D3CD7">
            <w:pPr>
              <w:pStyle w:val="34"/>
              <w:tabs>
                <w:tab w:val="left" w:pos="1389"/>
              </w:tabs>
              <w:bidi w:val="0"/>
              <w:rPr>
                <w:rFonts w:hint="default"/>
                <w:color w:val="auto"/>
              </w:rPr>
            </w:pPr>
            <w:r>
              <w:rPr>
                <w:rFonts w:hint="default"/>
                <w:color w:val="auto"/>
                <w:lang w:val="en-US" w:eastAsia="zh-CN"/>
              </w:rPr>
              <w:t>894.5127</w:t>
            </w:r>
          </w:p>
        </w:tc>
        <w:tc>
          <w:tcPr>
            <w:tcW w:w="1320" w:type="dxa"/>
            <w:tcBorders>
              <w:tl2br w:val="nil"/>
              <w:tr2bl w:val="nil"/>
            </w:tcBorders>
            <w:shd w:val="clear" w:color="auto" w:fill="auto"/>
            <w:vAlign w:val="center"/>
          </w:tcPr>
          <w:p w14:paraId="3E07693B">
            <w:pPr>
              <w:pStyle w:val="34"/>
              <w:tabs>
                <w:tab w:val="left" w:pos="1389"/>
              </w:tabs>
              <w:bidi w:val="0"/>
              <w:rPr>
                <w:rFonts w:hint="default"/>
                <w:color w:val="auto"/>
              </w:rPr>
            </w:pPr>
            <w:r>
              <w:rPr>
                <w:rFonts w:hint="default"/>
                <w:color w:val="auto"/>
                <w:lang w:val="en-US" w:eastAsia="zh-CN"/>
              </w:rPr>
              <w:t>0</w:t>
            </w:r>
          </w:p>
        </w:tc>
        <w:tc>
          <w:tcPr>
            <w:tcW w:w="1276" w:type="dxa"/>
            <w:tcBorders>
              <w:tl2br w:val="nil"/>
              <w:tr2bl w:val="nil"/>
            </w:tcBorders>
            <w:shd w:val="clear" w:color="auto" w:fill="auto"/>
            <w:vAlign w:val="center"/>
          </w:tcPr>
          <w:p w14:paraId="17472C79">
            <w:pPr>
              <w:pStyle w:val="34"/>
              <w:tabs>
                <w:tab w:val="left" w:pos="1389"/>
              </w:tabs>
              <w:bidi w:val="0"/>
              <w:rPr>
                <w:rFonts w:hint="default"/>
                <w:color w:val="auto"/>
              </w:rPr>
            </w:pPr>
            <w:r>
              <w:rPr>
                <w:rFonts w:hint="default"/>
                <w:color w:val="auto"/>
                <w:lang w:val="en-US" w:eastAsia="zh-CN"/>
              </w:rPr>
              <w:t>0</w:t>
            </w:r>
          </w:p>
        </w:tc>
      </w:tr>
      <w:tr w14:paraId="0445C8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1" w:type="dxa"/>
            <w:vMerge w:val="restart"/>
            <w:tcBorders>
              <w:tl2br w:val="nil"/>
              <w:tr2bl w:val="nil"/>
            </w:tcBorders>
            <w:shd w:val="clear" w:color="auto" w:fill="auto"/>
            <w:vAlign w:val="center"/>
          </w:tcPr>
          <w:p w14:paraId="47DE3143">
            <w:pPr>
              <w:pStyle w:val="34"/>
              <w:tabs>
                <w:tab w:val="left" w:pos="1389"/>
              </w:tabs>
              <w:bidi w:val="0"/>
              <w:rPr>
                <w:rFonts w:hint="eastAsia"/>
                <w:color w:val="auto"/>
              </w:rPr>
            </w:pPr>
            <w:r>
              <w:rPr>
                <w:rFonts w:hint="eastAsia"/>
                <w:color w:val="auto"/>
                <w:lang w:val="en-US" w:eastAsia="zh-CN"/>
              </w:rPr>
              <w:t>人工景观</w:t>
            </w:r>
          </w:p>
        </w:tc>
        <w:tc>
          <w:tcPr>
            <w:tcW w:w="1359" w:type="dxa"/>
            <w:tcBorders>
              <w:tl2br w:val="nil"/>
              <w:tr2bl w:val="nil"/>
            </w:tcBorders>
            <w:shd w:val="clear" w:color="auto" w:fill="auto"/>
            <w:vAlign w:val="center"/>
          </w:tcPr>
          <w:p w14:paraId="09975184">
            <w:pPr>
              <w:pStyle w:val="34"/>
              <w:tabs>
                <w:tab w:val="left" w:pos="1389"/>
              </w:tabs>
              <w:bidi w:val="0"/>
              <w:rPr>
                <w:rFonts w:hint="eastAsia"/>
                <w:color w:val="auto"/>
              </w:rPr>
            </w:pPr>
            <w:r>
              <w:rPr>
                <w:rFonts w:hint="eastAsia"/>
                <w:color w:val="auto"/>
                <w:lang w:val="en-US" w:eastAsia="zh-CN"/>
              </w:rPr>
              <w:t>耕地景观</w:t>
            </w:r>
          </w:p>
        </w:tc>
        <w:tc>
          <w:tcPr>
            <w:tcW w:w="1335" w:type="dxa"/>
            <w:tcBorders>
              <w:tl2br w:val="nil"/>
              <w:tr2bl w:val="nil"/>
            </w:tcBorders>
            <w:shd w:val="clear" w:color="auto" w:fill="auto"/>
            <w:vAlign w:val="center"/>
          </w:tcPr>
          <w:p w14:paraId="7B1C53A6">
            <w:pPr>
              <w:pStyle w:val="34"/>
              <w:tabs>
                <w:tab w:val="left" w:pos="1389"/>
              </w:tabs>
              <w:bidi w:val="0"/>
              <w:rPr>
                <w:rFonts w:hint="default"/>
                <w:color w:val="auto"/>
              </w:rPr>
            </w:pPr>
            <w:r>
              <w:rPr>
                <w:rFonts w:hint="default"/>
                <w:color w:val="auto"/>
                <w:lang w:val="en-US" w:eastAsia="zh-CN"/>
              </w:rPr>
              <w:t>202.9908</w:t>
            </w:r>
          </w:p>
        </w:tc>
        <w:tc>
          <w:tcPr>
            <w:tcW w:w="1335" w:type="dxa"/>
            <w:tcBorders>
              <w:tl2br w:val="nil"/>
              <w:tr2bl w:val="nil"/>
            </w:tcBorders>
            <w:shd w:val="clear" w:color="auto" w:fill="auto"/>
            <w:vAlign w:val="top"/>
          </w:tcPr>
          <w:p w14:paraId="2B1F8F5D">
            <w:pPr>
              <w:pStyle w:val="34"/>
              <w:tabs>
                <w:tab w:val="left" w:pos="1389"/>
              </w:tabs>
              <w:bidi w:val="0"/>
              <w:rPr>
                <w:rFonts w:hint="default"/>
                <w:color w:val="auto"/>
              </w:rPr>
            </w:pPr>
            <w:r>
              <w:rPr>
                <w:rFonts w:hint="default"/>
                <w:color w:val="auto"/>
                <w:lang w:val="en-US" w:eastAsia="zh-CN"/>
              </w:rPr>
              <w:t>17.88</w:t>
            </w:r>
          </w:p>
        </w:tc>
        <w:tc>
          <w:tcPr>
            <w:tcW w:w="1335" w:type="dxa"/>
            <w:tcBorders>
              <w:tl2br w:val="nil"/>
              <w:tr2bl w:val="nil"/>
            </w:tcBorders>
            <w:shd w:val="clear" w:color="auto" w:fill="auto"/>
            <w:vAlign w:val="center"/>
          </w:tcPr>
          <w:p w14:paraId="2DB3AE06">
            <w:pPr>
              <w:pStyle w:val="34"/>
              <w:tabs>
                <w:tab w:val="left" w:pos="1389"/>
              </w:tabs>
              <w:bidi w:val="0"/>
              <w:rPr>
                <w:rFonts w:hint="default"/>
                <w:color w:val="auto"/>
              </w:rPr>
            </w:pPr>
            <w:r>
              <w:rPr>
                <w:rFonts w:hint="default"/>
                <w:color w:val="auto"/>
                <w:lang w:val="en-US" w:eastAsia="zh-CN"/>
              </w:rPr>
              <w:t>202.9908</w:t>
            </w:r>
          </w:p>
        </w:tc>
        <w:tc>
          <w:tcPr>
            <w:tcW w:w="1320" w:type="dxa"/>
            <w:tcBorders>
              <w:tl2br w:val="nil"/>
              <w:tr2bl w:val="nil"/>
            </w:tcBorders>
            <w:shd w:val="clear" w:color="auto" w:fill="auto"/>
            <w:vAlign w:val="center"/>
          </w:tcPr>
          <w:p w14:paraId="2DD400CD">
            <w:pPr>
              <w:pStyle w:val="34"/>
              <w:tabs>
                <w:tab w:val="left" w:pos="1389"/>
              </w:tabs>
              <w:bidi w:val="0"/>
              <w:rPr>
                <w:rFonts w:hint="default"/>
                <w:color w:val="auto"/>
              </w:rPr>
            </w:pPr>
            <w:r>
              <w:rPr>
                <w:rFonts w:hint="default"/>
                <w:color w:val="auto"/>
                <w:lang w:val="en-US" w:eastAsia="zh-CN"/>
              </w:rPr>
              <w:t>0.0000</w:t>
            </w:r>
          </w:p>
        </w:tc>
        <w:tc>
          <w:tcPr>
            <w:tcW w:w="1276" w:type="dxa"/>
            <w:tcBorders>
              <w:tl2br w:val="nil"/>
              <w:tr2bl w:val="nil"/>
            </w:tcBorders>
            <w:shd w:val="clear" w:color="auto" w:fill="auto"/>
            <w:vAlign w:val="center"/>
          </w:tcPr>
          <w:p w14:paraId="4CAEE6CD">
            <w:pPr>
              <w:pStyle w:val="34"/>
              <w:tabs>
                <w:tab w:val="left" w:pos="1389"/>
              </w:tabs>
              <w:bidi w:val="0"/>
              <w:rPr>
                <w:rFonts w:hint="default"/>
                <w:color w:val="auto"/>
              </w:rPr>
            </w:pPr>
            <w:r>
              <w:rPr>
                <w:rFonts w:hint="default"/>
                <w:color w:val="auto"/>
                <w:lang w:val="en-US" w:eastAsia="zh-CN"/>
              </w:rPr>
              <w:t>0.000</w:t>
            </w:r>
          </w:p>
        </w:tc>
      </w:tr>
      <w:tr w14:paraId="57EA13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15" w:hRule="atLeast"/>
        </w:trPr>
        <w:tc>
          <w:tcPr>
            <w:tcW w:w="801" w:type="dxa"/>
            <w:vMerge w:val="continue"/>
            <w:tcBorders>
              <w:tl2br w:val="nil"/>
              <w:tr2bl w:val="nil"/>
            </w:tcBorders>
            <w:shd w:val="clear" w:color="auto" w:fill="auto"/>
            <w:vAlign w:val="center"/>
          </w:tcPr>
          <w:p w14:paraId="006D4CAB">
            <w:pPr>
              <w:pStyle w:val="34"/>
              <w:tabs>
                <w:tab w:val="left" w:pos="1389"/>
              </w:tabs>
              <w:bidi w:val="0"/>
              <w:rPr>
                <w:rFonts w:hint="eastAsia"/>
                <w:color w:val="auto"/>
              </w:rPr>
            </w:pPr>
          </w:p>
        </w:tc>
        <w:tc>
          <w:tcPr>
            <w:tcW w:w="1359" w:type="dxa"/>
            <w:tcBorders>
              <w:tl2br w:val="nil"/>
              <w:tr2bl w:val="nil"/>
            </w:tcBorders>
            <w:shd w:val="clear" w:color="auto" w:fill="auto"/>
            <w:vAlign w:val="center"/>
          </w:tcPr>
          <w:p w14:paraId="28F860E3">
            <w:pPr>
              <w:pStyle w:val="34"/>
              <w:tabs>
                <w:tab w:val="left" w:pos="1389"/>
              </w:tabs>
              <w:bidi w:val="0"/>
              <w:rPr>
                <w:rFonts w:hint="eastAsia"/>
                <w:color w:val="auto"/>
              </w:rPr>
            </w:pPr>
            <w:r>
              <w:rPr>
                <w:rFonts w:hint="eastAsia"/>
                <w:color w:val="auto"/>
                <w:lang w:val="en-US" w:eastAsia="zh-CN"/>
              </w:rPr>
              <w:t>水域景观</w:t>
            </w:r>
          </w:p>
        </w:tc>
        <w:tc>
          <w:tcPr>
            <w:tcW w:w="1335" w:type="dxa"/>
            <w:tcBorders>
              <w:tl2br w:val="nil"/>
              <w:tr2bl w:val="nil"/>
            </w:tcBorders>
            <w:shd w:val="clear" w:color="auto" w:fill="auto"/>
            <w:vAlign w:val="center"/>
          </w:tcPr>
          <w:p w14:paraId="3492D8BB">
            <w:pPr>
              <w:pStyle w:val="34"/>
              <w:tabs>
                <w:tab w:val="left" w:pos="1389"/>
              </w:tabs>
              <w:bidi w:val="0"/>
              <w:rPr>
                <w:rFonts w:hint="default"/>
                <w:color w:val="auto"/>
              </w:rPr>
            </w:pPr>
            <w:r>
              <w:rPr>
                <w:rFonts w:hint="default"/>
                <w:color w:val="auto"/>
                <w:lang w:val="en-US" w:eastAsia="zh-CN"/>
              </w:rPr>
              <w:t>2.7065</w:t>
            </w:r>
          </w:p>
        </w:tc>
        <w:tc>
          <w:tcPr>
            <w:tcW w:w="1335" w:type="dxa"/>
            <w:tcBorders>
              <w:tl2br w:val="nil"/>
              <w:tr2bl w:val="nil"/>
            </w:tcBorders>
            <w:shd w:val="clear" w:color="auto" w:fill="auto"/>
            <w:vAlign w:val="top"/>
          </w:tcPr>
          <w:p w14:paraId="70B20F9A">
            <w:pPr>
              <w:pStyle w:val="34"/>
              <w:tabs>
                <w:tab w:val="left" w:pos="1389"/>
              </w:tabs>
              <w:bidi w:val="0"/>
              <w:rPr>
                <w:rFonts w:hint="default"/>
                <w:color w:val="auto"/>
              </w:rPr>
            </w:pPr>
            <w:r>
              <w:rPr>
                <w:rFonts w:hint="default"/>
                <w:color w:val="auto"/>
                <w:lang w:val="en-US" w:eastAsia="zh-CN"/>
              </w:rPr>
              <w:t>0.24</w:t>
            </w:r>
          </w:p>
        </w:tc>
        <w:tc>
          <w:tcPr>
            <w:tcW w:w="1335" w:type="dxa"/>
            <w:tcBorders>
              <w:tl2br w:val="nil"/>
              <w:tr2bl w:val="nil"/>
            </w:tcBorders>
            <w:shd w:val="clear" w:color="auto" w:fill="auto"/>
            <w:vAlign w:val="center"/>
          </w:tcPr>
          <w:p w14:paraId="4F2D0793">
            <w:pPr>
              <w:pStyle w:val="34"/>
              <w:tabs>
                <w:tab w:val="left" w:pos="1389"/>
              </w:tabs>
              <w:bidi w:val="0"/>
              <w:rPr>
                <w:rFonts w:hint="default"/>
                <w:color w:val="auto"/>
              </w:rPr>
            </w:pPr>
            <w:r>
              <w:rPr>
                <w:rFonts w:hint="default"/>
                <w:color w:val="auto"/>
                <w:lang w:val="en-US" w:eastAsia="zh-CN"/>
              </w:rPr>
              <w:t>2.7065</w:t>
            </w:r>
          </w:p>
        </w:tc>
        <w:tc>
          <w:tcPr>
            <w:tcW w:w="1320" w:type="dxa"/>
            <w:tcBorders>
              <w:tl2br w:val="nil"/>
              <w:tr2bl w:val="nil"/>
            </w:tcBorders>
            <w:shd w:val="clear" w:color="auto" w:fill="auto"/>
            <w:vAlign w:val="center"/>
          </w:tcPr>
          <w:p w14:paraId="1E4A2572">
            <w:pPr>
              <w:pStyle w:val="34"/>
              <w:tabs>
                <w:tab w:val="left" w:pos="1389"/>
              </w:tabs>
              <w:bidi w:val="0"/>
              <w:rPr>
                <w:rFonts w:hint="default"/>
                <w:color w:val="auto"/>
              </w:rPr>
            </w:pPr>
            <w:r>
              <w:rPr>
                <w:rFonts w:hint="default"/>
                <w:color w:val="auto"/>
                <w:lang w:val="en-US" w:eastAsia="zh-CN"/>
              </w:rPr>
              <w:t>0</w:t>
            </w:r>
          </w:p>
        </w:tc>
        <w:tc>
          <w:tcPr>
            <w:tcW w:w="1276" w:type="dxa"/>
            <w:tcBorders>
              <w:tl2br w:val="nil"/>
              <w:tr2bl w:val="nil"/>
            </w:tcBorders>
            <w:shd w:val="clear" w:color="auto" w:fill="auto"/>
            <w:vAlign w:val="center"/>
          </w:tcPr>
          <w:p w14:paraId="09C9AAF6">
            <w:pPr>
              <w:pStyle w:val="34"/>
              <w:tabs>
                <w:tab w:val="left" w:pos="1389"/>
              </w:tabs>
              <w:bidi w:val="0"/>
              <w:rPr>
                <w:rFonts w:hint="default"/>
                <w:color w:val="auto"/>
              </w:rPr>
            </w:pPr>
            <w:r>
              <w:rPr>
                <w:rFonts w:hint="default"/>
                <w:color w:val="auto"/>
                <w:lang w:val="en-US" w:eastAsia="zh-CN"/>
              </w:rPr>
              <w:t>0</w:t>
            </w:r>
          </w:p>
        </w:tc>
      </w:tr>
      <w:tr w14:paraId="49AB03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1" w:type="dxa"/>
            <w:vMerge w:val="continue"/>
            <w:tcBorders>
              <w:tl2br w:val="nil"/>
              <w:tr2bl w:val="nil"/>
            </w:tcBorders>
            <w:shd w:val="clear" w:color="auto" w:fill="auto"/>
            <w:vAlign w:val="center"/>
          </w:tcPr>
          <w:p w14:paraId="33209172">
            <w:pPr>
              <w:pStyle w:val="34"/>
              <w:tabs>
                <w:tab w:val="left" w:pos="1389"/>
              </w:tabs>
              <w:bidi w:val="0"/>
              <w:rPr>
                <w:rFonts w:hint="eastAsia"/>
                <w:color w:val="auto"/>
              </w:rPr>
            </w:pPr>
          </w:p>
        </w:tc>
        <w:tc>
          <w:tcPr>
            <w:tcW w:w="1359" w:type="dxa"/>
            <w:tcBorders>
              <w:tl2br w:val="nil"/>
              <w:tr2bl w:val="nil"/>
            </w:tcBorders>
            <w:shd w:val="clear" w:color="auto" w:fill="auto"/>
            <w:vAlign w:val="center"/>
          </w:tcPr>
          <w:p w14:paraId="04FB2A8B">
            <w:pPr>
              <w:pStyle w:val="34"/>
              <w:tabs>
                <w:tab w:val="left" w:pos="1389"/>
              </w:tabs>
              <w:bidi w:val="0"/>
              <w:rPr>
                <w:rFonts w:hint="eastAsia"/>
                <w:color w:val="auto"/>
              </w:rPr>
            </w:pPr>
            <w:r>
              <w:rPr>
                <w:rFonts w:hint="eastAsia"/>
                <w:color w:val="auto"/>
                <w:lang w:val="en-US" w:eastAsia="zh-CN"/>
              </w:rPr>
              <w:t>村庄景观</w:t>
            </w:r>
          </w:p>
        </w:tc>
        <w:tc>
          <w:tcPr>
            <w:tcW w:w="1335" w:type="dxa"/>
            <w:tcBorders>
              <w:tl2br w:val="nil"/>
              <w:tr2bl w:val="nil"/>
            </w:tcBorders>
            <w:shd w:val="clear" w:color="auto" w:fill="auto"/>
            <w:vAlign w:val="center"/>
          </w:tcPr>
          <w:p w14:paraId="3644C30D">
            <w:pPr>
              <w:pStyle w:val="34"/>
              <w:tabs>
                <w:tab w:val="left" w:pos="1389"/>
              </w:tabs>
              <w:bidi w:val="0"/>
              <w:rPr>
                <w:rFonts w:hint="default"/>
                <w:color w:val="auto"/>
              </w:rPr>
            </w:pPr>
            <w:r>
              <w:rPr>
                <w:rFonts w:hint="default"/>
                <w:color w:val="auto"/>
                <w:lang w:val="en-US" w:eastAsia="zh-CN"/>
              </w:rPr>
              <w:t>17.5925</w:t>
            </w:r>
          </w:p>
        </w:tc>
        <w:tc>
          <w:tcPr>
            <w:tcW w:w="1335" w:type="dxa"/>
            <w:tcBorders>
              <w:tl2br w:val="nil"/>
              <w:tr2bl w:val="nil"/>
            </w:tcBorders>
            <w:shd w:val="clear" w:color="auto" w:fill="auto"/>
            <w:vAlign w:val="top"/>
          </w:tcPr>
          <w:p w14:paraId="539A6F15">
            <w:pPr>
              <w:pStyle w:val="34"/>
              <w:tabs>
                <w:tab w:val="left" w:pos="1389"/>
              </w:tabs>
              <w:bidi w:val="0"/>
              <w:rPr>
                <w:rFonts w:hint="default"/>
                <w:color w:val="auto"/>
              </w:rPr>
            </w:pPr>
            <w:r>
              <w:rPr>
                <w:rFonts w:hint="default"/>
                <w:color w:val="auto"/>
                <w:lang w:val="en-US" w:eastAsia="zh-CN"/>
              </w:rPr>
              <w:t>1.55</w:t>
            </w:r>
          </w:p>
        </w:tc>
        <w:tc>
          <w:tcPr>
            <w:tcW w:w="1335" w:type="dxa"/>
            <w:tcBorders>
              <w:tl2br w:val="nil"/>
              <w:tr2bl w:val="nil"/>
            </w:tcBorders>
            <w:shd w:val="clear" w:color="auto" w:fill="auto"/>
            <w:vAlign w:val="center"/>
          </w:tcPr>
          <w:p w14:paraId="4EF20C99">
            <w:pPr>
              <w:pStyle w:val="34"/>
              <w:tabs>
                <w:tab w:val="left" w:pos="1389"/>
              </w:tabs>
              <w:bidi w:val="0"/>
              <w:rPr>
                <w:rFonts w:hint="default"/>
                <w:color w:val="auto"/>
              </w:rPr>
            </w:pPr>
            <w:r>
              <w:rPr>
                <w:rFonts w:hint="default"/>
                <w:color w:val="auto"/>
                <w:lang w:val="en-US" w:eastAsia="zh-CN"/>
              </w:rPr>
              <w:t>17.5925</w:t>
            </w:r>
          </w:p>
        </w:tc>
        <w:tc>
          <w:tcPr>
            <w:tcW w:w="1320" w:type="dxa"/>
            <w:tcBorders>
              <w:tl2br w:val="nil"/>
              <w:tr2bl w:val="nil"/>
            </w:tcBorders>
            <w:shd w:val="clear" w:color="auto" w:fill="auto"/>
            <w:vAlign w:val="center"/>
          </w:tcPr>
          <w:p w14:paraId="7A5EBEBD">
            <w:pPr>
              <w:pStyle w:val="34"/>
              <w:tabs>
                <w:tab w:val="left" w:pos="1389"/>
              </w:tabs>
              <w:bidi w:val="0"/>
              <w:rPr>
                <w:rFonts w:hint="default"/>
                <w:color w:val="auto"/>
              </w:rPr>
            </w:pPr>
            <w:r>
              <w:rPr>
                <w:rFonts w:hint="default"/>
                <w:color w:val="auto"/>
                <w:lang w:val="en-US" w:eastAsia="zh-CN"/>
              </w:rPr>
              <w:t>0</w:t>
            </w:r>
          </w:p>
        </w:tc>
        <w:tc>
          <w:tcPr>
            <w:tcW w:w="1276" w:type="dxa"/>
            <w:tcBorders>
              <w:tl2br w:val="nil"/>
              <w:tr2bl w:val="nil"/>
            </w:tcBorders>
            <w:shd w:val="clear" w:color="auto" w:fill="auto"/>
            <w:vAlign w:val="center"/>
          </w:tcPr>
          <w:p w14:paraId="70480E03">
            <w:pPr>
              <w:pStyle w:val="34"/>
              <w:tabs>
                <w:tab w:val="left" w:pos="1389"/>
              </w:tabs>
              <w:bidi w:val="0"/>
              <w:rPr>
                <w:rFonts w:hint="default"/>
                <w:color w:val="auto"/>
              </w:rPr>
            </w:pPr>
            <w:r>
              <w:rPr>
                <w:rFonts w:hint="default"/>
                <w:color w:val="auto"/>
                <w:lang w:val="en-US" w:eastAsia="zh-CN"/>
              </w:rPr>
              <w:t>0</w:t>
            </w:r>
          </w:p>
        </w:tc>
      </w:tr>
      <w:tr w14:paraId="7CBF7A9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5" w:hRule="atLeast"/>
        </w:trPr>
        <w:tc>
          <w:tcPr>
            <w:tcW w:w="801" w:type="dxa"/>
            <w:vMerge w:val="continue"/>
            <w:tcBorders>
              <w:tl2br w:val="nil"/>
              <w:tr2bl w:val="nil"/>
            </w:tcBorders>
            <w:shd w:val="clear" w:color="auto" w:fill="auto"/>
            <w:vAlign w:val="center"/>
          </w:tcPr>
          <w:p w14:paraId="09B48D96">
            <w:pPr>
              <w:pStyle w:val="34"/>
              <w:tabs>
                <w:tab w:val="left" w:pos="1389"/>
              </w:tabs>
              <w:bidi w:val="0"/>
              <w:rPr>
                <w:rFonts w:hint="eastAsia"/>
                <w:color w:val="auto"/>
              </w:rPr>
            </w:pPr>
          </w:p>
        </w:tc>
        <w:tc>
          <w:tcPr>
            <w:tcW w:w="1359" w:type="dxa"/>
            <w:tcBorders>
              <w:tl2br w:val="nil"/>
              <w:tr2bl w:val="nil"/>
            </w:tcBorders>
            <w:shd w:val="clear" w:color="auto" w:fill="auto"/>
            <w:vAlign w:val="center"/>
          </w:tcPr>
          <w:p w14:paraId="45308A3E">
            <w:pPr>
              <w:pStyle w:val="34"/>
              <w:tabs>
                <w:tab w:val="left" w:pos="1389"/>
              </w:tabs>
              <w:bidi w:val="0"/>
              <w:rPr>
                <w:rFonts w:hint="eastAsia"/>
                <w:color w:val="auto"/>
              </w:rPr>
            </w:pPr>
            <w:r>
              <w:rPr>
                <w:rFonts w:hint="eastAsia"/>
                <w:color w:val="auto"/>
                <w:lang w:val="en-US" w:eastAsia="zh-CN"/>
              </w:rPr>
              <w:t>工矿交通景观</w:t>
            </w:r>
          </w:p>
        </w:tc>
        <w:tc>
          <w:tcPr>
            <w:tcW w:w="1335" w:type="dxa"/>
            <w:tcBorders>
              <w:tl2br w:val="nil"/>
              <w:tr2bl w:val="nil"/>
            </w:tcBorders>
            <w:shd w:val="clear" w:color="auto" w:fill="auto"/>
            <w:vAlign w:val="center"/>
          </w:tcPr>
          <w:p w14:paraId="4624F41C">
            <w:pPr>
              <w:pStyle w:val="34"/>
              <w:tabs>
                <w:tab w:val="left" w:pos="1389"/>
              </w:tabs>
              <w:bidi w:val="0"/>
              <w:rPr>
                <w:rFonts w:hint="default"/>
                <w:color w:val="auto"/>
              </w:rPr>
            </w:pPr>
            <w:r>
              <w:rPr>
                <w:rFonts w:hint="default"/>
                <w:color w:val="auto"/>
                <w:lang w:val="en-US" w:eastAsia="zh-CN"/>
              </w:rPr>
              <w:t>17.5925</w:t>
            </w:r>
          </w:p>
        </w:tc>
        <w:tc>
          <w:tcPr>
            <w:tcW w:w="1335" w:type="dxa"/>
            <w:tcBorders>
              <w:tl2br w:val="nil"/>
              <w:tr2bl w:val="nil"/>
            </w:tcBorders>
            <w:shd w:val="clear" w:color="auto" w:fill="auto"/>
            <w:vAlign w:val="center"/>
          </w:tcPr>
          <w:p w14:paraId="0804DB5F">
            <w:pPr>
              <w:pStyle w:val="34"/>
              <w:tabs>
                <w:tab w:val="left" w:pos="1389"/>
              </w:tabs>
              <w:bidi w:val="0"/>
              <w:rPr>
                <w:rFonts w:hint="default"/>
                <w:color w:val="auto"/>
              </w:rPr>
            </w:pPr>
            <w:r>
              <w:rPr>
                <w:rFonts w:hint="default"/>
                <w:color w:val="auto"/>
                <w:lang w:val="en-US" w:eastAsia="zh-CN"/>
              </w:rPr>
              <w:t>1.55</w:t>
            </w:r>
          </w:p>
        </w:tc>
        <w:tc>
          <w:tcPr>
            <w:tcW w:w="1335" w:type="dxa"/>
            <w:tcBorders>
              <w:tl2br w:val="nil"/>
              <w:tr2bl w:val="nil"/>
            </w:tcBorders>
            <w:shd w:val="clear" w:color="auto" w:fill="auto"/>
            <w:vAlign w:val="center"/>
          </w:tcPr>
          <w:p w14:paraId="6DEEA694">
            <w:pPr>
              <w:pStyle w:val="34"/>
              <w:tabs>
                <w:tab w:val="left" w:pos="1389"/>
              </w:tabs>
              <w:bidi w:val="0"/>
              <w:rPr>
                <w:rFonts w:hint="default"/>
                <w:color w:val="auto"/>
              </w:rPr>
            </w:pPr>
            <w:r>
              <w:rPr>
                <w:rFonts w:hint="default"/>
                <w:color w:val="auto"/>
                <w:lang w:val="en-US" w:eastAsia="zh-CN"/>
              </w:rPr>
              <w:t>17.7521</w:t>
            </w:r>
          </w:p>
        </w:tc>
        <w:tc>
          <w:tcPr>
            <w:tcW w:w="1320" w:type="dxa"/>
            <w:tcBorders>
              <w:tl2br w:val="nil"/>
              <w:tr2bl w:val="nil"/>
            </w:tcBorders>
            <w:shd w:val="clear" w:color="auto" w:fill="auto"/>
            <w:vAlign w:val="center"/>
          </w:tcPr>
          <w:p w14:paraId="1A8EEE3F">
            <w:pPr>
              <w:pStyle w:val="34"/>
              <w:tabs>
                <w:tab w:val="left" w:pos="1389"/>
              </w:tabs>
              <w:bidi w:val="0"/>
              <w:rPr>
                <w:rFonts w:hint="default"/>
                <w:color w:val="auto"/>
              </w:rPr>
            </w:pPr>
            <w:r>
              <w:rPr>
                <w:rFonts w:hint="default"/>
                <w:color w:val="auto"/>
                <w:lang w:val="en-US" w:eastAsia="zh-CN"/>
              </w:rPr>
              <w:t>0.1596</w:t>
            </w:r>
          </w:p>
        </w:tc>
        <w:tc>
          <w:tcPr>
            <w:tcW w:w="1276" w:type="dxa"/>
            <w:tcBorders>
              <w:tl2br w:val="nil"/>
              <w:tr2bl w:val="nil"/>
            </w:tcBorders>
            <w:shd w:val="clear" w:color="auto" w:fill="auto"/>
            <w:vAlign w:val="center"/>
          </w:tcPr>
          <w:p w14:paraId="63B66443">
            <w:pPr>
              <w:pStyle w:val="34"/>
              <w:tabs>
                <w:tab w:val="left" w:pos="1389"/>
              </w:tabs>
              <w:bidi w:val="0"/>
              <w:rPr>
                <w:rFonts w:hint="default"/>
                <w:color w:val="auto"/>
              </w:rPr>
            </w:pPr>
            <w:r>
              <w:rPr>
                <w:rFonts w:hint="default"/>
                <w:color w:val="auto"/>
                <w:lang w:val="en-US" w:eastAsia="zh-CN"/>
              </w:rPr>
              <w:t>0.907</w:t>
            </w:r>
          </w:p>
        </w:tc>
      </w:tr>
      <w:tr w14:paraId="3F459D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01" w:type="dxa"/>
            <w:vMerge w:val="continue"/>
            <w:tcBorders>
              <w:tl2br w:val="nil"/>
              <w:tr2bl w:val="nil"/>
            </w:tcBorders>
            <w:shd w:val="clear" w:color="auto" w:fill="auto"/>
            <w:vAlign w:val="center"/>
          </w:tcPr>
          <w:p w14:paraId="304CF0E3">
            <w:pPr>
              <w:pStyle w:val="34"/>
              <w:tabs>
                <w:tab w:val="left" w:pos="1389"/>
              </w:tabs>
              <w:bidi w:val="0"/>
              <w:rPr>
                <w:rFonts w:hint="eastAsia"/>
                <w:color w:val="auto"/>
              </w:rPr>
            </w:pPr>
          </w:p>
        </w:tc>
        <w:tc>
          <w:tcPr>
            <w:tcW w:w="1359" w:type="dxa"/>
            <w:tcBorders>
              <w:tl2br w:val="nil"/>
              <w:tr2bl w:val="nil"/>
            </w:tcBorders>
            <w:shd w:val="clear" w:color="auto" w:fill="auto"/>
            <w:vAlign w:val="center"/>
          </w:tcPr>
          <w:p w14:paraId="1B80E893">
            <w:pPr>
              <w:pStyle w:val="34"/>
              <w:tabs>
                <w:tab w:val="left" w:pos="1389"/>
              </w:tabs>
              <w:bidi w:val="0"/>
              <w:rPr>
                <w:rFonts w:hint="eastAsia"/>
                <w:color w:val="auto"/>
              </w:rPr>
            </w:pPr>
            <w:r>
              <w:rPr>
                <w:rFonts w:hint="eastAsia"/>
                <w:color w:val="auto"/>
                <w:lang w:val="en-US" w:eastAsia="zh-CN"/>
              </w:rPr>
              <w:t>小计</w:t>
            </w:r>
          </w:p>
        </w:tc>
        <w:tc>
          <w:tcPr>
            <w:tcW w:w="1335" w:type="dxa"/>
            <w:tcBorders>
              <w:tl2br w:val="nil"/>
              <w:tr2bl w:val="nil"/>
            </w:tcBorders>
            <w:shd w:val="clear" w:color="auto" w:fill="auto"/>
            <w:vAlign w:val="top"/>
          </w:tcPr>
          <w:p w14:paraId="4CC7A3FE">
            <w:pPr>
              <w:pStyle w:val="34"/>
              <w:tabs>
                <w:tab w:val="left" w:pos="1389"/>
              </w:tabs>
              <w:bidi w:val="0"/>
              <w:rPr>
                <w:rFonts w:hint="default"/>
                <w:color w:val="auto"/>
              </w:rPr>
            </w:pPr>
            <w:r>
              <w:rPr>
                <w:rFonts w:hint="default"/>
                <w:color w:val="auto"/>
                <w:lang w:val="en-US" w:eastAsia="zh-CN"/>
              </w:rPr>
              <w:t>240.8823</w:t>
            </w:r>
          </w:p>
        </w:tc>
        <w:tc>
          <w:tcPr>
            <w:tcW w:w="1335" w:type="dxa"/>
            <w:tcBorders>
              <w:tl2br w:val="nil"/>
              <w:tr2bl w:val="nil"/>
            </w:tcBorders>
            <w:shd w:val="clear" w:color="auto" w:fill="auto"/>
            <w:vAlign w:val="top"/>
          </w:tcPr>
          <w:p w14:paraId="77643FBB">
            <w:pPr>
              <w:pStyle w:val="34"/>
              <w:tabs>
                <w:tab w:val="left" w:pos="1389"/>
              </w:tabs>
              <w:bidi w:val="0"/>
              <w:rPr>
                <w:rFonts w:hint="default"/>
                <w:color w:val="auto"/>
              </w:rPr>
            </w:pPr>
            <w:r>
              <w:rPr>
                <w:rFonts w:hint="default"/>
                <w:color w:val="auto"/>
                <w:lang w:val="en-US" w:eastAsia="zh-CN"/>
              </w:rPr>
              <w:t>21.22</w:t>
            </w:r>
          </w:p>
        </w:tc>
        <w:tc>
          <w:tcPr>
            <w:tcW w:w="1335" w:type="dxa"/>
            <w:tcBorders>
              <w:tl2br w:val="nil"/>
              <w:tr2bl w:val="nil"/>
            </w:tcBorders>
            <w:shd w:val="clear" w:color="auto" w:fill="auto"/>
            <w:vAlign w:val="center"/>
          </w:tcPr>
          <w:p w14:paraId="25BE6352">
            <w:pPr>
              <w:pStyle w:val="34"/>
              <w:tabs>
                <w:tab w:val="left" w:pos="1389"/>
              </w:tabs>
              <w:bidi w:val="0"/>
              <w:rPr>
                <w:rFonts w:hint="default"/>
                <w:color w:val="auto"/>
              </w:rPr>
            </w:pPr>
            <w:r>
              <w:rPr>
                <w:rFonts w:hint="default"/>
                <w:color w:val="auto"/>
                <w:lang w:val="en-US" w:eastAsia="zh-CN"/>
              </w:rPr>
              <w:t>240.8823</w:t>
            </w:r>
          </w:p>
        </w:tc>
        <w:tc>
          <w:tcPr>
            <w:tcW w:w="1320" w:type="dxa"/>
            <w:tcBorders>
              <w:tl2br w:val="nil"/>
              <w:tr2bl w:val="nil"/>
            </w:tcBorders>
            <w:shd w:val="clear" w:color="auto" w:fill="auto"/>
            <w:vAlign w:val="center"/>
          </w:tcPr>
          <w:p w14:paraId="329E2FDE">
            <w:pPr>
              <w:pStyle w:val="34"/>
              <w:tabs>
                <w:tab w:val="left" w:pos="1389"/>
              </w:tabs>
              <w:bidi w:val="0"/>
              <w:rPr>
                <w:rFonts w:hint="default"/>
                <w:color w:val="auto"/>
              </w:rPr>
            </w:pPr>
            <w:r>
              <w:rPr>
                <w:rFonts w:hint="default"/>
                <w:color w:val="auto"/>
                <w:lang w:val="en-US" w:eastAsia="zh-CN"/>
              </w:rPr>
              <w:t>0</w:t>
            </w:r>
          </w:p>
        </w:tc>
        <w:tc>
          <w:tcPr>
            <w:tcW w:w="1276" w:type="dxa"/>
            <w:tcBorders>
              <w:tl2br w:val="nil"/>
              <w:tr2bl w:val="nil"/>
            </w:tcBorders>
            <w:shd w:val="clear" w:color="auto" w:fill="auto"/>
            <w:vAlign w:val="center"/>
          </w:tcPr>
          <w:p w14:paraId="5F226FA3">
            <w:pPr>
              <w:pStyle w:val="34"/>
              <w:tabs>
                <w:tab w:val="left" w:pos="1389"/>
              </w:tabs>
              <w:bidi w:val="0"/>
              <w:rPr>
                <w:rFonts w:hint="default"/>
                <w:color w:val="auto"/>
              </w:rPr>
            </w:pPr>
            <w:r>
              <w:rPr>
                <w:rFonts w:hint="default"/>
                <w:color w:val="auto"/>
                <w:lang w:val="en-US" w:eastAsia="zh-CN"/>
              </w:rPr>
              <w:t>0</w:t>
            </w:r>
          </w:p>
        </w:tc>
      </w:tr>
      <w:tr w14:paraId="2B254F3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trPr>
        <w:tc>
          <w:tcPr>
            <w:tcW w:w="2160" w:type="dxa"/>
            <w:gridSpan w:val="2"/>
            <w:tcBorders>
              <w:tl2br w:val="nil"/>
              <w:tr2bl w:val="nil"/>
            </w:tcBorders>
            <w:shd w:val="clear" w:color="auto" w:fill="auto"/>
            <w:vAlign w:val="center"/>
          </w:tcPr>
          <w:p w14:paraId="2344B1C5">
            <w:pPr>
              <w:pStyle w:val="34"/>
              <w:tabs>
                <w:tab w:val="left" w:pos="1389"/>
              </w:tabs>
              <w:bidi w:val="0"/>
              <w:rPr>
                <w:rFonts w:hint="default"/>
                <w:color w:val="auto"/>
              </w:rPr>
            </w:pPr>
            <w:r>
              <w:rPr>
                <w:rFonts w:hint="default"/>
                <w:color w:val="auto"/>
                <w:lang w:val="en-US" w:eastAsia="zh-CN"/>
              </w:rPr>
              <w:t>合计</w:t>
            </w:r>
          </w:p>
        </w:tc>
        <w:tc>
          <w:tcPr>
            <w:tcW w:w="1335" w:type="dxa"/>
            <w:tcBorders>
              <w:tl2br w:val="nil"/>
              <w:tr2bl w:val="nil"/>
            </w:tcBorders>
            <w:shd w:val="clear" w:color="auto" w:fill="auto"/>
            <w:vAlign w:val="top"/>
          </w:tcPr>
          <w:p w14:paraId="54BBE6A8">
            <w:pPr>
              <w:pStyle w:val="34"/>
              <w:tabs>
                <w:tab w:val="left" w:pos="1389"/>
              </w:tabs>
              <w:bidi w:val="0"/>
              <w:rPr>
                <w:rFonts w:hint="default"/>
                <w:color w:val="auto"/>
              </w:rPr>
            </w:pPr>
            <w:r>
              <w:rPr>
                <w:rFonts w:hint="default"/>
                <w:color w:val="auto"/>
                <w:lang w:val="en-US" w:eastAsia="zh-CN"/>
              </w:rPr>
              <w:t>1135.3951</w:t>
            </w:r>
          </w:p>
        </w:tc>
        <w:tc>
          <w:tcPr>
            <w:tcW w:w="1335" w:type="dxa"/>
            <w:tcBorders>
              <w:tl2br w:val="nil"/>
              <w:tr2bl w:val="nil"/>
            </w:tcBorders>
            <w:shd w:val="clear" w:color="auto" w:fill="auto"/>
            <w:vAlign w:val="top"/>
          </w:tcPr>
          <w:p w14:paraId="270756E0">
            <w:pPr>
              <w:pStyle w:val="34"/>
              <w:tabs>
                <w:tab w:val="left" w:pos="1389"/>
              </w:tabs>
              <w:bidi w:val="0"/>
              <w:rPr>
                <w:rFonts w:hint="default"/>
                <w:color w:val="auto"/>
              </w:rPr>
            </w:pPr>
            <w:r>
              <w:rPr>
                <w:rFonts w:hint="default"/>
                <w:color w:val="auto"/>
                <w:lang w:val="en-US" w:eastAsia="zh-CN"/>
              </w:rPr>
              <w:t>100</w:t>
            </w:r>
          </w:p>
        </w:tc>
        <w:tc>
          <w:tcPr>
            <w:tcW w:w="1335" w:type="dxa"/>
            <w:tcBorders>
              <w:tl2br w:val="nil"/>
              <w:tr2bl w:val="nil"/>
            </w:tcBorders>
            <w:shd w:val="clear" w:color="auto" w:fill="auto"/>
            <w:vAlign w:val="center"/>
          </w:tcPr>
          <w:p w14:paraId="2400AAF2">
            <w:pPr>
              <w:pStyle w:val="34"/>
              <w:tabs>
                <w:tab w:val="left" w:pos="1389"/>
              </w:tabs>
              <w:bidi w:val="0"/>
              <w:rPr>
                <w:rFonts w:hint="default"/>
                <w:color w:val="auto"/>
                <w:lang w:val="en-US"/>
              </w:rPr>
            </w:pPr>
            <w:r>
              <w:rPr>
                <w:rFonts w:hint="default"/>
                <w:color w:val="auto"/>
                <w:lang w:val="en-US" w:eastAsia="zh-CN"/>
              </w:rPr>
              <w:t>1135.3951</w:t>
            </w:r>
          </w:p>
        </w:tc>
        <w:tc>
          <w:tcPr>
            <w:tcW w:w="1320" w:type="dxa"/>
            <w:tcBorders>
              <w:tl2br w:val="nil"/>
              <w:tr2bl w:val="nil"/>
            </w:tcBorders>
            <w:shd w:val="clear" w:color="auto" w:fill="auto"/>
            <w:vAlign w:val="center"/>
          </w:tcPr>
          <w:p w14:paraId="4CEA1FD6">
            <w:pPr>
              <w:pStyle w:val="34"/>
              <w:tabs>
                <w:tab w:val="left" w:pos="1389"/>
              </w:tabs>
              <w:bidi w:val="0"/>
              <w:rPr>
                <w:rFonts w:hint="default"/>
                <w:color w:val="auto"/>
              </w:rPr>
            </w:pPr>
            <w:r>
              <w:rPr>
                <w:rFonts w:hint="default"/>
                <w:color w:val="auto"/>
                <w:lang w:val="en-US" w:eastAsia="zh-CN"/>
              </w:rPr>
              <w:t>0</w:t>
            </w:r>
          </w:p>
        </w:tc>
        <w:tc>
          <w:tcPr>
            <w:tcW w:w="1276" w:type="dxa"/>
            <w:tcBorders>
              <w:tl2br w:val="nil"/>
              <w:tr2bl w:val="nil"/>
            </w:tcBorders>
            <w:shd w:val="clear" w:color="auto" w:fill="auto"/>
            <w:vAlign w:val="center"/>
          </w:tcPr>
          <w:p w14:paraId="11E59E8C">
            <w:pPr>
              <w:pStyle w:val="34"/>
              <w:tabs>
                <w:tab w:val="left" w:pos="1389"/>
              </w:tabs>
              <w:bidi w:val="0"/>
              <w:rPr>
                <w:rFonts w:hint="default"/>
                <w:color w:val="auto"/>
              </w:rPr>
            </w:pPr>
            <w:r>
              <w:rPr>
                <w:rFonts w:hint="default"/>
                <w:color w:val="auto"/>
                <w:lang w:val="en-US" w:eastAsia="zh-CN"/>
              </w:rPr>
              <w:t>0</w:t>
            </w:r>
          </w:p>
        </w:tc>
      </w:tr>
    </w:tbl>
    <w:p w14:paraId="17621D27">
      <w:pPr>
        <w:pStyle w:val="34"/>
        <w:tabs>
          <w:tab w:val="left" w:pos="1389"/>
        </w:tabs>
        <w:bidi w:val="0"/>
        <w:jc w:val="both"/>
        <w:rPr>
          <w:rFonts w:hint="default"/>
          <w:color w:val="auto"/>
          <w:lang w:val="en-US" w:eastAsia="zh-CN"/>
        </w:rPr>
      </w:pPr>
      <w:r>
        <w:rPr>
          <w:rFonts w:hint="eastAsia"/>
          <w:color w:val="auto"/>
          <w:lang w:val="en-US" w:eastAsia="zh-CN"/>
        </w:rPr>
        <w:t>注：表中“－”代表减少量和减少率。</w:t>
      </w:r>
    </w:p>
    <w:p w14:paraId="2E9755FC">
      <w:pPr>
        <w:pStyle w:val="41"/>
        <w:bidi w:val="0"/>
        <w:rPr>
          <w:rFonts w:hint="eastAsia"/>
          <w:color w:val="auto"/>
          <w:lang w:val="en-US" w:eastAsia="zh-CN"/>
        </w:rPr>
      </w:pPr>
      <w:r>
        <w:rPr>
          <w:rFonts w:hint="eastAsia"/>
          <w:color w:val="auto"/>
          <w:sz w:val="24"/>
          <w:highlight w:val="none"/>
          <w:lang w:val="en-US" w:eastAsia="zh-CN"/>
        </w:rPr>
        <w:t>经调查，项目评价区及周边区域无特色景观或景点资源，因区域景观类型以耕地和草地为景观基底；项目实施后不会改变区域以耕地和草地为基底的景观体系。对区域景观格局不会造成割裂影响。</w:t>
      </w:r>
    </w:p>
    <w:p w14:paraId="012211D5">
      <w:pPr>
        <w:pStyle w:val="41"/>
        <w:bidi w:val="0"/>
        <w:rPr>
          <w:rFonts w:hint="eastAsia"/>
          <w:color w:val="auto"/>
          <w:lang w:val="en-US" w:eastAsia="zh-CN"/>
        </w:rPr>
      </w:pPr>
      <w:r>
        <w:rPr>
          <w:rFonts w:hint="eastAsia"/>
          <w:color w:val="auto"/>
          <w:lang w:val="en-US" w:eastAsia="zh-CN"/>
        </w:rPr>
        <w:t>项目所在区域的景观类型主体是森林、灌丛、旱地、村寨道路等构成的山地自然景观。项目建设对景观的不利影响主要体现在项目施工的初期，因场内道路建设、运行、场址挖填平整、造成地表裸露也会有损景观的美感；其次，项目建成后，原有的自然景观掺杂进了风机机组等人工组件，使原有的质朴的自然景观之美受到影响，人工景观分割了原有景观格局，但风机平台错落有致地布置于青山之上，也增加了独特的具有现代化标志的景观格局。因此，本项目的建设对评价区内景观影响评价为低。</w:t>
      </w:r>
    </w:p>
    <w:p w14:paraId="4DD4D691">
      <w:pPr>
        <w:pStyle w:val="3"/>
        <w:bidi w:val="0"/>
        <w:rPr>
          <w:rFonts w:hint="default"/>
          <w:color w:val="auto"/>
          <w:highlight w:val="none"/>
          <w:lang w:val="en-US" w:eastAsia="zh-CN"/>
        </w:rPr>
      </w:pPr>
      <w:r>
        <w:rPr>
          <w:rFonts w:hint="eastAsia"/>
          <w:color w:val="auto"/>
          <w:highlight w:val="none"/>
          <w:lang w:val="en-US" w:eastAsia="zh-CN"/>
        </w:rPr>
        <w:t>4.5对占用的一般生态空间优先管控单元的影响</w:t>
      </w:r>
    </w:p>
    <w:p w14:paraId="520D2119">
      <w:pPr>
        <w:pStyle w:val="41"/>
        <w:bidi w:val="0"/>
        <w:rPr>
          <w:rFonts w:hint="default"/>
          <w:color w:val="auto"/>
          <w:lang w:val="en-US" w:eastAsia="zh-CN"/>
        </w:rPr>
      </w:pPr>
      <w:r>
        <w:rPr>
          <w:rFonts w:hint="eastAsia"/>
          <w:color w:val="auto"/>
          <w:lang w:val="en-US" w:eastAsia="zh-CN"/>
        </w:rPr>
        <w:t>依据云南省生态环境厅分区管控单元的查询结果，项目涉及占用宣威市一般生态空间优先管控单元，占用曲靖市一般生态空间优先管控单元的工程包括风机机位、风机吊装平台、地埋电缆和进场道路，依据与宣威市林草局提供的数据对比分析，项目主要占用的一般生态空间优先管控单元为草地，草地植被为次生性禾草草丛；此外项目ZXB16风机平台北侧占用省级公益林，公益林区域的植被类型为云南松林。云南松林为宣威市乃至云南省广泛分布的植被类型，次生性草丛为该区域耕地撂荒后发展而来，草丛内的物种均为常见物种，且区域内云南松林和次生性草丛广泛分布，项目占用面积较少，不会损害宣威市一般生态空间优先保护单元的生态服务功能，项目建设对一般生态空间优先管控单元的影响较小。</w:t>
      </w:r>
    </w:p>
    <w:p w14:paraId="32CF2449">
      <w:pPr>
        <w:pStyle w:val="41"/>
        <w:bidi w:val="0"/>
        <w:rPr>
          <w:rFonts w:hint="eastAsia"/>
          <w:color w:val="auto"/>
          <w:lang w:val="en-US" w:eastAsia="zh-CN"/>
        </w:rPr>
        <w:sectPr>
          <w:pgSz w:w="11906" w:h="16838"/>
          <w:pgMar w:top="1701" w:right="1588" w:bottom="1418" w:left="1588" w:header="1247" w:footer="1418" w:gutter="0"/>
          <w:pgBorders>
            <w:top w:val="none" w:sz="0" w:space="0"/>
            <w:left w:val="none" w:sz="0" w:space="0"/>
            <w:bottom w:val="none" w:sz="0" w:space="0"/>
            <w:right w:val="none" w:sz="0" w:space="0"/>
          </w:pgBorders>
          <w:pgNumType w:fmt="decimal"/>
          <w:cols w:space="720" w:num="1"/>
          <w:docGrid w:type="lines" w:linePitch="312" w:charSpace="0"/>
        </w:sectPr>
      </w:pPr>
    </w:p>
    <w:p w14:paraId="7988564A">
      <w:pPr>
        <w:pStyle w:val="3"/>
        <w:bidi w:val="0"/>
        <w:rPr>
          <w:rFonts w:hint="eastAsia"/>
          <w:sz w:val="32"/>
          <w:szCs w:val="32"/>
          <w:lang w:val="en-US" w:eastAsia="zh-CN"/>
        </w:rPr>
      </w:pPr>
      <w:bookmarkStart w:id="69" w:name="_Toc2179"/>
      <w:bookmarkStart w:id="70" w:name="_Toc19097"/>
      <w:r>
        <w:rPr>
          <w:rFonts w:hint="eastAsia"/>
          <w:sz w:val="32"/>
          <w:szCs w:val="32"/>
          <w:lang w:val="en-US" w:eastAsia="zh-CN"/>
        </w:rPr>
        <w:t>5.施工期生态环境保护措施</w:t>
      </w:r>
      <w:bookmarkEnd w:id="69"/>
      <w:bookmarkEnd w:id="70"/>
    </w:p>
    <w:p w14:paraId="502166BC">
      <w:pPr>
        <w:pStyle w:val="3"/>
        <w:bidi w:val="0"/>
        <w:rPr>
          <w:rFonts w:hint="eastAsia"/>
          <w:color w:val="auto"/>
          <w:lang w:val="en-US" w:eastAsia="zh-CN"/>
        </w:rPr>
      </w:pPr>
      <w:r>
        <w:rPr>
          <w:rFonts w:hint="eastAsia"/>
          <w:color w:val="auto"/>
          <w:lang w:val="en-US" w:eastAsia="zh-CN"/>
        </w:rPr>
        <w:t>5.1植被与植物保护措施</w:t>
      </w:r>
    </w:p>
    <w:p w14:paraId="6E629052">
      <w:pPr>
        <w:pStyle w:val="4"/>
        <w:bidi w:val="0"/>
        <w:rPr>
          <w:rFonts w:hint="eastAsia"/>
          <w:color w:val="auto"/>
          <w:lang w:val="en-US" w:eastAsia="zh-CN"/>
        </w:rPr>
      </w:pPr>
      <w:bookmarkStart w:id="71" w:name="_Toc16493"/>
      <w:r>
        <w:rPr>
          <w:rFonts w:hint="eastAsia"/>
          <w:color w:val="auto"/>
          <w:lang w:val="en-US" w:eastAsia="zh-CN"/>
        </w:rPr>
        <w:t>5.1.1保护措施</w:t>
      </w:r>
      <w:bookmarkEnd w:id="71"/>
    </w:p>
    <w:p w14:paraId="39953B14">
      <w:pPr>
        <w:pStyle w:val="41"/>
        <w:bidi w:val="0"/>
        <w:rPr>
          <w:color w:val="auto"/>
        </w:rPr>
      </w:pPr>
      <w:r>
        <w:rPr>
          <w:color w:val="auto"/>
        </w:rPr>
        <w:t>1</w:t>
      </w:r>
      <w:r>
        <w:rPr>
          <w:rFonts w:hint="eastAsia"/>
          <w:color w:val="auto"/>
          <w:lang w:val="en-US" w:eastAsia="zh-CN"/>
        </w:rPr>
        <w:t>.</w:t>
      </w:r>
      <w:r>
        <w:rPr>
          <w:color w:val="auto"/>
        </w:rPr>
        <w:t>设计阶段</w:t>
      </w:r>
    </w:p>
    <w:p w14:paraId="0C51AFB6">
      <w:pPr>
        <w:pStyle w:val="41"/>
        <w:bidi w:val="0"/>
        <w:rPr>
          <w:color w:val="auto"/>
        </w:rPr>
      </w:pPr>
      <w:r>
        <w:rPr>
          <w:color w:val="auto"/>
        </w:rPr>
        <w:t>（1）遵循</w:t>
      </w:r>
      <w:r>
        <w:rPr>
          <w:rFonts w:hint="eastAsia"/>
          <w:color w:val="auto"/>
          <w:lang w:eastAsia="zh-CN"/>
        </w:rPr>
        <w:t>“</w:t>
      </w:r>
      <w:r>
        <w:rPr>
          <w:color w:val="auto"/>
        </w:rPr>
        <w:t>生态优先，风机尽量集中连片布置，原则上不占用半湿润常绿阔叶林（次生林），</w:t>
      </w:r>
      <w:r>
        <w:rPr>
          <w:rFonts w:hint="eastAsia"/>
          <w:color w:val="auto"/>
          <w:lang w:val="en-US" w:eastAsia="zh-CN"/>
        </w:rPr>
        <w:t>风机吊装平台</w:t>
      </w:r>
      <w:r>
        <w:rPr>
          <w:color w:val="auto"/>
        </w:rPr>
        <w:t>等临时生产生活</w:t>
      </w:r>
      <w:r>
        <w:rPr>
          <w:rFonts w:hint="eastAsia"/>
          <w:color w:val="auto"/>
          <w:lang w:val="en-US" w:eastAsia="zh-CN"/>
        </w:rPr>
        <w:t>区</w:t>
      </w:r>
      <w:r>
        <w:rPr>
          <w:color w:val="auto"/>
        </w:rPr>
        <w:t>不占用生态质量高的植被，在减少生态破坏前提下，充分利用风能资源</w:t>
      </w:r>
      <w:r>
        <w:rPr>
          <w:rFonts w:hint="eastAsia"/>
          <w:color w:val="auto"/>
          <w:lang w:eastAsia="zh-CN"/>
        </w:rPr>
        <w:t>”</w:t>
      </w:r>
      <w:r>
        <w:rPr>
          <w:color w:val="auto"/>
        </w:rPr>
        <w:t>等原则。</w:t>
      </w:r>
    </w:p>
    <w:p w14:paraId="46025565">
      <w:pPr>
        <w:pStyle w:val="41"/>
        <w:bidi w:val="0"/>
        <w:rPr>
          <w:color w:val="auto"/>
        </w:rPr>
      </w:pPr>
      <w:r>
        <w:rPr>
          <w:color w:val="auto"/>
        </w:rPr>
        <w:t>（2）下一阶段设计中尽量保留区内自然植被，尤其是生长较好的乔木林等，应尽量收缩场内施工道路边坡，优化线形，尽可能地少占用林地，降低对自然植被的破坏。</w:t>
      </w:r>
    </w:p>
    <w:p w14:paraId="0D47E105">
      <w:pPr>
        <w:pStyle w:val="41"/>
        <w:bidi w:val="0"/>
        <w:rPr>
          <w:color w:val="auto"/>
        </w:rPr>
      </w:pPr>
      <w:r>
        <w:rPr>
          <w:color w:val="auto"/>
        </w:rPr>
        <w:t>（3）绿化与植被恢复工程应与主体工程同时设计。绿化树种应注意选择符合区域景观的乡土树种，禁止引入外来物种（可向有关专家和当地林业部门咨询）；植被恢复需选择适生、易成活、生长快的树、草种进行植被恢复。</w:t>
      </w:r>
    </w:p>
    <w:p w14:paraId="62FE2890">
      <w:pPr>
        <w:pStyle w:val="41"/>
        <w:bidi w:val="0"/>
        <w:rPr>
          <w:color w:val="auto"/>
        </w:rPr>
      </w:pPr>
      <w:r>
        <w:rPr>
          <w:rFonts w:hint="eastAsia"/>
          <w:color w:val="auto"/>
          <w:lang w:val="en-US" w:eastAsia="zh-CN"/>
        </w:rPr>
        <w:t>2.</w:t>
      </w:r>
      <w:r>
        <w:rPr>
          <w:color w:val="auto"/>
        </w:rPr>
        <w:t>施工阶段</w:t>
      </w:r>
    </w:p>
    <w:p w14:paraId="324E4F2A">
      <w:pPr>
        <w:pStyle w:val="41"/>
        <w:bidi w:val="0"/>
        <w:rPr>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eastAsia"/>
          <w:color w:val="auto"/>
        </w:rPr>
        <w:t>施工前，加强对施工人员的</w:t>
      </w:r>
      <w:r>
        <w:rPr>
          <w:rFonts w:hint="eastAsia"/>
          <w:color w:val="auto"/>
          <w:lang w:eastAsia="zh-CN"/>
        </w:rPr>
        <w:t>生态环境保护宣传教育工作</w:t>
      </w:r>
      <w:r>
        <w:rPr>
          <w:rFonts w:hint="eastAsia"/>
          <w:color w:val="auto"/>
        </w:rPr>
        <w:t>，包括生态保护的科普知识、相关法规、本工程拟采用的生态保护措施及意义等；</w:t>
      </w:r>
    </w:p>
    <w:p w14:paraId="2F9DF76A">
      <w:pPr>
        <w:pStyle w:val="41"/>
        <w:bidi w:val="0"/>
        <w:rPr>
          <w:color w:val="auto"/>
          <w:highlight w:val="none"/>
        </w:rPr>
      </w:pPr>
      <w:r>
        <w:rPr>
          <w:color w:val="auto"/>
          <w:highlight w:val="none"/>
        </w:rPr>
        <w:t>（</w:t>
      </w:r>
      <w:r>
        <w:rPr>
          <w:rFonts w:hint="eastAsia"/>
          <w:color w:val="auto"/>
          <w:highlight w:val="none"/>
          <w:lang w:val="en-US" w:eastAsia="zh-CN"/>
        </w:rPr>
        <w:t>2</w:t>
      </w:r>
      <w:r>
        <w:rPr>
          <w:color w:val="auto"/>
          <w:highlight w:val="none"/>
        </w:rPr>
        <w:t>）严格在施工征地红线范围内施工，不得在征地红线外开挖、</w:t>
      </w:r>
      <w:r>
        <w:rPr>
          <w:rFonts w:hint="eastAsia"/>
          <w:color w:val="auto"/>
          <w:highlight w:val="none"/>
          <w:lang w:eastAsia="zh-CN"/>
        </w:rPr>
        <w:t>乱砍滥伐</w:t>
      </w:r>
      <w:r>
        <w:rPr>
          <w:color w:val="auto"/>
          <w:highlight w:val="none"/>
        </w:rPr>
        <w:t>，对调查区内的天然乔木林地采取避让措施</w:t>
      </w:r>
      <w:r>
        <w:rPr>
          <w:rFonts w:hint="eastAsia"/>
          <w:color w:val="auto"/>
          <w:highlight w:val="none"/>
          <w:lang w:eastAsia="zh-CN"/>
        </w:rPr>
        <w:t>，</w:t>
      </w:r>
      <w:r>
        <w:rPr>
          <w:color w:val="auto"/>
          <w:highlight w:val="none"/>
        </w:rPr>
        <w:t>不得破坏</w:t>
      </w:r>
      <w:r>
        <w:rPr>
          <w:rFonts w:hint="eastAsia"/>
          <w:color w:val="auto"/>
          <w:highlight w:val="none"/>
          <w:lang w:val="en-US" w:eastAsia="zh-CN"/>
        </w:rPr>
        <w:t>不在征地范围内的</w:t>
      </w:r>
      <w:r>
        <w:rPr>
          <w:color w:val="auto"/>
          <w:highlight w:val="none"/>
        </w:rPr>
        <w:t>云南省公益林，做好公益林的保护工作。</w:t>
      </w:r>
    </w:p>
    <w:p w14:paraId="19464C37">
      <w:pPr>
        <w:pStyle w:val="41"/>
        <w:bidi w:val="0"/>
        <w:rPr>
          <w:color w:val="auto"/>
        </w:rPr>
      </w:pPr>
      <w:r>
        <w:rPr>
          <w:color w:val="auto"/>
        </w:rPr>
        <w:t>（</w:t>
      </w:r>
      <w:r>
        <w:rPr>
          <w:rFonts w:hint="eastAsia"/>
          <w:color w:val="auto"/>
          <w:lang w:val="en-US" w:eastAsia="zh-CN"/>
        </w:rPr>
        <w:t>3</w:t>
      </w:r>
      <w:r>
        <w:rPr>
          <w:color w:val="auto"/>
        </w:rPr>
        <w:t>）严格按照施工用地规划进行弃渣及表土临时堆置，禁止在规划外区域随意弃土和进行表土堆置，临时占地尽可能避让植被覆盖率较高的林地，</w:t>
      </w:r>
      <w:r>
        <w:rPr>
          <w:rFonts w:hint="eastAsia"/>
          <w:color w:val="auto"/>
          <w:lang w:eastAsia="zh-CN"/>
        </w:rPr>
        <w:t>减少</w:t>
      </w:r>
      <w:r>
        <w:rPr>
          <w:color w:val="auto"/>
        </w:rPr>
        <w:t>对林地的占用。</w:t>
      </w:r>
    </w:p>
    <w:p w14:paraId="57ACFDF0">
      <w:pPr>
        <w:pStyle w:val="41"/>
        <w:bidi w:val="0"/>
        <w:rPr>
          <w:color w:val="auto"/>
        </w:rPr>
      </w:pPr>
      <w:r>
        <w:rPr>
          <w:color w:val="auto"/>
        </w:rPr>
        <w:t>（</w:t>
      </w:r>
      <w:r>
        <w:rPr>
          <w:rFonts w:hint="eastAsia"/>
          <w:color w:val="auto"/>
          <w:lang w:val="en-US" w:eastAsia="zh-CN"/>
        </w:rPr>
        <w:t>4</w:t>
      </w:r>
      <w:r>
        <w:rPr>
          <w:color w:val="auto"/>
        </w:rPr>
        <w:t>）施工过程中要注意保护好表层土壤，对剥离表土妥善堆存，施工结束后用于施工迹地的植被恢复。</w:t>
      </w:r>
    </w:p>
    <w:p w14:paraId="63C6A762">
      <w:pPr>
        <w:pStyle w:val="41"/>
        <w:bidi w:val="0"/>
        <w:rPr>
          <w:color w:val="auto"/>
        </w:rPr>
      </w:pPr>
      <w:r>
        <w:rPr>
          <w:color w:val="auto"/>
        </w:rPr>
        <w:t>（</w:t>
      </w:r>
      <w:r>
        <w:rPr>
          <w:rFonts w:hint="eastAsia"/>
          <w:color w:val="auto"/>
          <w:lang w:val="en-US" w:eastAsia="zh-CN"/>
        </w:rPr>
        <w:t>5</w:t>
      </w:r>
      <w:r>
        <w:rPr>
          <w:color w:val="auto"/>
        </w:rPr>
        <w:t>）严格执行《水土保持方案》提出的各项水土保持措施</w:t>
      </w:r>
      <w:r>
        <w:rPr>
          <w:rFonts w:hint="eastAsia"/>
          <w:color w:val="auto"/>
          <w:lang w:eastAsia="zh-CN"/>
        </w:rPr>
        <w:t>，其他</w:t>
      </w:r>
      <w:r>
        <w:rPr>
          <w:color w:val="auto"/>
        </w:rPr>
        <w:t>临时堆场做到</w:t>
      </w:r>
      <w:r>
        <w:rPr>
          <w:rFonts w:hint="eastAsia"/>
          <w:color w:val="auto"/>
          <w:lang w:eastAsia="zh-CN"/>
        </w:rPr>
        <w:t>“</w:t>
      </w:r>
      <w:r>
        <w:rPr>
          <w:color w:val="auto"/>
        </w:rPr>
        <w:t>先防护后使用</w:t>
      </w:r>
      <w:r>
        <w:rPr>
          <w:rFonts w:hint="eastAsia"/>
          <w:color w:val="auto"/>
          <w:lang w:eastAsia="zh-CN"/>
        </w:rPr>
        <w:t>”</w:t>
      </w:r>
      <w:r>
        <w:rPr>
          <w:color w:val="auto"/>
        </w:rPr>
        <w:t>。</w:t>
      </w:r>
    </w:p>
    <w:p w14:paraId="578FB625">
      <w:pPr>
        <w:pStyle w:val="41"/>
        <w:bidi w:val="0"/>
        <w:rPr>
          <w:color w:val="auto"/>
        </w:rPr>
      </w:pPr>
      <w:r>
        <w:rPr>
          <w:color w:val="auto"/>
        </w:rPr>
        <w:t>（</w:t>
      </w:r>
      <w:r>
        <w:rPr>
          <w:rFonts w:hint="eastAsia"/>
          <w:color w:val="auto"/>
          <w:lang w:val="en-US" w:eastAsia="zh-CN"/>
        </w:rPr>
        <w:t>6</w:t>
      </w:r>
      <w:r>
        <w:rPr>
          <w:color w:val="auto"/>
        </w:rPr>
        <w:t>）施工结束后必须清理场地，及时清除施工废料，施工场地应进行绿化，恢复周围环境原貌，不得造成污染和破坏。</w:t>
      </w:r>
    </w:p>
    <w:p w14:paraId="0BD8F8E7">
      <w:pPr>
        <w:pStyle w:val="41"/>
        <w:bidi w:val="0"/>
        <w:rPr>
          <w:color w:val="auto"/>
        </w:rPr>
      </w:pPr>
      <w:r>
        <w:rPr>
          <w:color w:val="auto"/>
        </w:rPr>
        <w:t>（</w:t>
      </w:r>
      <w:r>
        <w:rPr>
          <w:rFonts w:hint="eastAsia"/>
          <w:color w:val="auto"/>
          <w:lang w:val="en-US" w:eastAsia="zh-CN"/>
        </w:rPr>
        <w:t>7</w:t>
      </w:r>
      <w:r>
        <w:rPr>
          <w:color w:val="auto"/>
        </w:rPr>
        <w:t>）</w:t>
      </w:r>
      <w:r>
        <w:rPr>
          <w:rFonts w:hint="eastAsia"/>
          <w:color w:val="auto"/>
        </w:rPr>
        <w:t>加强森林防火方面知识宣传，禁止野外用火，并在各施工区设置环保宣传牌和防火警示牌，</w:t>
      </w:r>
      <w:r>
        <w:rPr>
          <w:color w:val="auto"/>
        </w:rPr>
        <w:t>防止森林火灾的发生。</w:t>
      </w:r>
    </w:p>
    <w:p w14:paraId="4A111B22">
      <w:pPr>
        <w:pStyle w:val="4"/>
        <w:bidi w:val="0"/>
        <w:rPr>
          <w:rFonts w:hint="eastAsia"/>
          <w:color w:val="auto"/>
          <w:lang w:val="en-US" w:eastAsia="zh-CN"/>
        </w:rPr>
      </w:pPr>
      <w:bookmarkStart w:id="72" w:name="_Toc328"/>
      <w:r>
        <w:rPr>
          <w:rFonts w:hint="eastAsia"/>
          <w:color w:val="auto"/>
          <w:lang w:val="en-US" w:eastAsia="zh-CN"/>
        </w:rPr>
        <w:t>5.1.2恢复措施</w:t>
      </w:r>
      <w:bookmarkEnd w:id="72"/>
    </w:p>
    <w:p w14:paraId="7C660487">
      <w:pPr>
        <w:pStyle w:val="41"/>
        <w:bidi w:val="0"/>
        <w:rPr>
          <w:rFonts w:hint="default" w:eastAsia="宋体"/>
          <w:color w:val="auto"/>
          <w:highlight w:val="none"/>
          <w:lang w:val="en-US" w:eastAsia="zh-CN"/>
        </w:rPr>
      </w:pPr>
      <w:r>
        <w:rPr>
          <w:color w:val="auto"/>
        </w:rPr>
        <w:t>（1）施工结束后，各种</w:t>
      </w:r>
      <w:r>
        <w:rPr>
          <w:rFonts w:hint="eastAsia"/>
          <w:color w:val="auto"/>
          <w:lang w:val="en-US" w:eastAsia="zh-CN"/>
        </w:rPr>
        <w:t>风机吊装平台、地埋电缆施工区和进场道路施工区等</w:t>
      </w:r>
      <w:r>
        <w:rPr>
          <w:color w:val="auto"/>
        </w:rPr>
        <w:t>临时用地必须尽快进行土地整治、覆土植被或复耕，避免形成新的水土流失；</w:t>
      </w:r>
      <w:r>
        <w:rPr>
          <w:color w:val="auto"/>
          <w:highlight w:val="none"/>
        </w:rPr>
        <w:t>植被恢复主要从生态修复的角度出发，着重考虑植被的水土保持、涵养水源和保护生态环境的作用。</w:t>
      </w:r>
      <w:r>
        <w:rPr>
          <w:rFonts w:hint="eastAsia"/>
          <w:color w:val="auto"/>
          <w:highlight w:val="none"/>
          <w:lang w:val="en-US" w:eastAsia="zh-CN"/>
        </w:rPr>
        <w:t>项目永久占地0.1596hm</w:t>
      </w:r>
      <w:r>
        <w:rPr>
          <w:rFonts w:hint="eastAsia"/>
          <w:color w:val="auto"/>
          <w:highlight w:val="none"/>
          <w:vertAlign w:val="superscript"/>
          <w:lang w:val="en-US" w:eastAsia="zh-CN"/>
        </w:rPr>
        <w:t>2</w:t>
      </w:r>
      <w:r>
        <w:rPr>
          <w:rFonts w:hint="eastAsia"/>
          <w:color w:val="auto"/>
          <w:highlight w:val="none"/>
          <w:lang w:val="en-US" w:eastAsia="zh-CN"/>
        </w:rPr>
        <w:t>，临时占地2.7751hm</w:t>
      </w:r>
      <w:r>
        <w:rPr>
          <w:rFonts w:hint="eastAsia"/>
          <w:color w:val="auto"/>
          <w:highlight w:val="none"/>
          <w:vertAlign w:val="superscript"/>
          <w:lang w:val="en-US" w:eastAsia="zh-CN"/>
        </w:rPr>
        <w:t>2</w:t>
      </w:r>
      <w:r>
        <w:rPr>
          <w:rFonts w:hint="eastAsia"/>
          <w:color w:val="auto"/>
          <w:highlight w:val="none"/>
          <w:lang w:val="en-US" w:eastAsia="zh-CN"/>
        </w:rPr>
        <w:t>，项目施工结束后应在1个月内开展植被恢复工作，并在一年内初具恢复效果，确保植被的存活率达到80%以上</w:t>
      </w:r>
    </w:p>
    <w:p w14:paraId="3D1158DC">
      <w:pPr>
        <w:pStyle w:val="41"/>
        <w:bidi w:val="0"/>
        <w:rPr>
          <w:rFonts w:hint="default"/>
          <w:color w:val="auto"/>
          <w:lang w:val="en-US" w:eastAsia="zh-CN"/>
        </w:rPr>
      </w:pPr>
      <w:r>
        <w:rPr>
          <w:color w:val="auto"/>
        </w:rPr>
        <w:t>（2）按绿化设计的要求，完成对临时用地范围内的植树种草工作，植被恢复物种应选取适合当地气候和生态环境的树种，可就近移植易存活的暖温性灌丛、人工用材林中树种进行绿化恢复，比如光叶高山栎、高山栲、栓皮栎、华山松、旱冬瓜、米饭花、马樱花杜鹃、川梨等，以达到恢复植被、保护路基、减少水土流失等目的。</w:t>
      </w:r>
    </w:p>
    <w:p w14:paraId="42CE682D">
      <w:pPr>
        <w:pStyle w:val="3"/>
        <w:bidi w:val="0"/>
        <w:rPr>
          <w:color w:val="auto"/>
        </w:rPr>
      </w:pPr>
      <w:bookmarkStart w:id="73" w:name="_Toc28960"/>
      <w:r>
        <w:rPr>
          <w:rFonts w:hint="eastAsia"/>
          <w:color w:val="auto"/>
          <w:lang w:val="en-US" w:eastAsia="zh-CN"/>
        </w:rPr>
        <w:t>5.2</w:t>
      </w:r>
      <w:r>
        <w:rPr>
          <w:color w:val="auto"/>
        </w:rPr>
        <w:t>生态环境管理措施</w:t>
      </w:r>
      <w:bookmarkEnd w:id="73"/>
    </w:p>
    <w:p w14:paraId="02939E90">
      <w:pPr>
        <w:pStyle w:val="41"/>
        <w:bidi w:val="0"/>
        <w:rPr>
          <w:color w:val="auto"/>
        </w:rPr>
      </w:pPr>
      <w:r>
        <w:rPr>
          <w:rFonts w:hint="eastAsia"/>
          <w:color w:val="auto"/>
          <w:lang w:val="en-US" w:eastAsia="zh-CN"/>
        </w:rPr>
        <w:t>1.</w:t>
      </w:r>
      <w:r>
        <w:rPr>
          <w:color w:val="auto"/>
        </w:rPr>
        <w:t>施工管理</w:t>
      </w:r>
    </w:p>
    <w:p w14:paraId="52DD7BB4">
      <w:pPr>
        <w:pStyle w:val="41"/>
        <w:bidi w:val="0"/>
        <w:rPr>
          <w:color w:val="auto"/>
        </w:rPr>
      </w:pPr>
      <w:r>
        <w:rPr>
          <w:color w:val="auto"/>
        </w:rPr>
        <w:t>（1）加强环境管理及宣传，使环境管理规定制度化。</w:t>
      </w:r>
    </w:p>
    <w:p w14:paraId="4CB89552">
      <w:pPr>
        <w:pStyle w:val="41"/>
        <w:bidi w:val="0"/>
        <w:rPr>
          <w:color w:val="auto"/>
        </w:rPr>
      </w:pPr>
      <w:r>
        <w:rPr>
          <w:color w:val="auto"/>
        </w:rPr>
        <w:t>（2）加强对工程相关领导、承包单位技术人员和施工人员的环境保护宣传和教育，明确环境保护的重要性。</w:t>
      </w:r>
    </w:p>
    <w:p w14:paraId="3EC951B5">
      <w:pPr>
        <w:pStyle w:val="41"/>
        <w:bidi w:val="0"/>
        <w:rPr>
          <w:color w:val="auto"/>
        </w:rPr>
      </w:pPr>
      <w:r>
        <w:rPr>
          <w:color w:val="auto"/>
        </w:rPr>
        <w:t>（3）施工期应</w:t>
      </w:r>
      <w:r>
        <w:rPr>
          <w:rFonts w:hint="eastAsia"/>
          <w:color w:val="auto"/>
          <w:lang w:eastAsia="zh-CN"/>
        </w:rPr>
        <w:t>增强</w:t>
      </w:r>
      <w:r>
        <w:rPr>
          <w:color w:val="auto"/>
        </w:rPr>
        <w:t>施工人员的环境保护意识，禁止到非施工区活动，施工区严禁烟火，施工中应自觉保护常绿阔叶林等自然植被，禁止乱砍伐树木，严格保护评价区内的保护植物。</w:t>
      </w:r>
    </w:p>
    <w:p w14:paraId="54CA314E">
      <w:pPr>
        <w:pStyle w:val="41"/>
        <w:bidi w:val="0"/>
        <w:rPr>
          <w:color w:val="auto"/>
        </w:rPr>
      </w:pPr>
      <w:r>
        <w:rPr>
          <w:rFonts w:hint="eastAsia"/>
          <w:color w:val="auto"/>
          <w:lang w:val="en-US" w:eastAsia="zh-CN"/>
        </w:rPr>
        <w:t>2.</w:t>
      </w:r>
      <w:r>
        <w:rPr>
          <w:color w:val="auto"/>
        </w:rPr>
        <w:t>环保措施的维护</w:t>
      </w:r>
    </w:p>
    <w:p w14:paraId="5B019FFB">
      <w:pPr>
        <w:pStyle w:val="41"/>
        <w:bidi w:val="0"/>
        <w:rPr>
          <w:color w:val="auto"/>
        </w:rPr>
      </w:pPr>
      <w:r>
        <w:rPr>
          <w:color w:val="auto"/>
        </w:rPr>
        <w:t>加强对绿化植物的管理与养护，保证成活率和植被恢复效果。</w:t>
      </w:r>
    </w:p>
    <w:p w14:paraId="6BFE2AB4">
      <w:pPr>
        <w:pStyle w:val="3"/>
        <w:bidi w:val="0"/>
        <w:rPr>
          <w:color w:val="auto"/>
        </w:rPr>
      </w:pPr>
      <w:bookmarkStart w:id="74" w:name="_Toc32270"/>
      <w:r>
        <w:rPr>
          <w:rFonts w:hint="eastAsia"/>
          <w:color w:val="auto"/>
          <w:lang w:val="en-US" w:eastAsia="zh-CN"/>
        </w:rPr>
        <w:t>5.3</w:t>
      </w:r>
      <w:r>
        <w:rPr>
          <w:color w:val="auto"/>
        </w:rPr>
        <w:t>动物的保护措施</w:t>
      </w:r>
      <w:bookmarkEnd w:id="74"/>
    </w:p>
    <w:p w14:paraId="0157E1D4">
      <w:pPr>
        <w:pStyle w:val="48"/>
        <w:spacing w:line="360" w:lineRule="auto"/>
        <w:ind w:firstLine="48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（1）施工时</w:t>
      </w:r>
      <w:r>
        <w:rPr>
          <w:rFonts w:hint="eastAsia" w:cs="Times New Roman"/>
          <w:color w:val="auto"/>
          <w:sz w:val="24"/>
          <w:szCs w:val="24"/>
          <w:lang w:val="en-US" w:eastAsia="zh-CN"/>
        </w:rPr>
        <w:t>严格控制施工范围，严禁超范围施工。在施工工地内</w:t>
      </w:r>
      <w:r>
        <w:rPr>
          <w:rFonts w:ascii="Times New Roman" w:hAnsi="Times New Roman" w:eastAsia="宋体" w:cs="Times New Roman"/>
          <w:color w:val="auto"/>
          <w:sz w:val="24"/>
          <w:szCs w:val="24"/>
        </w:rPr>
        <w:t>尽量减少对植被较好地段的占用，以免破坏动物的栖息环境，施工结束后应做好植被恢复工作。</w:t>
      </w:r>
    </w:p>
    <w:p w14:paraId="49D78FD9">
      <w:pPr>
        <w:pStyle w:val="48"/>
        <w:spacing w:line="360" w:lineRule="auto"/>
        <w:ind w:firstLine="48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（2）优化施工程序及方案，规范施工行为，</w:t>
      </w:r>
      <w:r>
        <w:rPr>
          <w:rFonts w:hint="eastAsia" w:cs="Times New Roman"/>
          <w:color w:val="auto"/>
          <w:sz w:val="24"/>
          <w:szCs w:val="24"/>
          <w:lang w:eastAsia="zh-CN"/>
        </w:rPr>
        <w:t>尽量减少</w:t>
      </w:r>
      <w:r>
        <w:rPr>
          <w:rFonts w:ascii="Times New Roman" w:hAnsi="Times New Roman" w:eastAsia="宋体" w:cs="Times New Roman"/>
          <w:color w:val="auto"/>
          <w:sz w:val="24"/>
          <w:szCs w:val="24"/>
        </w:rPr>
        <w:t>施工噪声。</w:t>
      </w:r>
    </w:p>
    <w:p w14:paraId="1AF83310">
      <w:pPr>
        <w:pStyle w:val="48"/>
        <w:spacing w:line="360" w:lineRule="auto"/>
        <w:ind w:firstLine="48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（3）在施工完成后应对施工造成的地表裸露进行植被恢复，减少施工对陆生脊椎动物栖息地分割造成的影响。</w:t>
      </w:r>
    </w:p>
    <w:p w14:paraId="479EBF81">
      <w:pPr>
        <w:pStyle w:val="48"/>
        <w:spacing w:line="360" w:lineRule="auto"/>
        <w:ind w:firstLine="48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4）加强对风电场施工人员和日常工作人员的环保宣传和教育，避免人为伤害或干扰陆生脊椎动物的事件发生。施工中要有保护动物的专门规定，并安排专门人员负责项目区施工中的动物保护的监督和管理工作。</w:t>
      </w:r>
    </w:p>
    <w:p w14:paraId="4FFC5DE6">
      <w:pPr>
        <w:pStyle w:val="48"/>
        <w:spacing w:line="360" w:lineRule="auto"/>
        <w:ind w:firstLine="48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（5）</w:t>
      </w:r>
      <w:bookmarkStart w:id="75" w:name="_Hlk92893841"/>
      <w:r>
        <w:rPr>
          <w:rFonts w:ascii="Times New Roman" w:hAnsi="Times New Roman" w:eastAsia="宋体" w:cs="Times New Roman"/>
          <w:color w:val="auto"/>
          <w:sz w:val="24"/>
          <w:szCs w:val="24"/>
        </w:rPr>
        <w:t>加强对场区的管理，在场区内及主要路口设置警示牌，禁止无关人员在场区范围内进行捕鸟、破坏陆生脊椎动物生境等活动。</w:t>
      </w:r>
      <w:r>
        <w:rPr>
          <w:rFonts w:ascii="Times New Roman" w:hAnsi="Times New Roman" w:eastAsia="宋体" w:cs="Times New Roman"/>
          <w:color w:val="auto"/>
          <w:kern w:val="2"/>
          <w:sz w:val="24"/>
          <w:szCs w:val="24"/>
        </w:rPr>
        <w:t>禁止施工人员、电场管理人员捕食、贩卖鸟类、拾取鸟卵、破坏鸟巢等行为。</w:t>
      </w:r>
      <w:bookmarkEnd w:id="75"/>
    </w:p>
    <w:p w14:paraId="37BB2DAA">
      <w:pPr>
        <w:pStyle w:val="48"/>
        <w:spacing w:line="360" w:lineRule="auto"/>
        <w:ind w:firstLine="48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（6）在项目区中的林地是动物的重要生境，渣场设置应尽量少占用林地。</w:t>
      </w:r>
    </w:p>
    <w:p w14:paraId="18A88B77">
      <w:pPr>
        <w:pStyle w:val="48"/>
        <w:spacing w:line="360" w:lineRule="auto"/>
        <w:ind w:firstLine="48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（7）做好施工人员及管理人员的教育，禁止捕杀野生动物，若遇到受伤的野生保护动物要及时报告当地野生动物保护部门，由专业人员处理。</w:t>
      </w:r>
    </w:p>
    <w:p w14:paraId="7F36AB2B">
      <w:pPr>
        <w:pStyle w:val="48"/>
        <w:spacing w:line="360" w:lineRule="auto"/>
        <w:ind w:firstLine="480"/>
        <w:rPr>
          <w:rFonts w:ascii="Times New Roman" w:hAnsi="Times New Roman" w:eastAsia="宋体" w:cs="Times New Roman"/>
          <w:color w:val="auto"/>
          <w:kern w:val="2"/>
          <w:sz w:val="24"/>
          <w:szCs w:val="24"/>
        </w:rPr>
      </w:pPr>
      <w:r>
        <w:rPr>
          <w:rFonts w:ascii="Times New Roman" w:hAnsi="Times New Roman" w:eastAsia="宋体" w:cs="Times New Roman"/>
          <w:color w:val="auto"/>
          <w:sz w:val="24"/>
          <w:szCs w:val="24"/>
        </w:rPr>
        <w:t>（8）</w:t>
      </w:r>
      <w:r>
        <w:rPr>
          <w:rFonts w:ascii="Times New Roman" w:hAnsi="Times New Roman" w:eastAsia="宋体" w:cs="Times New Roman"/>
          <w:color w:val="auto"/>
          <w:kern w:val="2"/>
          <w:sz w:val="24"/>
          <w:szCs w:val="24"/>
        </w:rPr>
        <w:t>尽量避免在鸟类繁殖期进行道路及吊装平台开挖等可能破坏鸟巢及鸟卵的施工作业；在鸟类繁殖期还应控制爆破等产生较大噪声的施工，避免施工噪</w:t>
      </w:r>
      <w:r>
        <w:rPr>
          <w:rFonts w:hint="eastAsia" w:ascii="Times New Roman" w:hAnsi="Times New Roman" w:eastAsia="宋体" w:cs="Times New Roman"/>
          <w:color w:val="auto"/>
          <w:kern w:val="2"/>
          <w:sz w:val="24"/>
          <w:szCs w:val="24"/>
          <w:lang w:val="en-US" w:eastAsia="zh-CN"/>
        </w:rPr>
        <w:t>声</w:t>
      </w:r>
      <w:r>
        <w:rPr>
          <w:rFonts w:ascii="Times New Roman" w:hAnsi="Times New Roman" w:eastAsia="宋体" w:cs="Times New Roman"/>
          <w:color w:val="auto"/>
          <w:kern w:val="2"/>
          <w:sz w:val="24"/>
          <w:szCs w:val="24"/>
        </w:rPr>
        <w:t>所引起的干扰鸟类繁殖的情况发生。</w:t>
      </w:r>
    </w:p>
    <w:p w14:paraId="7A69DD74">
      <w:pPr>
        <w:pStyle w:val="48"/>
        <w:spacing w:line="360" w:lineRule="auto"/>
        <w:ind w:firstLine="480"/>
        <w:rPr>
          <w:rFonts w:ascii="Times New Roman" w:hAnsi="Times New Roman" w:eastAsia="宋体" w:cs="Times New Roman"/>
          <w:color w:val="auto"/>
          <w:kern w:val="2"/>
          <w:sz w:val="24"/>
          <w:szCs w:val="24"/>
        </w:rPr>
      </w:pPr>
      <w:r>
        <w:rPr>
          <w:rFonts w:ascii="Times New Roman" w:hAnsi="Times New Roman" w:eastAsia="宋体" w:cs="Times New Roman"/>
          <w:color w:val="auto"/>
          <w:kern w:val="2"/>
          <w:sz w:val="24"/>
          <w:szCs w:val="24"/>
        </w:rPr>
        <w:t>（9）进入场区的车辆应慢速行驶，在遇到白腹锦鸡等雉类横穿公路时应减速或停驶，避免车辆行驶</w:t>
      </w:r>
      <w:r>
        <w:rPr>
          <w:rFonts w:hint="eastAsia" w:cs="Times New Roman"/>
          <w:color w:val="auto"/>
          <w:kern w:val="2"/>
          <w:sz w:val="24"/>
          <w:szCs w:val="24"/>
          <w:lang w:eastAsia="zh-CN"/>
        </w:rPr>
        <w:t>造成</w:t>
      </w:r>
      <w:r>
        <w:rPr>
          <w:rFonts w:ascii="Times New Roman" w:hAnsi="Times New Roman" w:eastAsia="宋体" w:cs="Times New Roman"/>
          <w:color w:val="auto"/>
          <w:kern w:val="2"/>
          <w:sz w:val="24"/>
          <w:szCs w:val="24"/>
        </w:rPr>
        <w:t>鸟类伤亡。</w:t>
      </w:r>
    </w:p>
    <w:p w14:paraId="22AE533F">
      <w:pPr>
        <w:pStyle w:val="48"/>
        <w:spacing w:line="360" w:lineRule="auto"/>
        <w:ind w:firstLine="480"/>
        <w:rPr>
          <w:rFonts w:ascii="Times New Roman" w:hAnsi="Times New Roman" w:eastAsia="宋体" w:cs="Times New Roman"/>
          <w:color w:val="auto"/>
          <w:kern w:val="2"/>
          <w:sz w:val="24"/>
          <w:szCs w:val="24"/>
        </w:rPr>
      </w:pPr>
      <w:r>
        <w:rPr>
          <w:rFonts w:ascii="Times New Roman" w:hAnsi="Times New Roman" w:eastAsia="宋体" w:cs="Times New Roman"/>
          <w:color w:val="auto"/>
          <w:kern w:val="2"/>
          <w:sz w:val="24"/>
          <w:szCs w:val="24"/>
        </w:rPr>
        <w:t>（10）开展施工环境监测，主要是对工程施工、材料运输等对鸟类栖息生境、鸟类数量等进行监控，若发现异常，立即与管理部门联系，分析原因，采取暂停夜间施工等措施。尽量避免夜间施工，尤其在鸟类迁飞的季节。</w:t>
      </w:r>
    </w:p>
    <w:p w14:paraId="482B8210">
      <w:pPr>
        <w:pStyle w:val="48"/>
        <w:spacing w:line="360" w:lineRule="auto"/>
        <w:ind w:firstLine="480"/>
        <w:rPr>
          <w:rFonts w:ascii="Times New Roman" w:hAnsi="Times New Roman" w:eastAsia="宋体" w:cs="Times New Roman"/>
          <w:color w:val="auto"/>
          <w:kern w:val="2"/>
          <w:sz w:val="24"/>
          <w:szCs w:val="24"/>
        </w:rPr>
      </w:pPr>
      <w:r>
        <w:rPr>
          <w:rFonts w:ascii="Times New Roman" w:hAnsi="Times New Roman" w:eastAsia="宋体" w:cs="Times New Roman"/>
          <w:color w:val="auto"/>
          <w:kern w:val="2"/>
          <w:sz w:val="24"/>
          <w:szCs w:val="24"/>
        </w:rPr>
        <w:t>（11）风机投产后，每年在春、秋季两季对风机周边进行杂草清理，以减免猛禽类捕食风电机组周边的小型动物而受到风机叶片的伤害。</w:t>
      </w:r>
    </w:p>
    <w:p w14:paraId="0107CB63">
      <w:pPr>
        <w:pStyle w:val="48"/>
        <w:spacing w:line="360" w:lineRule="auto"/>
        <w:ind w:firstLine="480"/>
        <w:rPr>
          <w:rFonts w:ascii="Times New Roman" w:hAnsi="Times New Roman" w:eastAsia="宋体" w:cs="Times New Roman"/>
          <w:color w:val="auto"/>
          <w:kern w:val="2"/>
          <w:sz w:val="24"/>
          <w:szCs w:val="24"/>
        </w:rPr>
      </w:pPr>
      <w:r>
        <w:rPr>
          <w:rFonts w:ascii="Times New Roman" w:hAnsi="Times New Roman" w:eastAsia="宋体" w:cs="Times New Roman"/>
          <w:color w:val="auto"/>
          <w:kern w:val="2"/>
          <w:sz w:val="24"/>
          <w:szCs w:val="24"/>
        </w:rPr>
        <w:t>（12）</w:t>
      </w:r>
      <w:bookmarkStart w:id="76" w:name="_Hlk92893873"/>
      <w:r>
        <w:rPr>
          <w:rFonts w:ascii="Times New Roman" w:hAnsi="Times New Roman" w:eastAsia="宋体" w:cs="Times New Roman"/>
          <w:color w:val="auto"/>
          <w:kern w:val="2"/>
          <w:sz w:val="24"/>
          <w:szCs w:val="24"/>
        </w:rPr>
        <w:t>风电场建成后，应加强对场区的巡视工作，密切关注风电场内的鸟类死亡情况，一旦发现异常应</w:t>
      </w:r>
      <w:r>
        <w:rPr>
          <w:rFonts w:hint="eastAsia" w:ascii="Times New Roman" w:hAnsi="Times New Roman" w:eastAsia="宋体" w:cs="Times New Roman"/>
          <w:color w:val="auto"/>
          <w:kern w:val="2"/>
          <w:sz w:val="24"/>
          <w:szCs w:val="24"/>
          <w:lang w:val="en-US" w:eastAsia="zh-CN"/>
        </w:rPr>
        <w:t>及时</w:t>
      </w:r>
      <w:r>
        <w:rPr>
          <w:rFonts w:ascii="Times New Roman" w:hAnsi="Times New Roman" w:eastAsia="宋体" w:cs="Times New Roman"/>
          <w:color w:val="auto"/>
          <w:kern w:val="2"/>
          <w:sz w:val="24"/>
          <w:szCs w:val="24"/>
        </w:rPr>
        <w:t>与林业主管部门联系，将受伤鸟类交由其妥善处理，共同研究，采取措施来解决问题。一旦发现与鸟类撞击率较高的风电机，应当立即停机或拆除。</w:t>
      </w:r>
      <w:bookmarkEnd w:id="76"/>
    </w:p>
    <w:p w14:paraId="1CC5BA69">
      <w:pPr>
        <w:pStyle w:val="48"/>
        <w:spacing w:line="360" w:lineRule="auto"/>
        <w:ind w:firstLine="480"/>
        <w:rPr>
          <w:rFonts w:ascii="Times New Roman" w:hAnsi="Times New Roman" w:eastAsia="宋体" w:cs="Times New Roman"/>
          <w:color w:val="auto"/>
          <w:kern w:val="2"/>
          <w:sz w:val="24"/>
          <w:szCs w:val="24"/>
        </w:rPr>
      </w:pPr>
      <w:r>
        <w:rPr>
          <w:rFonts w:ascii="Times New Roman" w:hAnsi="Times New Roman" w:eastAsia="宋体" w:cs="Times New Roman"/>
          <w:color w:val="auto"/>
          <w:kern w:val="2"/>
          <w:sz w:val="24"/>
          <w:szCs w:val="24"/>
        </w:rPr>
        <w:t>（13）风电场建成后，与</w:t>
      </w:r>
      <w:bookmarkStart w:id="77" w:name="_Hlk92893897"/>
      <w:r>
        <w:rPr>
          <w:rFonts w:ascii="Times New Roman" w:hAnsi="Times New Roman" w:eastAsia="宋体" w:cs="Times New Roman"/>
          <w:color w:val="auto"/>
          <w:kern w:val="2"/>
          <w:sz w:val="24"/>
          <w:szCs w:val="24"/>
        </w:rPr>
        <w:t>相关鸟类协会或</w:t>
      </w:r>
      <w:r>
        <w:rPr>
          <w:rFonts w:hint="eastAsia" w:cs="Times New Roman"/>
          <w:color w:val="auto"/>
          <w:kern w:val="2"/>
          <w:sz w:val="24"/>
          <w:szCs w:val="24"/>
          <w:lang w:eastAsia="zh-CN"/>
        </w:rPr>
        <w:t>科研机构</w:t>
      </w:r>
      <w:r>
        <w:rPr>
          <w:rFonts w:ascii="Times New Roman" w:hAnsi="Times New Roman" w:eastAsia="宋体" w:cs="Times New Roman"/>
          <w:color w:val="auto"/>
          <w:kern w:val="2"/>
          <w:sz w:val="24"/>
          <w:szCs w:val="24"/>
        </w:rPr>
        <w:t>展开合作，每年开展鸟类监测，观测区域内鸟类活动情况，留意是否有候鸟迁徙，及时调整风机运行情况。</w:t>
      </w:r>
      <w:bookmarkEnd w:id="77"/>
    </w:p>
    <w:p w14:paraId="7F9D5493">
      <w:pPr>
        <w:pStyle w:val="48"/>
        <w:spacing w:line="360" w:lineRule="auto"/>
        <w:ind w:firstLine="48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（14）风机涂装颜色醒目的图案，提醒鸟类，减少撞机事故发生。</w:t>
      </w:r>
    </w:p>
    <w:p w14:paraId="181B8C37">
      <w:pPr>
        <w:pStyle w:val="3"/>
        <w:bidi w:val="0"/>
        <w:rPr>
          <w:color w:val="auto"/>
        </w:rPr>
      </w:pPr>
      <w:bookmarkStart w:id="78" w:name="_Toc9941"/>
      <w:r>
        <w:rPr>
          <w:rFonts w:hint="eastAsia"/>
          <w:color w:val="auto"/>
          <w:lang w:val="en-US" w:eastAsia="zh-CN"/>
        </w:rPr>
        <w:t>5.4</w:t>
      </w:r>
      <w:r>
        <w:rPr>
          <w:color w:val="auto"/>
        </w:rPr>
        <w:t>景观保护措施</w:t>
      </w:r>
      <w:bookmarkEnd w:id="78"/>
    </w:p>
    <w:p w14:paraId="48058F54">
      <w:pPr>
        <w:pStyle w:val="48"/>
        <w:spacing w:line="360" w:lineRule="auto"/>
        <w:ind w:firstLine="480" w:firstLineChars="200"/>
        <w:rPr>
          <w:rFonts w:ascii="Times New Roman" w:hAnsi="Times New Roman" w:eastAsia="宋体" w:cs="Times New Roman"/>
          <w:color w:val="auto"/>
          <w:sz w:val="24"/>
          <w:szCs w:val="24"/>
        </w:rPr>
      </w:pPr>
      <w:r>
        <w:rPr>
          <w:rFonts w:ascii="Times New Roman" w:hAnsi="Times New Roman" w:eastAsia="宋体" w:cs="Times New Roman"/>
          <w:color w:val="auto"/>
          <w:sz w:val="24"/>
          <w:szCs w:val="24"/>
        </w:rPr>
        <w:t>风电场建设对景观造成的影响主要表现在工程施工初期的交通运输扬尘、</w:t>
      </w:r>
      <w:r>
        <w:rPr>
          <w:rFonts w:hint="eastAsia" w:ascii="Times New Roman" w:hAnsi="Times New Roman" w:eastAsia="宋体" w:cs="Times New Roman"/>
          <w:color w:val="auto"/>
          <w:sz w:val="24"/>
          <w:szCs w:val="24"/>
          <w:lang w:val="en-US" w:eastAsia="zh-CN"/>
        </w:rPr>
        <w:t>施工</w:t>
      </w:r>
      <w:r>
        <w:rPr>
          <w:rFonts w:ascii="Times New Roman" w:hAnsi="Times New Roman" w:eastAsia="宋体" w:cs="Times New Roman"/>
          <w:color w:val="auto"/>
          <w:sz w:val="24"/>
          <w:szCs w:val="24"/>
        </w:rPr>
        <w:t>土石方工程扬尘等对景观的影响；工程的开挖造成的地表裸露对景观的影响。因此环境保护措施主要体现在对施工扬尘的防治上，主要是采用低尘湿法作业、高频度巡回洒水等，并优化施工总体布置，优化施工工序、时间和方式，尽量减少施工造成的地表裸露，并结合工程水土保持工作及时做好植被恢复。</w:t>
      </w:r>
    </w:p>
    <w:p w14:paraId="49FD0F5B">
      <w:pPr>
        <w:pStyle w:val="3"/>
        <w:bidi w:val="0"/>
        <w:rPr>
          <w:color w:val="auto"/>
        </w:rPr>
      </w:pPr>
      <w:bookmarkStart w:id="79" w:name="_Toc434170598"/>
      <w:bookmarkStart w:id="80" w:name="_Toc20218"/>
      <w:r>
        <w:rPr>
          <w:rFonts w:hint="eastAsia"/>
          <w:color w:val="auto"/>
          <w:lang w:val="en-US" w:eastAsia="zh-CN"/>
        </w:rPr>
        <w:t>5.5</w:t>
      </w:r>
      <w:r>
        <w:rPr>
          <w:color w:val="auto"/>
        </w:rPr>
        <w:t>林地保护措施</w:t>
      </w:r>
      <w:bookmarkEnd w:id="79"/>
      <w:bookmarkEnd w:id="80"/>
    </w:p>
    <w:p w14:paraId="5D9C80DE">
      <w:pPr>
        <w:pStyle w:val="49"/>
        <w:ind w:firstLine="480"/>
        <w:rPr>
          <w:rFonts w:ascii="Times New Roman" w:hAnsi="Times New Roman" w:eastAsia="宋体" w:cs="Times New Roman"/>
          <w:color w:val="auto"/>
        </w:rPr>
      </w:pPr>
      <w:r>
        <w:rPr>
          <w:rFonts w:ascii="Times New Roman" w:hAnsi="Times New Roman" w:eastAsia="宋体" w:cs="Times New Roman"/>
          <w:snapToGrid w:val="0"/>
          <w:color w:val="auto"/>
        </w:rPr>
        <w:t>依法办理用地审核、林木采伐审批手续。</w:t>
      </w:r>
      <w:r>
        <w:rPr>
          <w:rFonts w:ascii="Times New Roman" w:hAnsi="Times New Roman" w:eastAsia="宋体" w:cs="Times New Roman"/>
          <w:color w:val="auto"/>
        </w:rPr>
        <w:t>设计阶段优化方案，尽量避让生态效益较高的公益林，加强施工管理，科学合理施工，主动并配合做好森林“三防”工作——即防止森林火灾、防止盗伐滥伐林木、防止森林病虫害，保护好野生动植物及其栖息环境。</w:t>
      </w:r>
    </w:p>
    <w:p w14:paraId="4E85FF78">
      <w:pPr>
        <w:pStyle w:val="41"/>
        <w:bidi w:val="0"/>
        <w:rPr>
          <w:color w:val="auto"/>
        </w:rPr>
      </w:pPr>
      <w:r>
        <w:rPr>
          <w:color w:val="auto"/>
        </w:rPr>
        <w:t>占用林地的需按照国家相关法律法规依法办理用地审核、林地征占审批手续，并报主管部门进行审核。未经批准，不得开工建设。</w:t>
      </w:r>
    </w:p>
    <w:p w14:paraId="7C22A27E">
      <w:pPr>
        <w:pStyle w:val="41"/>
        <w:bidi w:val="0"/>
        <w:rPr>
          <w:color w:val="auto"/>
        </w:rPr>
      </w:pPr>
    </w:p>
    <w:p w14:paraId="694FA881">
      <w:pPr>
        <w:pStyle w:val="41"/>
        <w:bidi w:val="0"/>
        <w:rPr>
          <w:color w:val="auto"/>
        </w:rPr>
        <w:sectPr>
          <w:pgSz w:w="11906" w:h="16838"/>
          <w:pgMar w:top="1701" w:right="1588" w:bottom="1418" w:left="1588" w:header="1247" w:footer="1418" w:gutter="0"/>
          <w:pgBorders>
            <w:top w:val="none" w:sz="0" w:space="0"/>
            <w:left w:val="none" w:sz="0" w:space="0"/>
            <w:bottom w:val="none" w:sz="0" w:space="0"/>
            <w:right w:val="none" w:sz="0" w:space="0"/>
          </w:pgBorders>
          <w:pgNumType w:fmt="decimal"/>
          <w:cols w:space="720" w:num="1"/>
          <w:docGrid w:type="lines" w:linePitch="312" w:charSpace="0"/>
        </w:sectPr>
      </w:pPr>
    </w:p>
    <w:p w14:paraId="05998909">
      <w:pPr>
        <w:pStyle w:val="3"/>
        <w:bidi w:val="0"/>
        <w:rPr>
          <w:rFonts w:hint="eastAsia"/>
          <w:sz w:val="32"/>
          <w:szCs w:val="32"/>
        </w:rPr>
      </w:pPr>
      <w:bookmarkStart w:id="81" w:name="_Toc28684"/>
      <w:r>
        <w:rPr>
          <w:rFonts w:hint="eastAsia"/>
          <w:sz w:val="32"/>
          <w:szCs w:val="32"/>
          <w:lang w:val="en-US" w:eastAsia="zh-CN"/>
        </w:rPr>
        <w:t>6.</w:t>
      </w:r>
      <w:r>
        <w:rPr>
          <w:rFonts w:hint="eastAsia"/>
          <w:sz w:val="32"/>
          <w:szCs w:val="32"/>
        </w:rPr>
        <w:t>运营期生态环境保护措施</w:t>
      </w:r>
      <w:bookmarkEnd w:id="81"/>
    </w:p>
    <w:p w14:paraId="688CA340">
      <w:pPr>
        <w:pStyle w:val="41"/>
        <w:bidi w:val="0"/>
        <w:rPr>
          <w:rFonts w:hint="eastAsia" w:eastAsia="宋体"/>
          <w:color w:val="auto"/>
          <w:lang w:eastAsia="zh-CN"/>
        </w:rPr>
      </w:pPr>
      <w:r>
        <w:rPr>
          <w:rFonts w:hint="eastAsia"/>
          <w:color w:val="auto"/>
        </w:rPr>
        <w:t>（1）对于工程占地造成的植被损失，应根据相关法律法规进行补偿。</w:t>
      </w:r>
    </w:p>
    <w:p w14:paraId="507DEE48">
      <w:pPr>
        <w:pStyle w:val="41"/>
        <w:bidi w:val="0"/>
        <w:rPr>
          <w:rFonts w:hint="eastAsia"/>
          <w:color w:val="auto"/>
        </w:rPr>
      </w:pPr>
      <w:r>
        <w:rPr>
          <w:rFonts w:hint="eastAsia"/>
          <w:color w:val="auto"/>
        </w:rPr>
        <w:t>（2）工程结束后，应采取绿化措施，在“适地适树，适地适草”的原则下，参考各区域的地形、土壤和气候条件，选择当地优良乡土树种尽快恢复植被，积极防止外来物种的入侵。加强对植被恢复的管理与养护，保证成活率。</w:t>
      </w:r>
    </w:p>
    <w:p w14:paraId="63439EE6">
      <w:pPr>
        <w:pStyle w:val="41"/>
        <w:bidi w:val="0"/>
        <w:rPr>
          <w:rFonts w:hint="eastAsia"/>
          <w:color w:val="auto"/>
        </w:rPr>
      </w:pPr>
      <w:r>
        <w:rPr>
          <w:rFonts w:hint="eastAsia"/>
          <w:color w:val="auto"/>
        </w:rPr>
        <w:t>（3）配合地方部门开展交通管制、加强员工环保教育项目建成后由于道路与外界连接，交通更为便利，受风机景观吸引，可能使项目区人类活动增加，不利于项目区植被保护，建议地方政府加强场区道路通行管制，限制外来车辆和人员进入项目区。建设单位可配合当地林业部门开展区域生态保护相关工作，如配合交通限制、加强员工生态环保教育培训等。</w:t>
      </w:r>
    </w:p>
    <w:p w14:paraId="4091C3D6">
      <w:pPr>
        <w:pStyle w:val="41"/>
        <w:bidi w:val="0"/>
        <w:rPr>
          <w:rFonts w:hint="eastAsia"/>
          <w:color w:val="auto"/>
        </w:rPr>
      </w:pPr>
      <w:r>
        <w:rPr>
          <w:rFonts w:hint="eastAsia"/>
          <w:color w:val="auto"/>
        </w:rPr>
        <w:t>（4）加强鸟类保护措施</w:t>
      </w:r>
    </w:p>
    <w:p w14:paraId="4516FF38">
      <w:pPr>
        <w:pStyle w:val="41"/>
        <w:bidi w:val="0"/>
        <w:rPr>
          <w:rFonts w:hint="eastAsia"/>
          <w:color w:val="auto"/>
        </w:rPr>
      </w:pPr>
      <w:r>
        <w:rPr>
          <w:rFonts w:hint="eastAsia"/>
          <w:color w:val="auto"/>
        </w:rPr>
        <w:t>①风机投产后，每年在春、</w:t>
      </w:r>
      <w:r>
        <w:rPr>
          <w:rFonts w:hint="eastAsia"/>
          <w:color w:val="auto"/>
          <w:lang w:eastAsia="zh-CN"/>
        </w:rPr>
        <w:t>秋</w:t>
      </w:r>
      <w:r>
        <w:rPr>
          <w:rFonts w:hint="eastAsia"/>
          <w:color w:val="auto"/>
        </w:rPr>
        <w:t>两季对风机周边进行杂草清理，以减免猛禽类捕食风电机组周边的小型动物而受到风机叶片的伤害。</w:t>
      </w:r>
    </w:p>
    <w:p w14:paraId="6C64C926">
      <w:pPr>
        <w:pStyle w:val="41"/>
        <w:bidi w:val="0"/>
        <w:rPr>
          <w:rFonts w:hint="eastAsia"/>
          <w:color w:val="auto"/>
        </w:rPr>
      </w:pPr>
      <w:r>
        <w:rPr>
          <w:rFonts w:hint="eastAsia"/>
          <w:color w:val="auto"/>
        </w:rPr>
        <w:t>②风电场建成后，应加强对场区的巡视工作，密切关注风电场内的鸟类死亡情况，一旦发现异常应及时与林业主管部门联系，将受伤鸟类交由其妥善处理，共同研究，采取措施来解决问题。一旦发现与鸟类撞击率较高的风电机，应当立即停机或拆除。</w:t>
      </w:r>
    </w:p>
    <w:p w14:paraId="5DB71DB9">
      <w:pPr>
        <w:pStyle w:val="41"/>
        <w:bidi w:val="0"/>
        <w:rPr>
          <w:rFonts w:hint="eastAsia"/>
          <w:color w:val="auto"/>
        </w:rPr>
      </w:pPr>
      <w:r>
        <w:rPr>
          <w:rFonts w:hint="eastAsia"/>
          <w:color w:val="auto"/>
        </w:rPr>
        <w:t>③风电场建成后，与相关鸟类协会或科研机构展开合作，每年开展鸟类监测，观测区域内鸟类活动情况，留意是否有候鸟迁徙，及时调整风机运行情况。</w:t>
      </w:r>
    </w:p>
    <w:p w14:paraId="744F5202">
      <w:pPr>
        <w:pStyle w:val="41"/>
        <w:bidi w:val="0"/>
        <w:rPr>
          <w:rFonts w:hint="eastAsia"/>
          <w:color w:val="auto"/>
        </w:rPr>
      </w:pPr>
      <w:r>
        <w:rPr>
          <w:rFonts w:hint="eastAsia"/>
          <w:color w:val="auto"/>
        </w:rPr>
        <w:t>④风机涂装颜色醒目的图案，提醒鸟类，减少撞机事故发生。</w:t>
      </w:r>
    </w:p>
    <w:p w14:paraId="0F8A62C1">
      <w:pPr>
        <w:pStyle w:val="41"/>
        <w:bidi w:val="0"/>
        <w:rPr>
          <w:rFonts w:hint="eastAsia"/>
          <w:color w:val="auto"/>
          <w:lang w:eastAsia="zh-CN"/>
        </w:rPr>
      </w:pPr>
      <w:r>
        <w:rPr>
          <w:rFonts w:hint="eastAsia"/>
          <w:color w:val="auto"/>
        </w:rPr>
        <w:t>⑤在鸟类迁徙季节，尤其是大雾、逆风和无雨天气下，限制风电场场区照明，禁止长时间开启室外照明设备。生态环境管理和监测</w:t>
      </w:r>
      <w:r>
        <w:rPr>
          <w:rFonts w:hint="eastAsia"/>
          <w:color w:val="auto"/>
          <w:lang w:eastAsia="zh-CN"/>
        </w:rPr>
        <w:t>。</w:t>
      </w:r>
    </w:p>
    <w:p w14:paraId="1A8A5856">
      <w:pPr>
        <w:pStyle w:val="41"/>
        <w:bidi w:val="0"/>
        <w:rPr>
          <w:rFonts w:hint="eastAsia"/>
          <w:color w:val="auto"/>
          <w:lang w:eastAsia="zh-CN"/>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77C9F0A9">
      <w:pPr>
        <w:pStyle w:val="3"/>
        <w:bidi w:val="0"/>
        <w:rPr>
          <w:rFonts w:hint="eastAsia"/>
          <w:sz w:val="32"/>
          <w:szCs w:val="32"/>
          <w:lang w:eastAsia="zh-CN"/>
        </w:rPr>
      </w:pPr>
      <w:bookmarkStart w:id="82" w:name="_Toc7829"/>
      <w:r>
        <w:rPr>
          <w:rFonts w:hint="eastAsia"/>
          <w:sz w:val="32"/>
          <w:szCs w:val="32"/>
          <w:lang w:val="en-US" w:eastAsia="zh-CN"/>
        </w:rPr>
        <w:t>7.</w:t>
      </w:r>
      <w:r>
        <w:rPr>
          <w:rFonts w:hint="eastAsia"/>
          <w:sz w:val="32"/>
          <w:szCs w:val="32"/>
          <w:lang w:eastAsia="zh-CN"/>
        </w:rPr>
        <w:t>生态环境管理和监测</w:t>
      </w:r>
      <w:bookmarkEnd w:id="82"/>
    </w:p>
    <w:p w14:paraId="0C7D2971">
      <w:pPr>
        <w:pStyle w:val="3"/>
        <w:bidi w:val="0"/>
        <w:rPr>
          <w:color w:val="auto"/>
        </w:rPr>
      </w:pPr>
      <w:r>
        <w:rPr>
          <w:rFonts w:hint="eastAsia"/>
          <w:color w:val="auto"/>
          <w:lang w:val="en-US" w:eastAsia="zh-CN"/>
        </w:rPr>
        <w:t>7.1</w:t>
      </w:r>
      <w:r>
        <w:rPr>
          <w:rFonts w:hint="eastAsia"/>
          <w:color w:val="auto"/>
        </w:rPr>
        <w:t>生态环境管理</w:t>
      </w:r>
    </w:p>
    <w:p w14:paraId="7A83F278">
      <w:pPr>
        <w:pStyle w:val="41"/>
        <w:bidi w:val="0"/>
        <w:rPr>
          <w:color w:val="auto"/>
        </w:rPr>
      </w:pPr>
      <w:r>
        <w:rPr>
          <w:color w:val="auto"/>
        </w:rPr>
        <w:t>（1）积极进行环保宣传，严格管理监督。</w:t>
      </w:r>
    </w:p>
    <w:p w14:paraId="0438295A">
      <w:pPr>
        <w:pStyle w:val="41"/>
        <w:bidi w:val="0"/>
        <w:rPr>
          <w:color w:val="auto"/>
        </w:rPr>
      </w:pPr>
      <w:r>
        <w:rPr>
          <w:color w:val="auto"/>
        </w:rPr>
        <w:t>施工前应印发环境保护手册，组织专业人员对施工人员进行环保宣传教育，施工</w:t>
      </w:r>
      <w:r>
        <w:rPr>
          <w:rFonts w:hint="eastAsia"/>
          <w:color w:val="auto"/>
          <w:lang w:eastAsia="zh-CN"/>
        </w:rPr>
        <w:t>期间</w:t>
      </w:r>
      <w:r>
        <w:rPr>
          <w:color w:val="auto"/>
        </w:rPr>
        <w:t>严格施工红线，严格行为规范，进行必要的管理监督，禁止破坏植被的情况发生。</w:t>
      </w:r>
    </w:p>
    <w:p w14:paraId="21B2AA1B">
      <w:pPr>
        <w:pStyle w:val="41"/>
        <w:bidi w:val="0"/>
        <w:rPr>
          <w:color w:val="auto"/>
        </w:rPr>
      </w:pPr>
      <w:r>
        <w:rPr>
          <w:color w:val="auto"/>
        </w:rPr>
        <w:t>（2）设立警示牌，规范施工人员行为。</w:t>
      </w:r>
    </w:p>
    <w:p w14:paraId="098D008A">
      <w:pPr>
        <w:pStyle w:val="41"/>
        <w:bidi w:val="0"/>
        <w:rPr>
          <w:color w:val="auto"/>
        </w:rPr>
      </w:pPr>
      <w:r>
        <w:rPr>
          <w:color w:val="auto"/>
        </w:rPr>
        <w:t>在项目区内设置告示牌和警告牌，提醒施工人员保护野生动物及其栖息地生态环境，加强对项目区内的生态保护，严格按照规章制度管理，加</w:t>
      </w:r>
      <w:r>
        <w:rPr>
          <w:rFonts w:hint="eastAsia"/>
          <w:color w:val="auto"/>
          <w:lang w:eastAsia="zh-CN"/>
        </w:rPr>
        <w:t>强对</w:t>
      </w:r>
      <w:r>
        <w:rPr>
          <w:color w:val="auto"/>
        </w:rPr>
        <w:t>公众的野生动物保护和生态环境的保护意识教育，严禁捕猎野生动物和破坏动物生境的行为；在人员活动较多和较集中的区域，如工棚附近，粘贴和设置环境保护方面的警示牌，提醒人们依法保护自然环境。</w:t>
      </w:r>
    </w:p>
    <w:p w14:paraId="1448E1AD">
      <w:pPr>
        <w:pStyle w:val="41"/>
        <w:bidi w:val="0"/>
        <w:rPr>
          <w:color w:val="auto"/>
        </w:rPr>
      </w:pPr>
      <w:r>
        <w:rPr>
          <w:color w:val="auto"/>
        </w:rPr>
        <w:t>（3）积极采取有效措施预防火灾。</w:t>
      </w:r>
    </w:p>
    <w:p w14:paraId="66D8749C">
      <w:pPr>
        <w:pStyle w:val="41"/>
        <w:bidi w:val="0"/>
        <w:rPr>
          <w:color w:val="auto"/>
        </w:rPr>
      </w:pPr>
      <w:r>
        <w:rPr>
          <w:color w:val="auto"/>
        </w:rPr>
        <w:t>在工程建设期，更应加强防护，如在施工区及周围山上竖立防火警示牌，禁止施工人员吸烟，巡回检查，搞好消防队伍及设施的建设等，以预防和杜绝火灾发生。</w:t>
      </w:r>
    </w:p>
    <w:p w14:paraId="2BE2B1B8">
      <w:pPr>
        <w:pStyle w:val="41"/>
        <w:bidi w:val="0"/>
        <w:rPr>
          <w:color w:val="auto"/>
        </w:rPr>
      </w:pPr>
      <w:r>
        <w:rPr>
          <w:rFonts w:hint="eastAsia"/>
          <w:color w:val="auto"/>
        </w:rPr>
        <w:t>（4）制定系统科学的环境管理计划加强管理</w:t>
      </w:r>
    </w:p>
    <w:p w14:paraId="7DEEE203">
      <w:pPr>
        <w:pStyle w:val="41"/>
        <w:bidi w:val="0"/>
        <w:rPr>
          <w:rFonts w:hint="eastAsia"/>
          <w:color w:val="auto"/>
        </w:rPr>
      </w:pPr>
      <w:r>
        <w:rPr>
          <w:rFonts w:hint="eastAsia"/>
          <w:color w:val="auto"/>
        </w:rPr>
        <w:t>通过制定系统科学的环境管理计划</w:t>
      </w:r>
      <w:r>
        <w:rPr>
          <w:rFonts w:hint="eastAsia"/>
          <w:color w:val="auto"/>
          <w:lang w:eastAsia="zh-CN"/>
        </w:rPr>
        <w:t>，</w:t>
      </w:r>
      <w:r>
        <w:rPr>
          <w:rFonts w:hint="eastAsia"/>
          <w:color w:val="auto"/>
        </w:rPr>
        <w:t>本项目的建设和运营符合国家经济建设和环境同步设计、同步施工和同步运营的“三同时”的基本指导思想，为环境保护措施得以有计划</w:t>
      </w:r>
      <w:r>
        <w:rPr>
          <w:rFonts w:hint="eastAsia"/>
          <w:color w:val="auto"/>
          <w:lang w:eastAsia="zh-CN"/>
        </w:rPr>
        <w:t>地</w:t>
      </w:r>
      <w:r>
        <w:rPr>
          <w:rFonts w:hint="eastAsia"/>
          <w:color w:val="auto"/>
        </w:rPr>
        <w:t>落实，地方环保部门对其进行监督提供依据。</w:t>
      </w:r>
    </w:p>
    <w:p w14:paraId="7C76D30C">
      <w:pPr>
        <w:pStyle w:val="3"/>
        <w:bidi w:val="0"/>
        <w:rPr>
          <w:color w:val="auto"/>
        </w:rPr>
      </w:pPr>
      <w:r>
        <w:rPr>
          <w:rFonts w:hint="eastAsia"/>
          <w:color w:val="auto"/>
          <w:lang w:val="en-US" w:eastAsia="zh-CN"/>
        </w:rPr>
        <w:t>7.2</w:t>
      </w:r>
      <w:r>
        <w:rPr>
          <w:rFonts w:hint="eastAsia"/>
          <w:color w:val="auto"/>
        </w:rPr>
        <w:t>监测</w:t>
      </w:r>
    </w:p>
    <w:p w14:paraId="1C149F88">
      <w:pPr>
        <w:pStyle w:val="41"/>
        <w:bidi w:val="0"/>
        <w:rPr>
          <w:color w:val="auto"/>
        </w:rPr>
      </w:pPr>
      <w:r>
        <w:rPr>
          <w:rFonts w:hint="eastAsia"/>
          <w:color w:val="auto"/>
        </w:rPr>
        <w:t>（1）监测目的</w:t>
      </w:r>
    </w:p>
    <w:p w14:paraId="3D12A738">
      <w:pPr>
        <w:pStyle w:val="41"/>
        <w:bidi w:val="0"/>
        <w:rPr>
          <w:rFonts w:hint="eastAsia"/>
          <w:color w:val="auto"/>
        </w:rPr>
      </w:pPr>
      <w:r>
        <w:rPr>
          <w:color w:val="auto"/>
        </w:rPr>
        <w:t>开展野生动植物资源监测，加强日常管护，在施工期和运营期，均应开展对项目区野生动植物的监测，以评估项目区内动植物变化情况。</w:t>
      </w:r>
    </w:p>
    <w:p w14:paraId="6C475B96">
      <w:pPr>
        <w:pStyle w:val="41"/>
        <w:bidi w:val="0"/>
        <w:rPr>
          <w:color w:val="auto"/>
        </w:rPr>
      </w:pPr>
      <w:r>
        <w:rPr>
          <w:rFonts w:hint="eastAsia"/>
          <w:color w:val="auto"/>
        </w:rPr>
        <w:t>（2）监测机构</w:t>
      </w:r>
    </w:p>
    <w:p w14:paraId="3F0865E0">
      <w:pPr>
        <w:pStyle w:val="41"/>
        <w:bidi w:val="0"/>
        <w:rPr>
          <w:rFonts w:hint="eastAsia"/>
          <w:color w:val="auto"/>
        </w:rPr>
      </w:pPr>
      <w:r>
        <w:rPr>
          <w:rFonts w:hint="eastAsia"/>
          <w:color w:val="auto"/>
        </w:rPr>
        <w:t>项目施工期和运营期的环境监测应</w:t>
      </w:r>
      <w:r>
        <w:rPr>
          <w:rFonts w:hint="eastAsia"/>
          <w:color w:val="auto"/>
          <w:lang w:eastAsia="zh-CN"/>
        </w:rPr>
        <w:t>由</w:t>
      </w:r>
      <w:r>
        <w:rPr>
          <w:rFonts w:hint="eastAsia"/>
          <w:color w:val="auto"/>
        </w:rPr>
        <w:t>符合国家环境质量监测认证资质的单位承担。</w:t>
      </w:r>
    </w:p>
    <w:p w14:paraId="67C0F55C">
      <w:pPr>
        <w:pStyle w:val="41"/>
        <w:bidi w:val="0"/>
        <w:rPr>
          <w:color w:val="auto"/>
        </w:rPr>
      </w:pPr>
      <w:r>
        <w:rPr>
          <w:rFonts w:hint="eastAsia"/>
          <w:color w:val="auto"/>
        </w:rPr>
        <w:t>（3）监测计划</w:t>
      </w:r>
    </w:p>
    <w:p w14:paraId="0898206E">
      <w:pPr>
        <w:pStyle w:val="41"/>
        <w:bidi w:val="0"/>
        <w:rPr>
          <w:color w:val="auto"/>
        </w:rPr>
      </w:pPr>
      <w:r>
        <w:rPr>
          <w:color w:val="auto"/>
        </w:rPr>
        <w:t>本项目</w:t>
      </w:r>
      <w:r>
        <w:rPr>
          <w:rFonts w:hint="eastAsia"/>
          <w:color w:val="auto"/>
        </w:rPr>
        <w:t>集电线路</w:t>
      </w:r>
      <w:r>
        <w:rPr>
          <w:rFonts w:hint="eastAsia"/>
          <w:color w:val="auto"/>
          <w:lang w:val="en-US" w:eastAsia="zh-CN"/>
        </w:rPr>
        <w:t>评价范围涉及</w:t>
      </w:r>
      <w:r>
        <w:rPr>
          <w:rFonts w:hint="eastAsia"/>
          <w:color w:val="auto"/>
        </w:rPr>
        <w:t>生态保护红线。沿线生态环境相对敏感，植被较丰富。因此，自然保护区路段在施工期和运营期开展生态监测，根据监测结果采取适当的生态保护措施。生态监测计划如下表。</w:t>
      </w:r>
    </w:p>
    <w:p w14:paraId="6244117A">
      <w:pPr>
        <w:pStyle w:val="42"/>
        <w:spacing w:before="48" w:after="48" w:line="240" w:lineRule="auto"/>
        <w:rPr>
          <w:rFonts w:ascii="Times New Roman" w:hAnsi="Times New Roman" w:eastAsia="宋体" w:cs="Times New Roman"/>
          <w:b/>
          <w:bCs/>
          <w:color w:val="auto"/>
          <w:sz w:val="21"/>
          <w:szCs w:val="21"/>
          <w:highlight w:val="none"/>
        </w:rPr>
      </w:pPr>
      <w:r>
        <w:rPr>
          <w:rFonts w:ascii="Times New Roman" w:hAnsi="Times New Roman" w:eastAsia="宋体" w:cs="Times New Roman"/>
          <w:b/>
          <w:bCs/>
          <w:color w:val="auto"/>
          <w:sz w:val="21"/>
          <w:szCs w:val="21"/>
          <w:highlight w:val="none"/>
        </w:rPr>
        <w:t>表</w:t>
      </w:r>
      <w:r>
        <w:rPr>
          <w:rFonts w:hint="eastAsia" w:ascii="Times New Roman" w:hAnsi="Times New Roman" w:eastAsia="宋体" w:cs="Times New Roman"/>
          <w:b/>
          <w:bCs/>
          <w:color w:val="auto"/>
          <w:sz w:val="21"/>
          <w:szCs w:val="21"/>
          <w:highlight w:val="none"/>
        </w:rPr>
        <w:t>7-1生态保护红线段</w:t>
      </w:r>
      <w:r>
        <w:rPr>
          <w:rFonts w:ascii="Times New Roman" w:hAnsi="Times New Roman" w:eastAsia="宋体" w:cs="Times New Roman"/>
          <w:b/>
          <w:bCs/>
          <w:color w:val="auto"/>
          <w:sz w:val="21"/>
          <w:szCs w:val="21"/>
          <w:highlight w:val="none"/>
        </w:rPr>
        <w:t>生态环境监测计划</w:t>
      </w:r>
    </w:p>
    <w:tbl>
      <w:tblPr>
        <w:tblStyle w:val="20"/>
        <w:tblW w:w="5000" w:type="pct"/>
        <w:tblInd w:w="113"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8"/>
        <w:gridCol w:w="811"/>
        <w:gridCol w:w="2758"/>
        <w:gridCol w:w="3512"/>
        <w:gridCol w:w="767"/>
      </w:tblGrid>
      <w:tr w14:paraId="659A58E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0" w:hRule="atLeast"/>
          <w:tblHeader/>
        </w:trPr>
        <w:tc>
          <w:tcPr>
            <w:tcW w:w="392" w:type="pct"/>
            <w:tcBorders>
              <w:tl2br w:val="nil"/>
              <w:tr2bl w:val="nil"/>
            </w:tcBorders>
            <w:noWrap w:val="0"/>
            <w:vAlign w:val="center"/>
          </w:tcPr>
          <w:p w14:paraId="1869A420">
            <w:pPr>
              <w:pStyle w:val="34"/>
              <w:tabs>
                <w:tab w:val="left" w:pos="1389"/>
              </w:tabs>
              <w:bidi w:val="0"/>
              <w:rPr>
                <w:rFonts w:ascii="Times New Roman" w:hAnsi="Times New Roman" w:eastAsia="宋体" w:cs="Times New Roman"/>
                <w:color w:val="auto"/>
                <w:szCs w:val="21"/>
                <w:highlight w:val="none"/>
              </w:rPr>
            </w:pPr>
            <w:r>
              <w:rPr>
                <w:color w:val="auto"/>
              </w:rPr>
              <w:t>监测阶段</w:t>
            </w:r>
          </w:p>
        </w:tc>
        <w:tc>
          <w:tcPr>
            <w:tcW w:w="476" w:type="pct"/>
            <w:tcBorders>
              <w:tl2br w:val="nil"/>
              <w:tr2bl w:val="nil"/>
            </w:tcBorders>
            <w:noWrap w:val="0"/>
            <w:vAlign w:val="center"/>
          </w:tcPr>
          <w:p w14:paraId="1F7D87A2">
            <w:pPr>
              <w:pStyle w:val="34"/>
              <w:tabs>
                <w:tab w:val="left" w:pos="1389"/>
              </w:tabs>
              <w:bidi w:val="0"/>
              <w:rPr>
                <w:rFonts w:ascii="Times New Roman" w:hAnsi="Times New Roman" w:eastAsia="宋体" w:cs="Times New Roman"/>
                <w:color w:val="auto"/>
                <w:szCs w:val="21"/>
                <w:highlight w:val="none"/>
              </w:rPr>
            </w:pPr>
            <w:r>
              <w:rPr>
                <w:color w:val="auto"/>
              </w:rPr>
              <w:t>监测位置</w:t>
            </w:r>
          </w:p>
        </w:tc>
        <w:tc>
          <w:tcPr>
            <w:tcW w:w="1619" w:type="pct"/>
            <w:tcBorders>
              <w:tl2br w:val="nil"/>
              <w:tr2bl w:val="nil"/>
            </w:tcBorders>
            <w:noWrap w:val="0"/>
            <w:vAlign w:val="center"/>
          </w:tcPr>
          <w:p w14:paraId="55A46223">
            <w:pPr>
              <w:pStyle w:val="34"/>
              <w:tabs>
                <w:tab w:val="left" w:pos="1389"/>
              </w:tabs>
              <w:bidi w:val="0"/>
              <w:rPr>
                <w:rFonts w:ascii="Times New Roman" w:hAnsi="Times New Roman" w:eastAsia="宋体" w:cs="Times New Roman"/>
                <w:color w:val="auto"/>
                <w:szCs w:val="21"/>
                <w:highlight w:val="none"/>
              </w:rPr>
            </w:pPr>
            <w:r>
              <w:rPr>
                <w:color w:val="auto"/>
              </w:rPr>
              <w:t>监测内容</w:t>
            </w:r>
          </w:p>
        </w:tc>
        <w:tc>
          <w:tcPr>
            <w:tcW w:w="2061" w:type="pct"/>
            <w:tcBorders>
              <w:tl2br w:val="nil"/>
              <w:tr2bl w:val="nil"/>
            </w:tcBorders>
            <w:noWrap w:val="0"/>
            <w:vAlign w:val="center"/>
          </w:tcPr>
          <w:p w14:paraId="661012CE">
            <w:pPr>
              <w:pStyle w:val="34"/>
              <w:tabs>
                <w:tab w:val="left" w:pos="1389"/>
              </w:tabs>
              <w:bidi w:val="0"/>
              <w:rPr>
                <w:rFonts w:ascii="Times New Roman" w:hAnsi="Times New Roman" w:eastAsia="宋体" w:cs="Times New Roman"/>
                <w:color w:val="auto"/>
                <w:szCs w:val="21"/>
                <w:highlight w:val="none"/>
              </w:rPr>
            </w:pPr>
            <w:r>
              <w:rPr>
                <w:color w:val="auto"/>
              </w:rPr>
              <w:t>监测时间、频率</w:t>
            </w:r>
          </w:p>
        </w:tc>
        <w:tc>
          <w:tcPr>
            <w:tcW w:w="450" w:type="pct"/>
            <w:tcBorders>
              <w:tl2br w:val="nil"/>
              <w:tr2bl w:val="nil"/>
            </w:tcBorders>
            <w:noWrap w:val="0"/>
            <w:vAlign w:val="center"/>
          </w:tcPr>
          <w:p w14:paraId="08BADB33">
            <w:pPr>
              <w:pStyle w:val="34"/>
              <w:tabs>
                <w:tab w:val="left" w:pos="1389"/>
              </w:tabs>
              <w:bidi w:val="0"/>
              <w:rPr>
                <w:rFonts w:ascii="Times New Roman" w:hAnsi="Times New Roman" w:eastAsia="宋体" w:cs="Times New Roman"/>
                <w:color w:val="auto"/>
                <w:szCs w:val="21"/>
                <w:highlight w:val="none"/>
              </w:rPr>
            </w:pPr>
            <w:r>
              <w:rPr>
                <w:color w:val="auto"/>
              </w:rPr>
              <w:t>实施机构</w:t>
            </w:r>
          </w:p>
        </w:tc>
      </w:tr>
      <w:tr w14:paraId="23A86D9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392" w:type="pct"/>
            <w:vMerge w:val="restart"/>
            <w:tcBorders>
              <w:tl2br w:val="nil"/>
              <w:tr2bl w:val="nil"/>
            </w:tcBorders>
            <w:noWrap w:val="0"/>
            <w:vAlign w:val="center"/>
          </w:tcPr>
          <w:p w14:paraId="4F7C1032">
            <w:pPr>
              <w:pStyle w:val="34"/>
              <w:tabs>
                <w:tab w:val="left" w:pos="1389"/>
              </w:tabs>
              <w:bidi w:val="0"/>
              <w:rPr>
                <w:rFonts w:ascii="Times New Roman" w:hAnsi="Times New Roman" w:eastAsia="宋体" w:cs="Times New Roman"/>
                <w:color w:val="auto"/>
                <w:szCs w:val="21"/>
                <w:highlight w:val="none"/>
              </w:rPr>
            </w:pPr>
            <w:r>
              <w:rPr>
                <w:color w:val="auto"/>
              </w:rPr>
              <w:t>施工期和营运期</w:t>
            </w:r>
          </w:p>
        </w:tc>
        <w:tc>
          <w:tcPr>
            <w:tcW w:w="476" w:type="pct"/>
            <w:vMerge w:val="restart"/>
            <w:tcBorders>
              <w:tl2br w:val="nil"/>
              <w:tr2bl w:val="nil"/>
            </w:tcBorders>
            <w:noWrap w:val="0"/>
            <w:vAlign w:val="center"/>
          </w:tcPr>
          <w:p w14:paraId="7EB218EB">
            <w:pPr>
              <w:pStyle w:val="34"/>
              <w:tabs>
                <w:tab w:val="left" w:pos="1389"/>
              </w:tabs>
              <w:bidi w:val="0"/>
              <w:rPr>
                <w:rFonts w:ascii="Times New Roman" w:hAnsi="Times New Roman" w:eastAsia="宋体" w:cs="Times New Roman"/>
                <w:color w:val="auto"/>
                <w:szCs w:val="21"/>
                <w:highlight w:val="none"/>
              </w:rPr>
            </w:pPr>
            <w:r>
              <w:rPr>
                <w:color w:val="auto"/>
              </w:rPr>
              <w:t>项目集电线上跨珠江上游及滇东南喀斯特地带水土保持生态保护红线范围内</w:t>
            </w:r>
          </w:p>
        </w:tc>
        <w:tc>
          <w:tcPr>
            <w:tcW w:w="1619" w:type="pct"/>
            <w:tcBorders>
              <w:tl2br w:val="nil"/>
              <w:tr2bl w:val="nil"/>
            </w:tcBorders>
            <w:noWrap w:val="0"/>
            <w:vAlign w:val="center"/>
          </w:tcPr>
          <w:p w14:paraId="3BEC5C0E">
            <w:pPr>
              <w:pStyle w:val="34"/>
              <w:tabs>
                <w:tab w:val="left" w:pos="1389"/>
              </w:tabs>
              <w:bidi w:val="0"/>
              <w:rPr>
                <w:rFonts w:ascii="Times New Roman" w:hAnsi="Times New Roman" w:eastAsia="宋体" w:cs="Times New Roman"/>
                <w:color w:val="auto"/>
                <w:szCs w:val="21"/>
                <w:highlight w:val="none"/>
              </w:rPr>
            </w:pPr>
            <w:r>
              <w:rPr>
                <w:color w:val="auto"/>
              </w:rPr>
              <w:t>1</w:t>
            </w:r>
            <w:r>
              <w:rPr>
                <w:rFonts w:hint="eastAsia"/>
                <w:color w:val="auto"/>
                <w:lang w:val="en-US" w:eastAsia="zh-CN"/>
              </w:rPr>
              <w:t>.</w:t>
            </w:r>
            <w:r>
              <w:rPr>
                <w:color w:val="auto"/>
              </w:rPr>
              <w:t>植物植被监测：选择适宜地段进行监测；</w:t>
            </w:r>
            <w:r>
              <w:rPr>
                <w:rFonts w:hint="eastAsia"/>
                <w:color w:val="auto"/>
                <w:lang w:val="en-US" w:eastAsia="zh-CN"/>
              </w:rPr>
              <w:t>每种</w:t>
            </w:r>
            <w:r>
              <w:rPr>
                <w:color w:val="auto"/>
              </w:rPr>
              <w:t>植被类型设置固定样地进行监测。</w:t>
            </w:r>
          </w:p>
        </w:tc>
        <w:tc>
          <w:tcPr>
            <w:tcW w:w="2061" w:type="pct"/>
            <w:tcBorders>
              <w:tl2br w:val="nil"/>
              <w:tr2bl w:val="nil"/>
            </w:tcBorders>
            <w:noWrap w:val="0"/>
            <w:vAlign w:val="center"/>
          </w:tcPr>
          <w:p w14:paraId="0C96B292">
            <w:pPr>
              <w:pStyle w:val="34"/>
              <w:tabs>
                <w:tab w:val="left" w:pos="1389"/>
              </w:tabs>
              <w:bidi w:val="0"/>
              <w:rPr>
                <w:rFonts w:ascii="Times New Roman" w:hAnsi="Times New Roman" w:eastAsia="宋体" w:cs="Times New Roman"/>
                <w:color w:val="auto"/>
                <w:szCs w:val="21"/>
                <w:highlight w:val="none"/>
              </w:rPr>
            </w:pPr>
            <w:r>
              <w:rPr>
                <w:color w:val="auto"/>
              </w:rPr>
              <w:t>开展跟踪生态监测：施工期每年1次，建成运行后每年1次，连续调查2年，共调查2次</w:t>
            </w:r>
            <w:r>
              <w:rPr>
                <w:rFonts w:hint="eastAsia"/>
                <w:color w:val="auto"/>
              </w:rPr>
              <w:t>。</w:t>
            </w:r>
          </w:p>
        </w:tc>
        <w:tc>
          <w:tcPr>
            <w:tcW w:w="450" w:type="pct"/>
            <w:vMerge w:val="restart"/>
            <w:tcBorders>
              <w:tl2br w:val="nil"/>
              <w:tr2bl w:val="nil"/>
            </w:tcBorders>
            <w:noWrap w:val="0"/>
            <w:vAlign w:val="center"/>
          </w:tcPr>
          <w:p w14:paraId="4E1BCC08">
            <w:pPr>
              <w:pStyle w:val="34"/>
              <w:tabs>
                <w:tab w:val="left" w:pos="1389"/>
              </w:tabs>
              <w:bidi w:val="0"/>
              <w:rPr>
                <w:rFonts w:ascii="Times New Roman" w:hAnsi="Times New Roman" w:eastAsia="宋体" w:cs="Times New Roman"/>
                <w:color w:val="auto"/>
                <w:szCs w:val="21"/>
                <w:highlight w:val="none"/>
              </w:rPr>
            </w:pPr>
            <w:r>
              <w:rPr>
                <w:color w:val="auto"/>
              </w:rPr>
              <w:t>委托具有相应能力的机构实施</w:t>
            </w:r>
          </w:p>
        </w:tc>
      </w:tr>
      <w:tr w14:paraId="57F114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80" w:hRule="atLeast"/>
        </w:trPr>
        <w:tc>
          <w:tcPr>
            <w:tcW w:w="392" w:type="pct"/>
            <w:vMerge w:val="continue"/>
            <w:tcBorders>
              <w:tl2br w:val="nil"/>
              <w:tr2bl w:val="nil"/>
            </w:tcBorders>
            <w:noWrap w:val="0"/>
            <w:vAlign w:val="center"/>
          </w:tcPr>
          <w:p w14:paraId="4AB86678">
            <w:pPr>
              <w:rPr>
                <w:rFonts w:ascii="Times New Roman" w:hAnsi="Times New Roman" w:eastAsia="宋体" w:cs="Times New Roman"/>
                <w:color w:val="auto"/>
                <w:szCs w:val="21"/>
                <w:highlight w:val="none"/>
              </w:rPr>
            </w:pPr>
          </w:p>
        </w:tc>
        <w:tc>
          <w:tcPr>
            <w:tcW w:w="476" w:type="pct"/>
            <w:vMerge w:val="continue"/>
            <w:tcBorders>
              <w:tl2br w:val="nil"/>
              <w:tr2bl w:val="nil"/>
            </w:tcBorders>
            <w:noWrap w:val="0"/>
            <w:vAlign w:val="center"/>
          </w:tcPr>
          <w:p w14:paraId="4600E8B8">
            <w:pPr>
              <w:rPr>
                <w:rFonts w:ascii="Times New Roman" w:hAnsi="Times New Roman" w:eastAsia="宋体" w:cs="Times New Roman"/>
                <w:color w:val="auto"/>
                <w:szCs w:val="21"/>
                <w:highlight w:val="none"/>
              </w:rPr>
            </w:pPr>
          </w:p>
        </w:tc>
        <w:tc>
          <w:tcPr>
            <w:tcW w:w="1619" w:type="pct"/>
            <w:tcBorders>
              <w:tl2br w:val="nil"/>
              <w:tr2bl w:val="nil"/>
            </w:tcBorders>
            <w:noWrap w:val="0"/>
            <w:vAlign w:val="center"/>
          </w:tcPr>
          <w:p w14:paraId="75765138">
            <w:pPr>
              <w:pStyle w:val="34"/>
              <w:tabs>
                <w:tab w:val="left" w:pos="1389"/>
              </w:tabs>
              <w:bidi w:val="0"/>
              <w:rPr>
                <w:rFonts w:ascii="Times New Roman" w:hAnsi="Times New Roman" w:eastAsia="宋体" w:cs="Times New Roman"/>
                <w:color w:val="auto"/>
                <w:szCs w:val="21"/>
                <w:highlight w:val="none"/>
              </w:rPr>
            </w:pPr>
            <w:r>
              <w:rPr>
                <w:color w:val="auto"/>
              </w:rPr>
              <w:t>动物监测：在</w:t>
            </w:r>
            <w:r>
              <w:rPr>
                <w:rFonts w:hint="eastAsia"/>
                <w:color w:val="auto"/>
                <w:lang w:val="en-US" w:eastAsia="zh-CN"/>
              </w:rPr>
              <w:t>项目区范围内</w:t>
            </w:r>
            <w:r>
              <w:rPr>
                <w:color w:val="auto"/>
              </w:rPr>
              <w:t>，设立</w:t>
            </w:r>
            <w:r>
              <w:rPr>
                <w:rFonts w:hint="eastAsia"/>
                <w:color w:val="auto"/>
                <w:lang w:val="en-US" w:eastAsia="zh-CN"/>
              </w:rPr>
              <w:t>3</w:t>
            </w:r>
            <w:r>
              <w:rPr>
                <w:color w:val="auto"/>
              </w:rPr>
              <w:t>条监测样线，水平长度约2km，穿越该区域的不同生境类型</w:t>
            </w:r>
            <w:r>
              <w:rPr>
                <w:rFonts w:hint="eastAsia"/>
                <w:color w:val="auto"/>
                <w:lang w:eastAsia="zh-CN"/>
              </w:rPr>
              <w:t>。</w:t>
            </w:r>
          </w:p>
        </w:tc>
        <w:tc>
          <w:tcPr>
            <w:tcW w:w="2061" w:type="pct"/>
            <w:tcBorders>
              <w:tl2br w:val="nil"/>
              <w:tr2bl w:val="nil"/>
            </w:tcBorders>
            <w:noWrap w:val="0"/>
            <w:vAlign w:val="center"/>
          </w:tcPr>
          <w:p w14:paraId="385002CB">
            <w:pPr>
              <w:pStyle w:val="34"/>
              <w:tabs>
                <w:tab w:val="left" w:pos="1389"/>
              </w:tabs>
              <w:bidi w:val="0"/>
              <w:rPr>
                <w:rFonts w:ascii="Times New Roman" w:hAnsi="Times New Roman" w:eastAsia="宋体" w:cs="Times New Roman"/>
                <w:color w:val="auto"/>
                <w:szCs w:val="21"/>
                <w:highlight w:val="none"/>
              </w:rPr>
            </w:pPr>
            <w:r>
              <w:rPr>
                <w:rFonts w:hint="eastAsia"/>
                <w:color w:val="auto"/>
              </w:rPr>
              <w:t>风电场运行期间须开展持续性鸟类监测，风电场建设期间及建成第一年，非鸟类迁徙季节监测频次为每半年监测1次，每年共监测1次；在鸟类迁徙季节（10月至翌年3月或4月）观测频次为迁徙初期1次（10月或11月、迁徙中期1次（12月或翌年1月）、迁徙末期（3月或4月）1次，每年共监测3次）</w:t>
            </w:r>
            <w:r>
              <w:rPr>
                <w:rFonts w:hint="eastAsia"/>
                <w:color w:val="auto"/>
                <w:lang w:eastAsia="zh-CN"/>
              </w:rPr>
              <w:t>，</w:t>
            </w:r>
            <w:r>
              <w:rPr>
                <w:rFonts w:hint="eastAsia"/>
                <w:color w:val="auto"/>
                <w:lang w:val="en-US" w:eastAsia="zh-CN"/>
              </w:rPr>
              <w:t>第一年共监测4次</w:t>
            </w:r>
            <w:r>
              <w:rPr>
                <w:rFonts w:hint="eastAsia"/>
                <w:color w:val="auto"/>
              </w:rPr>
              <w:t>。后两年的频次结合场区管理巡视，可适当减少。一旦发生鸟撞击风机事件频次大于等于3次/年，应深化观测，根据观测结果对事发风机采取停机或拆机，对发生撞击的鸟类开展持续观测，并根据观测结果重新评估项目建设对区域鸟类</w:t>
            </w:r>
            <w:r>
              <w:rPr>
                <w:rFonts w:hint="eastAsia"/>
                <w:color w:val="auto"/>
                <w:lang w:eastAsia="zh-CN"/>
              </w:rPr>
              <w:t>的影响。</w:t>
            </w:r>
          </w:p>
        </w:tc>
        <w:tc>
          <w:tcPr>
            <w:tcW w:w="0" w:type="auto"/>
            <w:vMerge w:val="continue"/>
            <w:tcBorders>
              <w:tl2br w:val="nil"/>
              <w:tr2bl w:val="nil"/>
            </w:tcBorders>
            <w:noWrap w:val="0"/>
            <w:vAlign w:val="center"/>
          </w:tcPr>
          <w:p w14:paraId="096699F0">
            <w:pPr>
              <w:rPr>
                <w:rFonts w:ascii="Times New Roman" w:hAnsi="Times New Roman" w:eastAsia="宋体" w:cs="Times New Roman"/>
                <w:color w:val="auto"/>
                <w:szCs w:val="21"/>
                <w:highlight w:val="none"/>
              </w:rPr>
            </w:pPr>
          </w:p>
        </w:tc>
      </w:tr>
      <w:tr w14:paraId="3565BD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392" w:type="pct"/>
            <w:vMerge w:val="continue"/>
            <w:tcBorders>
              <w:tl2br w:val="nil"/>
              <w:tr2bl w:val="nil"/>
            </w:tcBorders>
            <w:noWrap w:val="0"/>
            <w:vAlign w:val="center"/>
          </w:tcPr>
          <w:p w14:paraId="31BE8AC4">
            <w:pPr>
              <w:rPr>
                <w:rFonts w:ascii="Times New Roman" w:hAnsi="Times New Roman" w:eastAsia="宋体" w:cs="Times New Roman"/>
                <w:color w:val="auto"/>
                <w:szCs w:val="21"/>
                <w:highlight w:val="none"/>
              </w:rPr>
            </w:pPr>
          </w:p>
        </w:tc>
        <w:tc>
          <w:tcPr>
            <w:tcW w:w="476" w:type="pct"/>
            <w:vMerge w:val="continue"/>
            <w:tcBorders>
              <w:tl2br w:val="nil"/>
              <w:tr2bl w:val="nil"/>
            </w:tcBorders>
            <w:noWrap w:val="0"/>
            <w:vAlign w:val="center"/>
          </w:tcPr>
          <w:p w14:paraId="2135E3F2">
            <w:pPr>
              <w:rPr>
                <w:rFonts w:ascii="Times New Roman" w:hAnsi="Times New Roman" w:eastAsia="宋体" w:cs="Times New Roman"/>
                <w:color w:val="auto"/>
                <w:szCs w:val="21"/>
                <w:highlight w:val="none"/>
              </w:rPr>
            </w:pPr>
          </w:p>
        </w:tc>
        <w:tc>
          <w:tcPr>
            <w:tcW w:w="1619" w:type="pct"/>
            <w:tcBorders>
              <w:tl2br w:val="nil"/>
              <w:tr2bl w:val="nil"/>
            </w:tcBorders>
            <w:noWrap w:val="0"/>
            <w:vAlign w:val="center"/>
          </w:tcPr>
          <w:p w14:paraId="19A254D5">
            <w:pPr>
              <w:pStyle w:val="34"/>
              <w:tabs>
                <w:tab w:val="left" w:pos="1389"/>
              </w:tabs>
              <w:bidi w:val="0"/>
              <w:rPr>
                <w:rFonts w:ascii="Times New Roman" w:hAnsi="Times New Roman" w:eastAsia="宋体" w:cs="Times New Roman"/>
                <w:color w:val="auto"/>
                <w:szCs w:val="21"/>
                <w:highlight w:val="none"/>
              </w:rPr>
            </w:pPr>
            <w:r>
              <w:rPr>
                <w:rFonts w:hint="eastAsia"/>
                <w:color w:val="auto"/>
                <w:lang w:val="en-US" w:eastAsia="zh-CN"/>
              </w:rPr>
              <w:t>3.</w:t>
            </w:r>
            <w:r>
              <w:rPr>
                <w:color w:val="auto"/>
              </w:rPr>
              <w:t>监测要求：施工期重点监测施工活动干扰下生态保护目标的受影响状况，如植物群落变化、重要物种的活动、生境质量变化等。运营期重点监测对生态保护目标的实际影响、生态保护对策措施的有效性以及生态修复效果等。</w:t>
            </w:r>
          </w:p>
        </w:tc>
        <w:tc>
          <w:tcPr>
            <w:tcW w:w="2061" w:type="pct"/>
            <w:tcBorders>
              <w:tl2br w:val="nil"/>
              <w:tr2bl w:val="nil"/>
            </w:tcBorders>
            <w:noWrap w:val="0"/>
            <w:vAlign w:val="center"/>
          </w:tcPr>
          <w:p w14:paraId="4CB9015F">
            <w:pPr>
              <w:pStyle w:val="34"/>
              <w:tabs>
                <w:tab w:val="left" w:pos="1389"/>
              </w:tabs>
              <w:bidi w:val="0"/>
              <w:rPr>
                <w:rFonts w:ascii="Times New Roman" w:hAnsi="Times New Roman" w:eastAsia="宋体" w:cs="Times New Roman"/>
                <w:color w:val="auto"/>
                <w:szCs w:val="21"/>
                <w:highlight w:val="none"/>
              </w:rPr>
            </w:pPr>
            <w:r>
              <w:rPr>
                <w:color w:val="auto"/>
              </w:rPr>
              <w:t>/</w:t>
            </w:r>
          </w:p>
        </w:tc>
        <w:tc>
          <w:tcPr>
            <w:tcW w:w="0" w:type="auto"/>
            <w:vMerge w:val="continue"/>
            <w:tcBorders>
              <w:tl2br w:val="nil"/>
              <w:tr2bl w:val="nil"/>
            </w:tcBorders>
            <w:noWrap w:val="0"/>
            <w:vAlign w:val="center"/>
          </w:tcPr>
          <w:p w14:paraId="7B19DAC9">
            <w:pPr>
              <w:rPr>
                <w:rFonts w:ascii="Times New Roman" w:hAnsi="Times New Roman" w:eastAsia="宋体" w:cs="Times New Roman"/>
                <w:color w:val="auto"/>
                <w:szCs w:val="21"/>
                <w:highlight w:val="none"/>
              </w:rPr>
            </w:pPr>
          </w:p>
        </w:tc>
      </w:tr>
    </w:tbl>
    <w:p w14:paraId="4A21365B">
      <w:pPr>
        <w:pStyle w:val="41"/>
        <w:bidi w:val="0"/>
        <w:rPr>
          <w:color w:val="auto"/>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14:paraId="2B93BC10">
      <w:pPr>
        <w:pStyle w:val="3"/>
        <w:bidi w:val="0"/>
        <w:rPr>
          <w:sz w:val="32"/>
          <w:szCs w:val="32"/>
        </w:rPr>
      </w:pPr>
      <w:bookmarkStart w:id="83" w:name="_Toc23552"/>
      <w:r>
        <w:rPr>
          <w:rFonts w:hint="eastAsia"/>
          <w:sz w:val="32"/>
          <w:szCs w:val="32"/>
          <w:lang w:val="en-US" w:eastAsia="zh-CN"/>
        </w:rPr>
        <w:t>8.</w:t>
      </w:r>
      <w:r>
        <w:rPr>
          <w:sz w:val="32"/>
          <w:szCs w:val="32"/>
        </w:rPr>
        <w:t>结论与建议</w:t>
      </w:r>
      <w:bookmarkEnd w:id="83"/>
    </w:p>
    <w:p w14:paraId="1213EEE8">
      <w:pPr>
        <w:pStyle w:val="3"/>
        <w:bidi w:val="0"/>
        <w:rPr>
          <w:color w:val="auto"/>
        </w:rPr>
      </w:pPr>
      <w:r>
        <w:rPr>
          <w:rFonts w:hint="eastAsia"/>
          <w:color w:val="auto"/>
          <w:lang w:val="en-US" w:eastAsia="zh-CN"/>
        </w:rPr>
        <w:t>8.1</w:t>
      </w:r>
      <w:r>
        <w:rPr>
          <w:color w:val="auto"/>
        </w:rPr>
        <w:t>结论</w:t>
      </w:r>
    </w:p>
    <w:p w14:paraId="058F931C">
      <w:pPr>
        <w:pStyle w:val="41"/>
        <w:bidi w:val="0"/>
        <w:rPr>
          <w:color w:val="auto"/>
        </w:rPr>
      </w:pPr>
      <w:r>
        <w:rPr>
          <w:rFonts w:hint="eastAsia"/>
          <w:color w:val="auto"/>
          <w:lang w:val="en-US" w:eastAsia="zh-CN"/>
        </w:rPr>
        <w:t>项目总占地面积2.9347hm</w:t>
      </w:r>
      <w:r>
        <w:rPr>
          <w:rFonts w:hint="eastAsia"/>
          <w:color w:val="auto"/>
          <w:vertAlign w:val="superscript"/>
          <w:lang w:val="en-US" w:eastAsia="zh-CN"/>
        </w:rPr>
        <w:t>2</w:t>
      </w:r>
      <w:r>
        <w:rPr>
          <w:rFonts w:hint="eastAsia"/>
          <w:color w:val="auto"/>
          <w:lang w:val="en-US" w:eastAsia="zh-CN"/>
        </w:rPr>
        <w:t>，其中永久占地0.1596hm</w:t>
      </w:r>
      <w:r>
        <w:rPr>
          <w:rFonts w:hint="eastAsia"/>
          <w:color w:val="auto"/>
          <w:vertAlign w:val="superscript"/>
          <w:lang w:val="en-US" w:eastAsia="zh-CN"/>
        </w:rPr>
        <w:t>2</w:t>
      </w:r>
      <w:r>
        <w:rPr>
          <w:rFonts w:hint="eastAsia"/>
          <w:color w:val="auto"/>
          <w:lang w:val="en-US" w:eastAsia="zh-CN"/>
        </w:rPr>
        <w:t>，临时占地2.7751hm</w:t>
      </w:r>
      <w:r>
        <w:rPr>
          <w:rFonts w:hint="eastAsia"/>
          <w:color w:val="auto"/>
          <w:vertAlign w:val="superscript"/>
          <w:lang w:val="en-US" w:eastAsia="zh-CN"/>
        </w:rPr>
        <w:t>2</w:t>
      </w:r>
      <w:r>
        <w:rPr>
          <w:rFonts w:hint="eastAsia"/>
          <w:color w:val="auto"/>
          <w:lang w:val="en-US" w:eastAsia="zh-CN"/>
        </w:rPr>
        <w:t>。</w:t>
      </w:r>
      <w:r>
        <w:rPr>
          <w:color w:val="auto"/>
        </w:rPr>
        <w:t>工程建设影响的自然植被有暖温性针叶林、</w:t>
      </w:r>
      <w:r>
        <w:rPr>
          <w:rFonts w:hint="eastAsia"/>
          <w:color w:val="auto"/>
          <w:lang w:val="en-US" w:eastAsia="zh-CN"/>
        </w:rPr>
        <w:t>旱冬瓜林</w:t>
      </w:r>
      <w:r>
        <w:rPr>
          <w:color w:val="auto"/>
        </w:rPr>
        <w:t>、</w:t>
      </w:r>
      <w:r>
        <w:rPr>
          <w:rFonts w:hint="eastAsia"/>
          <w:color w:val="auto"/>
          <w:lang w:val="en-US" w:eastAsia="zh-CN"/>
        </w:rPr>
        <w:t>禾草草丛</w:t>
      </w:r>
      <w:r>
        <w:rPr>
          <w:color w:val="auto"/>
        </w:rPr>
        <w:t>，以及影响人工植被主要为耕地植被。受工程建设影响的针叶林、</w:t>
      </w:r>
      <w:r>
        <w:rPr>
          <w:rFonts w:hint="eastAsia"/>
          <w:color w:val="auto"/>
          <w:lang w:val="en-US" w:eastAsia="zh-CN"/>
        </w:rPr>
        <w:t>旱冬瓜林</w:t>
      </w:r>
      <w:r>
        <w:rPr>
          <w:color w:val="auto"/>
        </w:rPr>
        <w:t>和</w:t>
      </w:r>
      <w:r>
        <w:rPr>
          <w:rFonts w:hint="eastAsia"/>
          <w:color w:val="auto"/>
          <w:lang w:val="en-US" w:eastAsia="zh-CN"/>
        </w:rPr>
        <w:t>禾草草丛</w:t>
      </w:r>
      <w:r>
        <w:rPr>
          <w:color w:val="auto"/>
        </w:rPr>
        <w:t>属于次生植被，生物多样性相对贫乏。因此，本工程对评价区植被的影响总体较小。</w:t>
      </w:r>
    </w:p>
    <w:p w14:paraId="5E0A0FBE">
      <w:pPr>
        <w:pStyle w:val="41"/>
        <w:bidi w:val="0"/>
        <w:rPr>
          <w:rFonts w:hint="eastAsia"/>
          <w:color w:val="auto"/>
        </w:rPr>
      </w:pPr>
      <w:r>
        <w:rPr>
          <w:rFonts w:hint="eastAsia"/>
          <w:color w:val="auto"/>
        </w:rPr>
        <w:t>对照《国家重点保护野生植物名录》（2021版）和《云南省重点保护野生植物名录》（2023版），项目评价区未发现国家和地方重点保护野生植物；对照《中国生物多样性红色名录——高等植物卷》（2020），评价区未调查到极危、濒危、易危等受威胁的物种；依据《云南省极小种群野生植物保护名录（2021年）》及《全国极小种群野生植物拯救保护工程规划（2011—2015年）》本次调查未见有极小种群物种分布；项目评价区无名木古树分布，因此工程建设对上述重要植物资源没有影响。工程评价区属于植物资源相对贫乏的区域。这些植物种类多数是曲靖地区以及滇东、滇东北地区乃至云南省常见的种类。虽然其中部分个体会随着工程建设而消失，对评价区的生物多样性产生一定的负面影响。但是，由于它们基本是广布种，甚至是阳性杂草，分布广泛，加上受影响的个体较少，没有一个物种种群结构会因此受到显著的影响。因此，该工程建设对评价区的植物种类和植物区系的影响不大。</w:t>
      </w:r>
    </w:p>
    <w:p w14:paraId="10F37841">
      <w:pPr>
        <w:pStyle w:val="41"/>
        <w:bidi w:val="0"/>
        <w:rPr>
          <w:color w:val="auto"/>
        </w:rPr>
      </w:pPr>
      <w:r>
        <w:rPr>
          <w:rFonts w:hint="eastAsia"/>
          <w:color w:val="auto"/>
        </w:rPr>
        <w:t>风电场场址范围目前不存在秋季候鸟迁徙聚集点，秋季迁徙候鸟在调查区集群迁徙的可能性很低。因此，风电场建设对秋季迁徙候鸟产生影响的概率很低，项目建设不会对秋季迁徙候鸟的迁徙造成阻隔影响。</w:t>
      </w:r>
    </w:p>
    <w:p w14:paraId="17190565">
      <w:pPr>
        <w:pStyle w:val="3"/>
        <w:bidi w:val="0"/>
        <w:rPr>
          <w:color w:val="auto"/>
        </w:rPr>
      </w:pPr>
      <w:r>
        <w:rPr>
          <w:rFonts w:hint="eastAsia"/>
          <w:color w:val="auto"/>
          <w:lang w:val="en-US" w:eastAsia="zh-CN"/>
        </w:rPr>
        <w:t>8.2</w:t>
      </w:r>
      <w:r>
        <w:rPr>
          <w:color w:val="auto"/>
        </w:rPr>
        <w:t>建议</w:t>
      </w:r>
    </w:p>
    <w:p w14:paraId="1F0F7B4F">
      <w:pPr>
        <w:pStyle w:val="41"/>
        <w:bidi w:val="0"/>
        <w:rPr>
          <w:rFonts w:hint="eastAsia" w:eastAsia="宋体"/>
          <w:color w:val="auto"/>
          <w:lang w:eastAsia="zh-CN"/>
        </w:rPr>
      </w:pPr>
      <w:r>
        <w:rPr>
          <w:color w:val="auto"/>
        </w:rPr>
        <w:t>（1）严格报批手续</w:t>
      </w:r>
    </w:p>
    <w:p w14:paraId="21DD5307">
      <w:pPr>
        <w:pStyle w:val="41"/>
        <w:bidi w:val="0"/>
        <w:rPr>
          <w:color w:val="auto"/>
        </w:rPr>
      </w:pPr>
      <w:r>
        <w:rPr>
          <w:color w:val="auto"/>
        </w:rPr>
        <w:t>因工程建设确实</w:t>
      </w:r>
      <w:r>
        <w:rPr>
          <w:rFonts w:hint="eastAsia"/>
          <w:color w:val="auto"/>
          <w:lang w:val="en-US" w:eastAsia="zh-CN"/>
        </w:rPr>
        <w:t>需要</w:t>
      </w:r>
      <w:r>
        <w:rPr>
          <w:color w:val="auto"/>
        </w:rPr>
        <w:t>破坏的植物植被，应该严格报批手续，完成相应程</w:t>
      </w:r>
      <w:r>
        <w:rPr>
          <w:rFonts w:hint="eastAsia"/>
          <w:color w:val="auto"/>
          <w:lang w:eastAsia="zh-CN"/>
        </w:rPr>
        <w:t>序</w:t>
      </w:r>
      <w:r>
        <w:rPr>
          <w:color w:val="auto"/>
        </w:rPr>
        <w:t>，才能进行相应的工程活动。</w:t>
      </w:r>
    </w:p>
    <w:p w14:paraId="10EE7E42">
      <w:pPr>
        <w:pStyle w:val="41"/>
        <w:bidi w:val="0"/>
        <w:rPr>
          <w:color w:val="auto"/>
        </w:rPr>
      </w:pPr>
      <w:r>
        <w:rPr>
          <w:color w:val="auto"/>
        </w:rPr>
        <w:t>（2）进行宣传教育，遵纪守法</w:t>
      </w:r>
    </w:p>
    <w:p w14:paraId="039EE596">
      <w:pPr>
        <w:pStyle w:val="41"/>
        <w:bidi w:val="0"/>
        <w:rPr>
          <w:color w:val="auto"/>
        </w:rPr>
      </w:pPr>
      <w:r>
        <w:rPr>
          <w:color w:val="auto"/>
        </w:rPr>
        <w:t>建设方应该对施工人员进行环境教育、生物多样性保护教育及有关</w:t>
      </w:r>
      <w:r>
        <w:rPr>
          <w:rFonts w:hint="eastAsia"/>
          <w:color w:val="auto"/>
          <w:lang w:eastAsia="zh-CN"/>
        </w:rPr>
        <w:t>法律法规</w:t>
      </w:r>
      <w:r>
        <w:rPr>
          <w:color w:val="auto"/>
        </w:rPr>
        <w:t>的宣传教育。在人员活动较多和较集中的区域，如工棚附近，粘贴和设置环境保护方面的警示牌，提醒施工人员依法爱护生态环境。</w:t>
      </w:r>
    </w:p>
    <w:p w14:paraId="4D34FEBF">
      <w:pPr>
        <w:pStyle w:val="41"/>
        <w:bidi w:val="0"/>
        <w:rPr>
          <w:color w:val="auto"/>
        </w:rPr>
      </w:pPr>
      <w:r>
        <w:rPr>
          <w:color w:val="auto"/>
        </w:rPr>
        <w:t>（3）及时进行植被恢复</w:t>
      </w:r>
    </w:p>
    <w:p w14:paraId="0F3E81E7">
      <w:pPr>
        <w:pStyle w:val="41"/>
        <w:bidi w:val="0"/>
        <w:rPr>
          <w:color w:val="auto"/>
        </w:rPr>
      </w:pPr>
      <w:r>
        <w:rPr>
          <w:color w:val="auto"/>
        </w:rPr>
        <w:t>在受施工影响的区域，工程竣工后，应该按照环评和水保的要求，对受工程影响的区域进行植被恢复工程。</w:t>
      </w:r>
    </w:p>
    <w:p w14:paraId="47EEA7B2">
      <w:pPr>
        <w:pStyle w:val="41"/>
        <w:bidi w:val="0"/>
        <w:rPr>
          <w:rFonts w:hint="default"/>
          <w:color w:val="auto"/>
          <w:lang w:val="en-US" w:eastAsia="zh-CN"/>
        </w:rPr>
      </w:pPr>
    </w:p>
    <w:p w14:paraId="4843E418">
      <w:pPr>
        <w:rPr>
          <w:color w:val="auto"/>
        </w:rPr>
      </w:pPr>
    </w:p>
    <w:p w14:paraId="14FE2B36">
      <w:pPr>
        <w:bidi w:val="0"/>
        <w:rPr>
          <w:rFonts w:hint="default"/>
          <w:color w:val="auto"/>
          <w:lang w:val="en-US" w:eastAsia="zh-CN"/>
        </w:rPr>
        <w:sectPr>
          <w:footerReference r:id="rId15" w:type="default"/>
          <w:pgSz w:w="11906" w:h="16838"/>
          <w:pgMar w:top="1080" w:right="1440" w:bottom="1080" w:left="1440" w:header="851" w:footer="992" w:gutter="0"/>
          <w:pgBorders>
            <w:top w:val="none" w:sz="0" w:space="0"/>
            <w:left w:val="none" w:sz="0" w:space="0"/>
            <w:bottom w:val="none" w:sz="0" w:space="0"/>
            <w:right w:val="none" w:sz="0" w:space="0"/>
          </w:pgBorders>
          <w:cols w:space="425" w:num="1"/>
          <w:docGrid w:type="lines" w:linePitch="312" w:charSpace="0"/>
        </w:sectPr>
      </w:pPr>
    </w:p>
    <w:p w14:paraId="0E0B62B6">
      <w:pPr>
        <w:pStyle w:val="18"/>
        <w:spacing w:before="0" w:beforeAutospacing="0" w:line="14" w:lineRule="auto"/>
        <w:jc w:val="center"/>
        <w:rPr>
          <w:rFonts w:hint="default" w:ascii="Times New Roman" w:hAnsi="Times New Roman" w:eastAsia="黑体"/>
          <w:snapToGrid w:val="0"/>
          <w:color w:val="auto"/>
          <w:sz w:val="30"/>
          <w:szCs w:val="30"/>
          <w:lang w:val="en-US" w:eastAsia="zh-CN"/>
        </w:rPr>
      </w:pPr>
      <w:r>
        <w:rPr>
          <w:rFonts w:hint="eastAsia" w:ascii="Times New Roman" w:hAnsi="Times New Roman" w:eastAsia="黑体"/>
          <w:snapToGrid w:val="0"/>
          <w:color w:val="auto"/>
          <w:sz w:val="30"/>
          <w:szCs w:val="30"/>
          <w:lang w:val="en-US" w:eastAsia="zh-CN"/>
        </w:rPr>
        <w:t xml:space="preserve">  </w:t>
      </w:r>
    </w:p>
    <w:p w14:paraId="0DE14347">
      <w:pPr>
        <w:spacing w:line="360" w:lineRule="auto"/>
        <w:jc w:val="left"/>
        <w:rPr>
          <w:color w:val="auto"/>
          <w:sz w:val="28"/>
          <w:szCs w:val="28"/>
        </w:rPr>
      </w:pPr>
    </w:p>
    <w:p w14:paraId="48CE3DCF">
      <w:pPr>
        <w:spacing w:line="360" w:lineRule="auto"/>
        <w:jc w:val="left"/>
        <w:rPr>
          <w:color w:val="auto"/>
          <w:sz w:val="28"/>
          <w:szCs w:val="28"/>
        </w:rPr>
      </w:pPr>
    </w:p>
    <w:p w14:paraId="5E0E03AE">
      <w:pPr>
        <w:spacing w:line="360" w:lineRule="auto"/>
        <w:jc w:val="left"/>
        <w:rPr>
          <w:color w:val="auto"/>
          <w:sz w:val="28"/>
          <w:szCs w:val="28"/>
        </w:rPr>
      </w:pPr>
    </w:p>
    <w:p w14:paraId="1DE10D44">
      <w:pPr>
        <w:spacing w:line="360" w:lineRule="auto"/>
        <w:jc w:val="left"/>
        <w:rPr>
          <w:color w:val="auto"/>
          <w:sz w:val="28"/>
          <w:szCs w:val="28"/>
        </w:rPr>
      </w:pPr>
    </w:p>
    <w:p w14:paraId="5C65B66B">
      <w:pPr>
        <w:spacing w:line="360" w:lineRule="auto"/>
        <w:jc w:val="left"/>
        <w:rPr>
          <w:color w:val="auto"/>
          <w:sz w:val="28"/>
          <w:szCs w:val="28"/>
        </w:rPr>
      </w:pPr>
    </w:p>
    <w:p w14:paraId="5D36D7F6">
      <w:pPr>
        <w:spacing w:line="360" w:lineRule="auto"/>
        <w:jc w:val="left"/>
        <w:rPr>
          <w:color w:val="auto"/>
          <w:sz w:val="28"/>
          <w:szCs w:val="28"/>
        </w:rPr>
      </w:pPr>
    </w:p>
    <w:p w14:paraId="0B14601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b/>
          <w:bCs/>
          <w:color w:val="auto"/>
          <w:sz w:val="44"/>
          <w:szCs w:val="44"/>
        </w:rPr>
      </w:pPr>
    </w:p>
    <w:p w14:paraId="5C66EB46">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b/>
          <w:bCs/>
          <w:color w:val="auto"/>
          <w:sz w:val="52"/>
          <w:szCs w:val="52"/>
        </w:rPr>
      </w:pPr>
      <w:r>
        <w:rPr>
          <w:rFonts w:hint="eastAsia"/>
          <w:b/>
          <w:bCs/>
          <w:color w:val="auto"/>
          <w:sz w:val="52"/>
          <w:szCs w:val="52"/>
        </w:rPr>
        <w:t>西泽风电场（二期）</w:t>
      </w:r>
    </w:p>
    <w:p w14:paraId="108D4E5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b/>
          <w:bCs/>
          <w:color w:val="auto"/>
          <w:sz w:val="52"/>
          <w:szCs w:val="52"/>
        </w:rPr>
      </w:pPr>
      <w:r>
        <w:rPr>
          <w:rFonts w:hint="eastAsia"/>
          <w:b/>
          <w:bCs/>
          <w:color w:val="auto"/>
          <w:sz w:val="52"/>
          <w:szCs w:val="52"/>
        </w:rPr>
        <w:t>电磁环境影响专项评价</w:t>
      </w:r>
      <w:bookmarkStart w:id="84" w:name="_Toc26155"/>
      <w:bookmarkStart w:id="85" w:name="_Toc21120"/>
      <w:bookmarkStart w:id="86" w:name="_Toc29433"/>
      <w:bookmarkStart w:id="87" w:name="_Toc2044"/>
      <w:bookmarkStart w:id="88" w:name="_Toc26276"/>
      <w:bookmarkStart w:id="89" w:name="_Toc25304"/>
      <w:bookmarkStart w:id="90" w:name="_Toc8651"/>
      <w:bookmarkStart w:id="91" w:name="_Toc482607152"/>
      <w:bookmarkStart w:id="92" w:name="_Toc9771"/>
      <w:r>
        <w:rPr>
          <w:b/>
          <w:bCs/>
          <w:color w:val="auto"/>
          <w:sz w:val="52"/>
          <w:szCs w:val="52"/>
        </w:rPr>
        <w:t>报告</w:t>
      </w:r>
      <w:bookmarkEnd w:id="84"/>
      <w:bookmarkEnd w:id="85"/>
      <w:bookmarkEnd w:id="86"/>
      <w:bookmarkEnd w:id="87"/>
      <w:bookmarkEnd w:id="88"/>
      <w:bookmarkEnd w:id="89"/>
      <w:bookmarkEnd w:id="90"/>
      <w:bookmarkEnd w:id="91"/>
      <w:bookmarkEnd w:id="92"/>
    </w:p>
    <w:p w14:paraId="55CBFC91">
      <w:pPr>
        <w:spacing w:line="360" w:lineRule="auto"/>
        <w:jc w:val="left"/>
        <w:rPr>
          <w:color w:val="auto"/>
          <w:sz w:val="28"/>
          <w:szCs w:val="28"/>
        </w:rPr>
      </w:pPr>
    </w:p>
    <w:p w14:paraId="3CEEAFB7">
      <w:pPr>
        <w:rPr>
          <w:color w:val="auto"/>
          <w:sz w:val="28"/>
          <w:szCs w:val="28"/>
        </w:rPr>
      </w:pPr>
    </w:p>
    <w:p w14:paraId="2935C315">
      <w:pPr>
        <w:pStyle w:val="50"/>
        <w:rPr>
          <w:color w:val="auto"/>
        </w:rPr>
      </w:pPr>
    </w:p>
    <w:p w14:paraId="1137DE30">
      <w:pPr>
        <w:spacing w:line="360" w:lineRule="auto"/>
        <w:jc w:val="left"/>
        <w:rPr>
          <w:color w:val="auto"/>
          <w:sz w:val="28"/>
          <w:szCs w:val="28"/>
        </w:rPr>
      </w:pPr>
    </w:p>
    <w:p w14:paraId="3A8B5130">
      <w:pPr>
        <w:spacing w:line="360" w:lineRule="auto"/>
        <w:jc w:val="left"/>
        <w:rPr>
          <w:color w:val="auto"/>
          <w:sz w:val="28"/>
          <w:szCs w:val="28"/>
        </w:rPr>
      </w:pPr>
    </w:p>
    <w:p w14:paraId="49A8D958">
      <w:pPr>
        <w:widowControl/>
        <w:adjustRightInd w:val="0"/>
        <w:snapToGrid w:val="0"/>
        <w:spacing w:before="192" w:beforeLines="80"/>
        <w:jc w:val="left"/>
        <w:rPr>
          <w:color w:val="auto"/>
        </w:rPr>
      </w:pPr>
    </w:p>
    <w:p w14:paraId="01D56FA2">
      <w:pPr>
        <w:widowControl/>
        <w:adjustRightInd w:val="0"/>
        <w:snapToGrid w:val="0"/>
        <w:spacing w:before="192" w:beforeLines="80"/>
        <w:jc w:val="left"/>
        <w:rPr>
          <w:color w:val="auto"/>
        </w:rPr>
      </w:pPr>
    </w:p>
    <w:p w14:paraId="31C36C32">
      <w:pPr>
        <w:widowControl/>
        <w:spacing w:line="360" w:lineRule="auto"/>
        <w:jc w:val="left"/>
        <w:rPr>
          <w:color w:val="auto"/>
          <w:sz w:val="24"/>
        </w:rPr>
      </w:pPr>
    </w:p>
    <w:p w14:paraId="6969FFEA">
      <w:pPr>
        <w:widowControl/>
        <w:spacing w:line="360" w:lineRule="auto"/>
        <w:jc w:val="left"/>
        <w:rPr>
          <w:color w:val="auto"/>
          <w:sz w:val="24"/>
        </w:rPr>
        <w:sectPr>
          <w:footerReference r:id="rId16" w:type="default"/>
          <w:pgSz w:w="11905" w:h="16838"/>
          <w:pgMar w:top="1440" w:right="1803" w:bottom="1440" w:left="1803" w:header="851" w:footer="1077" w:gutter="0"/>
          <w:pgBorders>
            <w:top w:val="none" w:sz="0" w:space="0"/>
            <w:left w:val="none" w:sz="0" w:space="0"/>
            <w:bottom w:val="none" w:sz="0" w:space="0"/>
            <w:right w:val="none" w:sz="0" w:space="0"/>
          </w:pgBorders>
          <w:cols w:space="720" w:num="1"/>
          <w:docGrid w:linePitch="312" w:charSpace="0"/>
        </w:sectPr>
      </w:pPr>
    </w:p>
    <w:p w14:paraId="557CA876">
      <w:pPr>
        <w:pStyle w:val="9"/>
        <w:widowControl/>
        <w:spacing w:before="120" w:beforeLines="50" w:after="120" w:afterLines="50" w:line="480" w:lineRule="auto"/>
        <w:jc w:val="center"/>
        <w:rPr>
          <w:rFonts w:hint="default" w:eastAsia="宋体"/>
          <w:color w:val="auto"/>
          <w:lang w:val="en-US" w:eastAsia="zh-CN"/>
        </w:rPr>
      </w:pPr>
      <w:r>
        <w:rPr>
          <w:rFonts w:ascii="Times New Roman" w:hAnsi="Times New Roman"/>
          <w:b/>
          <w:bCs/>
          <w:color w:val="auto"/>
          <w:sz w:val="32"/>
          <w:szCs w:val="32"/>
        </w:rPr>
        <w:t>目 录</w:t>
      </w:r>
    </w:p>
    <w:sdt>
      <w:sdtPr>
        <w:rPr>
          <w:rFonts w:ascii="宋体" w:hAnsi="宋体" w:eastAsia="宋体" w:cs="Times New Roman"/>
          <w:color w:val="auto"/>
          <w:kern w:val="2"/>
          <w:sz w:val="21"/>
          <w:szCs w:val="24"/>
          <w:lang w:val="en-US" w:eastAsia="zh-CN" w:bidi="ar-SA"/>
        </w:rPr>
        <w:id w:val="147479679"/>
        <w15:color w:val="DBDBDB"/>
        <w:docPartObj>
          <w:docPartGallery w:val="Table of Contents"/>
          <w:docPartUnique/>
        </w:docPartObj>
      </w:sdtPr>
      <w:sdtEndPr>
        <w:rPr>
          <w:rFonts w:ascii="Times New Roman" w:hAnsi="Times New Roman" w:eastAsia="宋体" w:cs="Times New Roman"/>
          <w:color w:val="auto"/>
          <w:kern w:val="2"/>
          <w:sz w:val="28"/>
          <w:szCs w:val="28"/>
          <w:lang w:val="en-US" w:eastAsia="zh-CN" w:bidi="ar-SA"/>
        </w:rPr>
      </w:sdtEndPr>
      <w:sdtContent>
        <w:p w14:paraId="6D506C09">
          <w:pPr>
            <w:spacing w:before="0" w:beforeLines="0" w:after="0" w:afterLines="0" w:line="480" w:lineRule="auto"/>
            <w:ind w:left="0" w:leftChars="0" w:right="0" w:rightChars="0" w:firstLine="0" w:firstLineChars="0"/>
            <w:jc w:val="center"/>
            <w:rPr>
              <w:color w:val="auto"/>
            </w:rPr>
          </w:pPr>
        </w:p>
        <w:p w14:paraId="675F9F87">
          <w:pPr>
            <w:pStyle w:val="15"/>
            <w:tabs>
              <w:tab w:val="right" w:leader="dot" w:pos="8299"/>
            </w:tabs>
            <w:spacing w:line="480" w:lineRule="auto"/>
            <w:rPr>
              <w:color w:val="auto"/>
              <w:sz w:val="28"/>
              <w:szCs w:val="28"/>
            </w:rPr>
          </w:pPr>
          <w:r>
            <w:rPr>
              <w:color w:val="auto"/>
              <w:sz w:val="28"/>
              <w:szCs w:val="28"/>
            </w:rPr>
            <w:fldChar w:fldCharType="begin"/>
          </w:r>
          <w:r>
            <w:rPr>
              <w:color w:val="auto"/>
              <w:sz w:val="28"/>
              <w:szCs w:val="28"/>
            </w:rPr>
            <w:instrText xml:space="preserve">TOC \o "1-1" \h \u </w:instrText>
          </w:r>
          <w:r>
            <w:rPr>
              <w:color w:val="auto"/>
              <w:sz w:val="28"/>
              <w:szCs w:val="28"/>
            </w:rPr>
            <w:fldChar w:fldCharType="separate"/>
          </w:r>
          <w:r>
            <w:rPr>
              <w:color w:val="auto"/>
              <w:sz w:val="28"/>
              <w:szCs w:val="28"/>
            </w:rPr>
            <w:fldChar w:fldCharType="begin"/>
          </w:r>
          <w:r>
            <w:rPr>
              <w:color w:val="auto"/>
              <w:sz w:val="28"/>
              <w:szCs w:val="28"/>
            </w:rPr>
            <w:instrText xml:space="preserve"> HYPERLINK \l _Toc26225 </w:instrText>
          </w:r>
          <w:r>
            <w:rPr>
              <w:color w:val="auto"/>
              <w:sz w:val="28"/>
              <w:szCs w:val="28"/>
            </w:rPr>
            <w:fldChar w:fldCharType="separate"/>
          </w:r>
          <w:r>
            <w:rPr>
              <w:rFonts w:hint="default"/>
              <w:color w:val="auto"/>
              <w:sz w:val="28"/>
              <w:szCs w:val="28"/>
            </w:rPr>
            <w:t xml:space="preserve">1. </w:t>
          </w:r>
          <w:r>
            <w:rPr>
              <w:color w:val="auto"/>
              <w:sz w:val="28"/>
              <w:szCs w:val="28"/>
            </w:rPr>
            <w:t>总论</w:t>
          </w:r>
          <w:r>
            <w:rPr>
              <w:color w:val="auto"/>
              <w:sz w:val="28"/>
              <w:szCs w:val="28"/>
            </w:rPr>
            <w:tab/>
          </w:r>
          <w:r>
            <w:rPr>
              <w:color w:val="auto"/>
              <w:sz w:val="28"/>
              <w:szCs w:val="28"/>
            </w:rPr>
            <w:fldChar w:fldCharType="begin"/>
          </w:r>
          <w:r>
            <w:rPr>
              <w:color w:val="auto"/>
              <w:sz w:val="28"/>
              <w:szCs w:val="28"/>
            </w:rPr>
            <w:instrText xml:space="preserve"> PAGEREF _Toc26225 \h </w:instrText>
          </w:r>
          <w:r>
            <w:rPr>
              <w:color w:val="auto"/>
              <w:sz w:val="28"/>
              <w:szCs w:val="28"/>
            </w:rPr>
            <w:fldChar w:fldCharType="separate"/>
          </w:r>
          <w:r>
            <w:rPr>
              <w:color w:val="auto"/>
              <w:sz w:val="28"/>
              <w:szCs w:val="28"/>
            </w:rPr>
            <w:t>1</w:t>
          </w:r>
          <w:r>
            <w:rPr>
              <w:color w:val="auto"/>
              <w:sz w:val="28"/>
              <w:szCs w:val="28"/>
            </w:rPr>
            <w:fldChar w:fldCharType="end"/>
          </w:r>
          <w:r>
            <w:rPr>
              <w:color w:val="auto"/>
              <w:sz w:val="28"/>
              <w:szCs w:val="28"/>
            </w:rPr>
            <w:fldChar w:fldCharType="end"/>
          </w:r>
        </w:p>
        <w:p w14:paraId="2E736045">
          <w:pPr>
            <w:pStyle w:val="15"/>
            <w:tabs>
              <w:tab w:val="right" w:leader="dot" w:pos="8299"/>
            </w:tabs>
            <w:spacing w:line="480" w:lineRule="auto"/>
            <w:rPr>
              <w:color w:val="auto"/>
              <w:sz w:val="28"/>
              <w:szCs w:val="28"/>
            </w:rPr>
          </w:pPr>
          <w:r>
            <w:rPr>
              <w:color w:val="auto"/>
              <w:sz w:val="28"/>
              <w:szCs w:val="28"/>
            </w:rPr>
            <w:fldChar w:fldCharType="begin"/>
          </w:r>
          <w:r>
            <w:rPr>
              <w:color w:val="auto"/>
              <w:sz w:val="28"/>
              <w:szCs w:val="28"/>
            </w:rPr>
            <w:instrText xml:space="preserve"> HYPERLINK \l _Toc13499 </w:instrText>
          </w:r>
          <w:r>
            <w:rPr>
              <w:color w:val="auto"/>
              <w:sz w:val="28"/>
              <w:szCs w:val="28"/>
            </w:rPr>
            <w:fldChar w:fldCharType="separate"/>
          </w:r>
          <w:r>
            <w:rPr>
              <w:rFonts w:hint="default"/>
              <w:color w:val="auto"/>
              <w:sz w:val="28"/>
              <w:szCs w:val="28"/>
            </w:rPr>
            <w:t xml:space="preserve">2. </w:t>
          </w:r>
          <w:r>
            <w:rPr>
              <w:color w:val="auto"/>
              <w:sz w:val="28"/>
              <w:szCs w:val="28"/>
            </w:rPr>
            <w:t>升压站工程概况</w:t>
          </w:r>
          <w:r>
            <w:rPr>
              <w:color w:val="auto"/>
              <w:sz w:val="28"/>
              <w:szCs w:val="28"/>
            </w:rPr>
            <w:tab/>
          </w:r>
          <w:r>
            <w:rPr>
              <w:color w:val="auto"/>
              <w:sz w:val="28"/>
              <w:szCs w:val="28"/>
            </w:rPr>
            <w:fldChar w:fldCharType="begin"/>
          </w:r>
          <w:r>
            <w:rPr>
              <w:color w:val="auto"/>
              <w:sz w:val="28"/>
              <w:szCs w:val="28"/>
            </w:rPr>
            <w:instrText xml:space="preserve"> PAGEREF _Toc13499 \h </w:instrText>
          </w:r>
          <w:r>
            <w:rPr>
              <w:color w:val="auto"/>
              <w:sz w:val="28"/>
              <w:szCs w:val="28"/>
            </w:rPr>
            <w:fldChar w:fldCharType="separate"/>
          </w:r>
          <w:r>
            <w:rPr>
              <w:color w:val="auto"/>
              <w:sz w:val="28"/>
              <w:szCs w:val="28"/>
            </w:rPr>
            <w:t>4</w:t>
          </w:r>
          <w:r>
            <w:rPr>
              <w:color w:val="auto"/>
              <w:sz w:val="28"/>
              <w:szCs w:val="28"/>
            </w:rPr>
            <w:fldChar w:fldCharType="end"/>
          </w:r>
          <w:r>
            <w:rPr>
              <w:color w:val="auto"/>
              <w:sz w:val="28"/>
              <w:szCs w:val="28"/>
            </w:rPr>
            <w:fldChar w:fldCharType="end"/>
          </w:r>
        </w:p>
        <w:p w14:paraId="5BD652DA">
          <w:pPr>
            <w:pStyle w:val="15"/>
            <w:tabs>
              <w:tab w:val="right" w:leader="dot" w:pos="8299"/>
            </w:tabs>
            <w:spacing w:line="480" w:lineRule="auto"/>
            <w:rPr>
              <w:color w:val="auto"/>
              <w:sz w:val="28"/>
              <w:szCs w:val="28"/>
            </w:rPr>
          </w:pPr>
          <w:r>
            <w:rPr>
              <w:color w:val="auto"/>
              <w:sz w:val="28"/>
              <w:szCs w:val="28"/>
            </w:rPr>
            <w:fldChar w:fldCharType="begin"/>
          </w:r>
          <w:r>
            <w:rPr>
              <w:color w:val="auto"/>
              <w:sz w:val="28"/>
              <w:szCs w:val="28"/>
            </w:rPr>
            <w:instrText xml:space="preserve"> HYPERLINK \l _Toc8751 </w:instrText>
          </w:r>
          <w:r>
            <w:rPr>
              <w:color w:val="auto"/>
              <w:sz w:val="28"/>
              <w:szCs w:val="28"/>
            </w:rPr>
            <w:fldChar w:fldCharType="separate"/>
          </w:r>
          <w:r>
            <w:rPr>
              <w:rFonts w:hint="default"/>
              <w:color w:val="auto"/>
              <w:sz w:val="28"/>
              <w:szCs w:val="28"/>
            </w:rPr>
            <w:t xml:space="preserve">3. </w:t>
          </w:r>
          <w:r>
            <w:rPr>
              <w:color w:val="auto"/>
              <w:sz w:val="28"/>
              <w:szCs w:val="28"/>
            </w:rPr>
            <w:t>电磁环境现状调查与评价</w:t>
          </w:r>
          <w:r>
            <w:rPr>
              <w:color w:val="auto"/>
              <w:sz w:val="28"/>
              <w:szCs w:val="28"/>
            </w:rPr>
            <w:tab/>
          </w:r>
          <w:r>
            <w:rPr>
              <w:color w:val="auto"/>
              <w:sz w:val="28"/>
              <w:szCs w:val="28"/>
            </w:rPr>
            <w:fldChar w:fldCharType="begin"/>
          </w:r>
          <w:r>
            <w:rPr>
              <w:color w:val="auto"/>
              <w:sz w:val="28"/>
              <w:szCs w:val="28"/>
            </w:rPr>
            <w:instrText xml:space="preserve"> PAGEREF _Toc8751 \h </w:instrText>
          </w:r>
          <w:r>
            <w:rPr>
              <w:color w:val="auto"/>
              <w:sz w:val="28"/>
              <w:szCs w:val="28"/>
            </w:rPr>
            <w:fldChar w:fldCharType="separate"/>
          </w:r>
          <w:r>
            <w:rPr>
              <w:color w:val="auto"/>
              <w:sz w:val="28"/>
              <w:szCs w:val="28"/>
            </w:rPr>
            <w:t>6</w:t>
          </w:r>
          <w:r>
            <w:rPr>
              <w:color w:val="auto"/>
              <w:sz w:val="28"/>
              <w:szCs w:val="28"/>
            </w:rPr>
            <w:fldChar w:fldCharType="end"/>
          </w:r>
          <w:r>
            <w:rPr>
              <w:color w:val="auto"/>
              <w:sz w:val="28"/>
              <w:szCs w:val="28"/>
            </w:rPr>
            <w:fldChar w:fldCharType="end"/>
          </w:r>
        </w:p>
        <w:p w14:paraId="62715D41">
          <w:pPr>
            <w:pStyle w:val="15"/>
            <w:tabs>
              <w:tab w:val="right" w:leader="dot" w:pos="8299"/>
            </w:tabs>
            <w:spacing w:line="480" w:lineRule="auto"/>
            <w:rPr>
              <w:color w:val="auto"/>
              <w:sz w:val="28"/>
              <w:szCs w:val="28"/>
            </w:rPr>
          </w:pPr>
          <w:r>
            <w:rPr>
              <w:color w:val="auto"/>
              <w:sz w:val="28"/>
              <w:szCs w:val="28"/>
            </w:rPr>
            <w:fldChar w:fldCharType="begin"/>
          </w:r>
          <w:r>
            <w:rPr>
              <w:color w:val="auto"/>
              <w:sz w:val="28"/>
              <w:szCs w:val="28"/>
            </w:rPr>
            <w:instrText xml:space="preserve"> HYPERLINK \l _Toc21770 </w:instrText>
          </w:r>
          <w:r>
            <w:rPr>
              <w:color w:val="auto"/>
              <w:sz w:val="28"/>
              <w:szCs w:val="28"/>
            </w:rPr>
            <w:fldChar w:fldCharType="separate"/>
          </w:r>
          <w:r>
            <w:rPr>
              <w:rFonts w:hint="default"/>
              <w:color w:val="auto"/>
              <w:sz w:val="28"/>
              <w:szCs w:val="28"/>
            </w:rPr>
            <w:t xml:space="preserve">4. </w:t>
          </w:r>
          <w:r>
            <w:rPr>
              <w:color w:val="auto"/>
              <w:sz w:val="28"/>
              <w:szCs w:val="28"/>
            </w:rPr>
            <w:t>电磁环境影响预测与评价</w:t>
          </w:r>
          <w:r>
            <w:rPr>
              <w:color w:val="auto"/>
              <w:sz w:val="28"/>
              <w:szCs w:val="28"/>
            </w:rPr>
            <w:tab/>
          </w:r>
          <w:r>
            <w:rPr>
              <w:color w:val="auto"/>
              <w:sz w:val="28"/>
              <w:szCs w:val="28"/>
            </w:rPr>
            <w:fldChar w:fldCharType="begin"/>
          </w:r>
          <w:r>
            <w:rPr>
              <w:color w:val="auto"/>
              <w:sz w:val="28"/>
              <w:szCs w:val="28"/>
            </w:rPr>
            <w:instrText xml:space="preserve"> PAGEREF _Toc21770 \h </w:instrText>
          </w:r>
          <w:r>
            <w:rPr>
              <w:color w:val="auto"/>
              <w:sz w:val="28"/>
              <w:szCs w:val="28"/>
            </w:rPr>
            <w:fldChar w:fldCharType="separate"/>
          </w:r>
          <w:r>
            <w:rPr>
              <w:color w:val="auto"/>
              <w:sz w:val="28"/>
              <w:szCs w:val="28"/>
            </w:rPr>
            <w:t>9</w:t>
          </w:r>
          <w:r>
            <w:rPr>
              <w:color w:val="auto"/>
              <w:sz w:val="28"/>
              <w:szCs w:val="28"/>
            </w:rPr>
            <w:fldChar w:fldCharType="end"/>
          </w:r>
          <w:r>
            <w:rPr>
              <w:color w:val="auto"/>
              <w:sz w:val="28"/>
              <w:szCs w:val="28"/>
            </w:rPr>
            <w:fldChar w:fldCharType="end"/>
          </w:r>
        </w:p>
        <w:p w14:paraId="468B939B">
          <w:pPr>
            <w:pStyle w:val="15"/>
            <w:tabs>
              <w:tab w:val="right" w:leader="dot" w:pos="8299"/>
            </w:tabs>
            <w:spacing w:line="480" w:lineRule="auto"/>
            <w:rPr>
              <w:color w:val="auto"/>
              <w:sz w:val="28"/>
              <w:szCs w:val="28"/>
            </w:rPr>
          </w:pPr>
          <w:r>
            <w:rPr>
              <w:color w:val="auto"/>
              <w:sz w:val="28"/>
              <w:szCs w:val="28"/>
            </w:rPr>
            <w:fldChar w:fldCharType="begin"/>
          </w:r>
          <w:r>
            <w:rPr>
              <w:color w:val="auto"/>
              <w:sz w:val="28"/>
              <w:szCs w:val="28"/>
            </w:rPr>
            <w:instrText xml:space="preserve"> HYPERLINK \l _Toc32327 </w:instrText>
          </w:r>
          <w:r>
            <w:rPr>
              <w:color w:val="auto"/>
              <w:sz w:val="28"/>
              <w:szCs w:val="28"/>
            </w:rPr>
            <w:fldChar w:fldCharType="separate"/>
          </w:r>
          <w:r>
            <w:rPr>
              <w:rFonts w:hint="default"/>
              <w:color w:val="auto"/>
              <w:sz w:val="28"/>
              <w:szCs w:val="28"/>
            </w:rPr>
            <w:t xml:space="preserve">5. </w:t>
          </w:r>
          <w:r>
            <w:rPr>
              <w:color w:val="auto"/>
              <w:sz w:val="28"/>
              <w:szCs w:val="28"/>
            </w:rPr>
            <w:t>电磁环境保护措施及监测计划</w:t>
          </w:r>
          <w:r>
            <w:rPr>
              <w:color w:val="auto"/>
              <w:sz w:val="28"/>
              <w:szCs w:val="28"/>
            </w:rPr>
            <w:tab/>
          </w:r>
          <w:r>
            <w:rPr>
              <w:color w:val="auto"/>
              <w:sz w:val="28"/>
              <w:szCs w:val="28"/>
            </w:rPr>
            <w:fldChar w:fldCharType="begin"/>
          </w:r>
          <w:r>
            <w:rPr>
              <w:color w:val="auto"/>
              <w:sz w:val="28"/>
              <w:szCs w:val="28"/>
            </w:rPr>
            <w:instrText xml:space="preserve"> PAGEREF _Toc32327 \h </w:instrText>
          </w:r>
          <w:r>
            <w:rPr>
              <w:color w:val="auto"/>
              <w:sz w:val="28"/>
              <w:szCs w:val="28"/>
            </w:rPr>
            <w:fldChar w:fldCharType="separate"/>
          </w:r>
          <w:r>
            <w:rPr>
              <w:color w:val="auto"/>
              <w:sz w:val="28"/>
              <w:szCs w:val="28"/>
            </w:rPr>
            <w:t>14</w:t>
          </w:r>
          <w:r>
            <w:rPr>
              <w:color w:val="auto"/>
              <w:sz w:val="28"/>
              <w:szCs w:val="28"/>
            </w:rPr>
            <w:fldChar w:fldCharType="end"/>
          </w:r>
          <w:r>
            <w:rPr>
              <w:color w:val="auto"/>
              <w:sz w:val="28"/>
              <w:szCs w:val="28"/>
            </w:rPr>
            <w:fldChar w:fldCharType="end"/>
          </w:r>
        </w:p>
        <w:p w14:paraId="13C6764D">
          <w:pPr>
            <w:pStyle w:val="15"/>
            <w:tabs>
              <w:tab w:val="right" w:leader="dot" w:pos="8299"/>
            </w:tabs>
            <w:spacing w:line="480" w:lineRule="auto"/>
            <w:rPr>
              <w:color w:val="auto"/>
              <w:sz w:val="28"/>
              <w:szCs w:val="28"/>
            </w:rPr>
          </w:pPr>
          <w:r>
            <w:rPr>
              <w:color w:val="auto"/>
              <w:sz w:val="28"/>
              <w:szCs w:val="28"/>
            </w:rPr>
            <w:fldChar w:fldCharType="begin"/>
          </w:r>
          <w:r>
            <w:rPr>
              <w:color w:val="auto"/>
              <w:sz w:val="28"/>
              <w:szCs w:val="28"/>
            </w:rPr>
            <w:instrText xml:space="preserve"> HYPERLINK \l _Toc25303 </w:instrText>
          </w:r>
          <w:r>
            <w:rPr>
              <w:color w:val="auto"/>
              <w:sz w:val="28"/>
              <w:szCs w:val="28"/>
            </w:rPr>
            <w:fldChar w:fldCharType="separate"/>
          </w:r>
          <w:r>
            <w:rPr>
              <w:rFonts w:hint="default"/>
              <w:color w:val="auto"/>
              <w:sz w:val="28"/>
              <w:szCs w:val="28"/>
            </w:rPr>
            <w:t xml:space="preserve">6. </w:t>
          </w:r>
          <w:r>
            <w:rPr>
              <w:color w:val="auto"/>
              <w:sz w:val="28"/>
              <w:szCs w:val="28"/>
            </w:rPr>
            <w:t>电磁辐射影响评价结论</w:t>
          </w:r>
          <w:r>
            <w:rPr>
              <w:color w:val="auto"/>
              <w:sz w:val="28"/>
              <w:szCs w:val="28"/>
            </w:rPr>
            <w:tab/>
          </w:r>
          <w:r>
            <w:rPr>
              <w:color w:val="auto"/>
              <w:sz w:val="28"/>
              <w:szCs w:val="28"/>
            </w:rPr>
            <w:fldChar w:fldCharType="begin"/>
          </w:r>
          <w:r>
            <w:rPr>
              <w:color w:val="auto"/>
              <w:sz w:val="28"/>
              <w:szCs w:val="28"/>
            </w:rPr>
            <w:instrText xml:space="preserve"> PAGEREF _Toc25303 \h </w:instrText>
          </w:r>
          <w:r>
            <w:rPr>
              <w:color w:val="auto"/>
              <w:sz w:val="28"/>
              <w:szCs w:val="28"/>
            </w:rPr>
            <w:fldChar w:fldCharType="separate"/>
          </w:r>
          <w:r>
            <w:rPr>
              <w:color w:val="auto"/>
              <w:sz w:val="28"/>
              <w:szCs w:val="28"/>
            </w:rPr>
            <w:t>15</w:t>
          </w:r>
          <w:r>
            <w:rPr>
              <w:color w:val="auto"/>
              <w:sz w:val="28"/>
              <w:szCs w:val="28"/>
            </w:rPr>
            <w:fldChar w:fldCharType="end"/>
          </w:r>
          <w:r>
            <w:rPr>
              <w:color w:val="auto"/>
              <w:sz w:val="28"/>
              <w:szCs w:val="28"/>
            </w:rPr>
            <w:fldChar w:fldCharType="end"/>
          </w:r>
        </w:p>
        <w:p w14:paraId="2AF3B902">
          <w:pPr>
            <w:widowControl/>
            <w:spacing w:line="480" w:lineRule="auto"/>
            <w:jc w:val="left"/>
            <w:rPr>
              <w:rFonts w:ascii="Times New Roman" w:hAnsi="Times New Roman" w:eastAsia="宋体" w:cs="Times New Roman"/>
              <w:color w:val="auto"/>
              <w:kern w:val="2"/>
              <w:sz w:val="28"/>
              <w:szCs w:val="28"/>
              <w:lang w:val="en-US" w:eastAsia="zh-CN" w:bidi="ar-SA"/>
            </w:rPr>
          </w:pPr>
          <w:r>
            <w:rPr>
              <w:color w:val="auto"/>
              <w:sz w:val="28"/>
              <w:szCs w:val="28"/>
            </w:rPr>
            <w:fldChar w:fldCharType="end"/>
          </w:r>
        </w:p>
      </w:sdtContent>
    </w:sdt>
    <w:p w14:paraId="7DFAAA91">
      <w:pPr>
        <w:pStyle w:val="9"/>
        <w:rPr>
          <w:color w:val="auto"/>
        </w:rPr>
      </w:pPr>
    </w:p>
    <w:p w14:paraId="4D38D2D3">
      <w:pPr>
        <w:widowControl/>
        <w:spacing w:line="360" w:lineRule="auto"/>
        <w:jc w:val="left"/>
        <w:rPr>
          <w:color w:val="auto"/>
          <w:sz w:val="24"/>
        </w:rPr>
      </w:pPr>
    </w:p>
    <w:p w14:paraId="524D4B86">
      <w:pPr>
        <w:widowControl/>
        <w:spacing w:line="360" w:lineRule="auto"/>
        <w:jc w:val="left"/>
        <w:rPr>
          <w:color w:val="auto"/>
          <w:sz w:val="24"/>
        </w:rPr>
      </w:pPr>
    </w:p>
    <w:p w14:paraId="4B3D11B2">
      <w:pPr>
        <w:widowControl/>
        <w:spacing w:line="360" w:lineRule="auto"/>
        <w:jc w:val="left"/>
        <w:rPr>
          <w:color w:val="auto"/>
          <w:sz w:val="24"/>
        </w:rPr>
        <w:sectPr>
          <w:footerReference r:id="rId17" w:type="default"/>
          <w:pgSz w:w="11905" w:h="16838"/>
          <w:pgMar w:top="1440" w:right="1803" w:bottom="1440" w:left="1803" w:header="851" w:footer="1077" w:gutter="0"/>
          <w:pgBorders>
            <w:top w:val="none" w:sz="0" w:space="0"/>
            <w:left w:val="none" w:sz="0" w:space="0"/>
            <w:bottom w:val="none" w:sz="0" w:space="0"/>
            <w:right w:val="none" w:sz="0" w:space="0"/>
          </w:pgBorders>
          <w:cols w:space="720" w:num="1"/>
          <w:docGrid w:linePitch="312" w:charSpace="0"/>
        </w:sectPr>
      </w:pPr>
    </w:p>
    <w:p w14:paraId="7B4D748B">
      <w:pPr>
        <w:pStyle w:val="3"/>
        <w:bidi w:val="0"/>
        <w:rPr>
          <w:sz w:val="32"/>
          <w:szCs w:val="32"/>
        </w:rPr>
      </w:pPr>
      <w:bookmarkStart w:id="93" w:name="_Toc26225"/>
      <w:bookmarkStart w:id="94" w:name="_Toc20569"/>
      <w:bookmarkStart w:id="95" w:name="_Toc15609"/>
      <w:bookmarkStart w:id="96" w:name="_Toc26967"/>
      <w:r>
        <w:rPr>
          <w:rFonts w:hint="eastAsia"/>
          <w:sz w:val="32"/>
          <w:szCs w:val="32"/>
          <w:lang w:val="en-US" w:eastAsia="zh-CN"/>
        </w:rPr>
        <w:t>1.</w:t>
      </w:r>
      <w:r>
        <w:rPr>
          <w:sz w:val="32"/>
          <w:szCs w:val="32"/>
        </w:rPr>
        <w:t>总论</w:t>
      </w:r>
      <w:bookmarkEnd w:id="93"/>
      <w:bookmarkEnd w:id="94"/>
      <w:bookmarkEnd w:id="95"/>
      <w:bookmarkEnd w:id="96"/>
    </w:p>
    <w:p w14:paraId="23A95FD0">
      <w:pPr>
        <w:pStyle w:val="3"/>
        <w:bidi w:val="0"/>
        <w:rPr>
          <w:color w:val="auto"/>
        </w:rPr>
      </w:pPr>
      <w:bookmarkStart w:id="97" w:name="_Toc24430"/>
      <w:r>
        <w:rPr>
          <w:rFonts w:hint="eastAsia"/>
          <w:color w:val="auto"/>
          <w:lang w:val="en-US" w:eastAsia="zh-CN"/>
        </w:rPr>
        <w:t>1.1</w:t>
      </w:r>
      <w:r>
        <w:rPr>
          <w:color w:val="auto"/>
        </w:rPr>
        <w:t>项目背景</w:t>
      </w:r>
      <w:bookmarkEnd w:id="97"/>
    </w:p>
    <w:p w14:paraId="3C5F5976">
      <w:pPr>
        <w:widowControl/>
        <w:spacing w:line="360" w:lineRule="auto"/>
        <w:ind w:firstLine="480" w:firstLineChars="200"/>
        <w:jc w:val="left"/>
        <w:rPr>
          <w:rFonts w:hint="eastAsia"/>
          <w:color w:val="auto"/>
          <w:sz w:val="24"/>
        </w:rPr>
      </w:pPr>
      <w:r>
        <w:rPr>
          <w:rFonts w:hint="eastAsia"/>
          <w:color w:val="auto"/>
          <w:sz w:val="24"/>
        </w:rPr>
        <w:t>宣威市西泽风电场（二期）工程位于已投产西泽风电场B片区西北部，主要山脊为热水镇海德村附近高山山脊，场址中心距宣威市城区直线距离约45km，地理坐标介于东经103°43'35.7″～103°46'53.1″、北纬25°56'50.6″～25°58′53.8″之间。规划场址由一条近似西</w:t>
      </w:r>
      <w:r>
        <w:rPr>
          <w:rFonts w:hint="eastAsia"/>
          <w:color w:val="auto"/>
          <w:sz w:val="24"/>
          <w:lang w:eastAsia="zh-CN"/>
        </w:rPr>
        <w:t>～</w:t>
      </w:r>
      <w:r>
        <w:rPr>
          <w:rFonts w:hint="eastAsia"/>
          <w:color w:val="auto"/>
          <w:sz w:val="24"/>
        </w:rPr>
        <w:t>东走向的主山脊和山顶台地组成，山脊地形总体连续，海拔在2320～2380m之间。山顶地势较平缓，植被茂密，多为松树、灌木和低矮乔木，平均冠层高度为2～5m。场址附近交通</w:t>
      </w:r>
      <w:r>
        <w:rPr>
          <w:rFonts w:hint="eastAsia"/>
          <w:color w:val="auto"/>
          <w:sz w:val="24"/>
          <w:lang w:val="en-US" w:eastAsia="zh-CN"/>
        </w:rPr>
        <w:t>网络</w:t>
      </w:r>
      <w:r>
        <w:rPr>
          <w:rFonts w:hint="eastAsia"/>
          <w:color w:val="auto"/>
          <w:sz w:val="24"/>
        </w:rPr>
        <w:t>便利，对外交通主要借用已投产的西泽风电场场内检修道路，运输及安装条件较好。风电场地理位置示意图如图1.1-1所示。项目建设区不涉及</w:t>
      </w:r>
      <w:r>
        <w:rPr>
          <w:rFonts w:hint="eastAsia"/>
          <w:color w:val="auto"/>
          <w:sz w:val="24"/>
          <w:highlight w:val="none"/>
        </w:rPr>
        <w:t>国家级公益林、天然乔木林、</w:t>
      </w:r>
      <w:r>
        <w:rPr>
          <w:rFonts w:hint="eastAsia"/>
          <w:color w:val="auto"/>
          <w:sz w:val="24"/>
          <w:highlight w:val="none"/>
          <w:lang w:eastAsia="zh-CN"/>
        </w:rPr>
        <w:t>生态保护红线</w:t>
      </w:r>
      <w:r>
        <w:rPr>
          <w:rFonts w:hint="eastAsia"/>
          <w:color w:val="auto"/>
          <w:sz w:val="24"/>
          <w:highlight w:val="none"/>
        </w:rPr>
        <w:t>、基本农田和水源保护区等</w:t>
      </w:r>
      <w:r>
        <w:rPr>
          <w:rFonts w:hint="eastAsia"/>
          <w:color w:val="auto"/>
          <w:sz w:val="24"/>
          <w:highlight w:val="none"/>
          <w:lang w:val="en-US" w:eastAsia="zh-CN"/>
        </w:rPr>
        <w:t>环境</w:t>
      </w:r>
      <w:r>
        <w:rPr>
          <w:rFonts w:hint="eastAsia"/>
          <w:color w:val="auto"/>
          <w:sz w:val="24"/>
          <w:highlight w:val="none"/>
        </w:rPr>
        <w:t>敏感</w:t>
      </w:r>
      <w:r>
        <w:rPr>
          <w:rFonts w:hint="eastAsia"/>
          <w:color w:val="auto"/>
          <w:sz w:val="24"/>
          <w:highlight w:val="none"/>
          <w:lang w:val="en-US" w:eastAsia="zh-CN"/>
        </w:rPr>
        <w:t>区</w:t>
      </w:r>
      <w:r>
        <w:rPr>
          <w:rFonts w:hint="eastAsia"/>
          <w:color w:val="auto"/>
          <w:sz w:val="24"/>
          <w:highlight w:val="none"/>
        </w:rPr>
        <w:t>。</w:t>
      </w:r>
    </w:p>
    <w:p w14:paraId="46E2B676">
      <w:pPr>
        <w:widowControl/>
        <w:spacing w:line="360" w:lineRule="auto"/>
        <w:ind w:firstLine="480" w:firstLineChars="200"/>
        <w:jc w:val="left"/>
        <w:rPr>
          <w:rFonts w:hint="eastAsia"/>
          <w:color w:val="auto"/>
          <w:sz w:val="24"/>
        </w:rPr>
      </w:pPr>
      <w:r>
        <w:rPr>
          <w:rFonts w:hint="eastAsia" w:ascii="Times New Roman" w:hAnsi="Times New Roman" w:eastAsia="宋体" w:cs="Times New Roman"/>
          <w:color w:val="auto"/>
          <w:sz w:val="24"/>
          <w:lang w:val="en-US" w:eastAsia="zh-CN"/>
        </w:rPr>
        <w:t>西泽风电场（二期）与西泽风电场升压站同属于一个建设单位，在西泽风电场（一期）B片区西北侧新</w:t>
      </w:r>
      <w:r>
        <w:rPr>
          <w:rFonts w:hint="eastAsia" w:cs="Times New Roman"/>
          <w:color w:val="auto"/>
          <w:sz w:val="24"/>
          <w:lang w:val="en-US" w:eastAsia="zh-CN"/>
        </w:rPr>
        <w:t>建</w:t>
      </w:r>
      <w:r>
        <w:rPr>
          <w:rFonts w:hint="eastAsia" w:ascii="Times New Roman" w:hAnsi="Times New Roman" w:eastAsia="宋体" w:cs="Times New Roman"/>
          <w:color w:val="auto"/>
          <w:sz w:val="24"/>
          <w:lang w:val="en-US" w:eastAsia="zh-CN"/>
        </w:rPr>
        <w:t>4台风机，</w:t>
      </w:r>
      <w:r>
        <w:rPr>
          <w:rFonts w:hint="eastAsia" w:cs="Times New Roman"/>
          <w:color w:val="auto"/>
          <w:sz w:val="24"/>
          <w:lang w:val="en-US" w:eastAsia="zh-CN"/>
        </w:rPr>
        <w:t>新增4台</w:t>
      </w:r>
      <w:r>
        <w:rPr>
          <w:rFonts w:hint="eastAsia" w:ascii="Times New Roman" w:hAnsi="Times New Roman" w:eastAsia="宋体" w:cs="Times New Roman"/>
          <w:color w:val="auto"/>
          <w:sz w:val="24"/>
          <w:lang w:val="en-US" w:eastAsia="zh-CN"/>
        </w:rPr>
        <w:t>风机距离西泽风电场（一期）B片区2.5km，增加的运维路程不长，通过研判，项目运营可依托西泽风电场升压站。</w:t>
      </w:r>
    </w:p>
    <w:p w14:paraId="432A7D4B">
      <w:pPr>
        <w:widowControl/>
        <w:spacing w:line="360" w:lineRule="auto"/>
        <w:ind w:firstLine="480" w:firstLineChars="200"/>
        <w:jc w:val="left"/>
        <w:rPr>
          <w:rFonts w:hint="eastAsia"/>
          <w:color w:val="auto"/>
          <w:sz w:val="24"/>
        </w:rPr>
      </w:pPr>
      <w:r>
        <w:rPr>
          <w:rFonts w:hint="eastAsia"/>
          <w:color w:val="auto"/>
          <w:sz w:val="24"/>
        </w:rPr>
        <w:t>本期</w:t>
      </w:r>
      <w:r>
        <w:rPr>
          <w:rFonts w:hint="eastAsia"/>
          <w:color w:val="auto"/>
          <w:sz w:val="24"/>
          <w:lang w:val="en-US" w:eastAsia="zh-CN"/>
        </w:rPr>
        <w:t>新建</w:t>
      </w:r>
      <w:r>
        <w:rPr>
          <w:rFonts w:hint="eastAsia"/>
          <w:color w:val="auto"/>
          <w:sz w:val="24"/>
        </w:rPr>
        <w:t>4台</w:t>
      </w:r>
      <w:r>
        <w:rPr>
          <w:rFonts w:hint="eastAsia"/>
          <w:color w:val="auto"/>
          <w:sz w:val="24"/>
          <w:lang w:val="en-US" w:eastAsia="zh-CN"/>
        </w:rPr>
        <w:t>风机</w:t>
      </w:r>
      <w:r>
        <w:rPr>
          <w:rFonts w:hint="eastAsia"/>
          <w:color w:val="auto"/>
          <w:sz w:val="24"/>
        </w:rPr>
        <w:t>机位，装机规模为30MW，拟接入原西泽风电场220kV升压站进行消纳，在升压站配套建设安装1台30MVA的主变，220kV升压站汇集所有风机电能后以1回220kV出线接入500kV多乐变。本期工程拟在原有升压站围墙范围内进行扩建，结合现场实际情况，拟在原站内西侧场地扩建本期主变、35kV设备及二次设备预制舱、GIS等新增设备，不新增建筑物</w:t>
      </w:r>
      <w:r>
        <w:rPr>
          <w:rFonts w:hint="eastAsia"/>
          <w:color w:val="auto"/>
          <w:sz w:val="24"/>
          <w:lang w:eastAsia="zh-CN"/>
        </w:rPr>
        <w:t>、</w:t>
      </w:r>
      <w:r>
        <w:rPr>
          <w:rFonts w:hint="eastAsia"/>
          <w:color w:val="auto"/>
          <w:sz w:val="24"/>
        </w:rPr>
        <w:t>建设用地。</w:t>
      </w:r>
    </w:p>
    <w:p w14:paraId="1D763B5C">
      <w:pPr>
        <w:widowControl/>
        <w:spacing w:line="360" w:lineRule="auto"/>
        <w:ind w:firstLine="480" w:firstLineChars="20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为说明本项目新增220kV主变对周边电磁</w:t>
      </w:r>
      <w:r>
        <w:rPr>
          <w:rFonts w:hint="eastAsia" w:cs="Times New Roman"/>
          <w:color w:val="auto"/>
          <w:sz w:val="24"/>
          <w:lang w:val="en-US" w:eastAsia="zh-CN"/>
        </w:rPr>
        <w:t>环境</w:t>
      </w:r>
      <w:r>
        <w:rPr>
          <w:rFonts w:hint="eastAsia" w:ascii="Times New Roman" w:hAnsi="Times New Roman" w:eastAsia="宋体" w:cs="Times New Roman"/>
          <w:color w:val="auto"/>
          <w:sz w:val="24"/>
          <w:lang w:val="en-US" w:eastAsia="zh-CN"/>
        </w:rPr>
        <w:t>造成的影响，根据《环境影响评价技术导则输变电》（HJ24-2020）的相关要求，编制“电磁环境影响专项评价”。</w:t>
      </w:r>
    </w:p>
    <w:p w14:paraId="3BC38400">
      <w:pPr>
        <w:widowControl/>
        <w:spacing w:line="360" w:lineRule="auto"/>
        <w:ind w:firstLine="480" w:firstLineChars="20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本专项只对项目220kV升压站的电磁环境影响进行评价，其它方面的环境影响评价已在《西泽风电场（二期）环境影响报告表》中论述，本专项不再赘述。</w:t>
      </w:r>
    </w:p>
    <w:p w14:paraId="3DB89F0E">
      <w:pPr>
        <w:widowControl/>
        <w:spacing w:line="360" w:lineRule="auto"/>
        <w:ind w:firstLine="480" w:firstLineChars="200"/>
        <w:jc w:val="left"/>
        <w:rPr>
          <w:rFonts w:hint="eastAsia" w:ascii="Times New Roman" w:hAnsi="Times New Roman" w:eastAsia="宋体" w:cs="Times New Roman"/>
          <w:color w:val="auto"/>
          <w:sz w:val="24"/>
          <w:lang w:val="en-US" w:eastAsia="zh-CN"/>
        </w:rPr>
        <w:sectPr>
          <w:footerReference r:id="rId18" w:type="default"/>
          <w:pgSz w:w="11905" w:h="16838"/>
          <w:pgMar w:top="1440" w:right="1803" w:bottom="1440" w:left="1803"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5594CCFA">
      <w:pPr>
        <w:pStyle w:val="3"/>
        <w:bidi w:val="0"/>
        <w:rPr>
          <w:color w:val="auto"/>
        </w:rPr>
      </w:pPr>
      <w:bookmarkStart w:id="98" w:name="_Toc17755"/>
      <w:r>
        <w:rPr>
          <w:rFonts w:hint="eastAsia"/>
          <w:color w:val="auto"/>
          <w:lang w:val="en-US" w:eastAsia="zh-CN"/>
        </w:rPr>
        <w:t>1.2</w:t>
      </w:r>
      <w:r>
        <w:rPr>
          <w:color w:val="auto"/>
        </w:rPr>
        <w:t>评价依据</w:t>
      </w:r>
      <w:bookmarkEnd w:id="98"/>
    </w:p>
    <w:p w14:paraId="55BAF619">
      <w:pPr>
        <w:pStyle w:val="4"/>
        <w:bidi w:val="0"/>
        <w:rPr>
          <w:color w:val="auto"/>
        </w:rPr>
      </w:pPr>
      <w:bookmarkStart w:id="99" w:name="_Toc11266"/>
      <w:r>
        <w:rPr>
          <w:rFonts w:hint="eastAsia"/>
          <w:color w:val="auto"/>
          <w:lang w:val="en-US" w:eastAsia="zh-CN"/>
        </w:rPr>
        <w:t>1.2.1</w:t>
      </w:r>
      <w:r>
        <w:rPr>
          <w:color w:val="auto"/>
        </w:rPr>
        <w:t>国家</w:t>
      </w:r>
      <w:r>
        <w:rPr>
          <w:rFonts w:hint="eastAsia"/>
          <w:color w:val="auto"/>
          <w:lang w:eastAsia="zh-CN"/>
        </w:rPr>
        <w:t>法律法规</w:t>
      </w:r>
      <w:r>
        <w:rPr>
          <w:color w:val="auto"/>
        </w:rPr>
        <w:t>及相关规范</w:t>
      </w:r>
      <w:bookmarkEnd w:id="99"/>
    </w:p>
    <w:p w14:paraId="390D5104">
      <w:pPr>
        <w:widowControl/>
        <w:spacing w:line="360" w:lineRule="auto"/>
        <w:ind w:firstLine="360" w:firstLineChars="150"/>
        <w:jc w:val="left"/>
        <w:rPr>
          <w:color w:val="auto"/>
          <w:sz w:val="24"/>
        </w:rPr>
      </w:pPr>
      <w:r>
        <w:rPr>
          <w:color w:val="auto"/>
          <w:sz w:val="24"/>
        </w:rPr>
        <w:t>（1）《中华人民共和国环境保护法》，2015年1</w:t>
      </w:r>
      <w:r>
        <w:rPr>
          <w:rFonts w:hint="eastAsia"/>
          <w:color w:val="auto"/>
          <w:sz w:val="24"/>
          <w:lang w:eastAsia="zh-CN"/>
        </w:rPr>
        <w:t>月1日起实施</w:t>
      </w:r>
      <w:r>
        <w:rPr>
          <w:color w:val="auto"/>
          <w:sz w:val="24"/>
        </w:rPr>
        <w:t>；</w:t>
      </w:r>
    </w:p>
    <w:p w14:paraId="77D27166">
      <w:pPr>
        <w:widowControl/>
        <w:spacing w:line="360" w:lineRule="auto"/>
        <w:ind w:firstLine="360" w:firstLineChars="150"/>
        <w:jc w:val="left"/>
        <w:rPr>
          <w:color w:val="auto"/>
          <w:sz w:val="24"/>
        </w:rPr>
      </w:pPr>
      <w:r>
        <w:rPr>
          <w:color w:val="auto"/>
          <w:sz w:val="24"/>
        </w:rPr>
        <w:t>（2）《中华人民共和国环境影响评价法》，2018年12月29日修正；</w:t>
      </w:r>
    </w:p>
    <w:p w14:paraId="79F538D4">
      <w:pPr>
        <w:widowControl/>
        <w:spacing w:line="360" w:lineRule="auto"/>
        <w:ind w:firstLine="360" w:firstLineChars="150"/>
        <w:jc w:val="left"/>
        <w:rPr>
          <w:color w:val="auto"/>
          <w:sz w:val="24"/>
        </w:rPr>
      </w:pPr>
      <w:r>
        <w:rPr>
          <w:color w:val="auto"/>
          <w:sz w:val="24"/>
        </w:rPr>
        <w:t>（3）《中华人民共和国电力法》，2018年12月29日修正；</w:t>
      </w:r>
    </w:p>
    <w:p w14:paraId="5DFF358E">
      <w:pPr>
        <w:widowControl/>
        <w:spacing w:line="360" w:lineRule="auto"/>
        <w:ind w:firstLine="360" w:firstLineChars="150"/>
        <w:jc w:val="left"/>
        <w:rPr>
          <w:color w:val="auto"/>
          <w:sz w:val="24"/>
        </w:rPr>
      </w:pPr>
      <w:r>
        <w:rPr>
          <w:color w:val="auto"/>
          <w:sz w:val="24"/>
        </w:rPr>
        <w:t>（4）《建设项目环境保护管理条例》，2017年10月1日起实施；</w:t>
      </w:r>
    </w:p>
    <w:p w14:paraId="7C4C2420">
      <w:pPr>
        <w:widowControl/>
        <w:spacing w:line="360" w:lineRule="auto"/>
        <w:ind w:firstLine="360" w:firstLineChars="150"/>
        <w:jc w:val="left"/>
        <w:rPr>
          <w:color w:val="auto"/>
          <w:sz w:val="24"/>
        </w:rPr>
      </w:pPr>
      <w:r>
        <w:rPr>
          <w:color w:val="auto"/>
          <w:sz w:val="24"/>
        </w:rPr>
        <w:t>（5）《电力设施保护条例》，2019年12月16日实施；</w:t>
      </w:r>
    </w:p>
    <w:p w14:paraId="503E7BBB">
      <w:pPr>
        <w:widowControl/>
        <w:spacing w:line="360" w:lineRule="auto"/>
        <w:ind w:firstLine="360" w:firstLineChars="150"/>
        <w:jc w:val="left"/>
        <w:rPr>
          <w:color w:val="auto"/>
          <w:sz w:val="24"/>
        </w:rPr>
      </w:pPr>
      <w:r>
        <w:rPr>
          <w:color w:val="auto"/>
          <w:sz w:val="24"/>
        </w:rPr>
        <w:t>（6）《云南省供用电条例》，2004年6</w:t>
      </w:r>
      <w:r>
        <w:rPr>
          <w:rFonts w:hint="eastAsia"/>
          <w:color w:val="auto"/>
          <w:sz w:val="24"/>
          <w:lang w:eastAsia="zh-CN"/>
        </w:rPr>
        <w:t>月1日起实施</w:t>
      </w:r>
      <w:r>
        <w:rPr>
          <w:color w:val="auto"/>
          <w:sz w:val="24"/>
        </w:rPr>
        <w:t>；</w:t>
      </w:r>
    </w:p>
    <w:p w14:paraId="27B7B21C">
      <w:pPr>
        <w:widowControl/>
        <w:spacing w:line="360" w:lineRule="auto"/>
        <w:ind w:firstLine="360" w:firstLineChars="150"/>
        <w:jc w:val="left"/>
        <w:rPr>
          <w:color w:val="auto"/>
          <w:sz w:val="24"/>
        </w:rPr>
      </w:pPr>
      <w:r>
        <w:rPr>
          <w:color w:val="auto"/>
          <w:sz w:val="24"/>
        </w:rPr>
        <w:t>（7）《建设项目环境保护分类管理名录（2021年版）》，2021年1月1日，实施；</w:t>
      </w:r>
    </w:p>
    <w:p w14:paraId="4003673D">
      <w:pPr>
        <w:widowControl/>
        <w:spacing w:line="360" w:lineRule="auto"/>
        <w:ind w:firstLine="360" w:firstLineChars="150"/>
        <w:jc w:val="left"/>
        <w:rPr>
          <w:rFonts w:hint="eastAsia" w:eastAsia="宋体"/>
          <w:color w:val="auto"/>
          <w:sz w:val="24"/>
          <w:lang w:eastAsia="zh-CN"/>
        </w:rPr>
      </w:pPr>
      <w:r>
        <w:rPr>
          <w:color w:val="auto"/>
          <w:sz w:val="24"/>
        </w:rPr>
        <w:t>（8）《国家危险废物名录》（202</w:t>
      </w:r>
      <w:r>
        <w:rPr>
          <w:rFonts w:hint="eastAsia"/>
          <w:color w:val="auto"/>
          <w:sz w:val="24"/>
          <w:lang w:val="en-US" w:eastAsia="zh-CN"/>
        </w:rPr>
        <w:t>5</w:t>
      </w:r>
      <w:r>
        <w:rPr>
          <w:color w:val="auto"/>
          <w:sz w:val="24"/>
        </w:rPr>
        <w:t>年版）</w:t>
      </w:r>
      <w:r>
        <w:rPr>
          <w:rFonts w:hint="eastAsia"/>
          <w:color w:val="auto"/>
          <w:sz w:val="24"/>
          <w:lang w:eastAsia="zh-CN"/>
        </w:rPr>
        <w:t>；</w:t>
      </w:r>
    </w:p>
    <w:p w14:paraId="6F7FC070">
      <w:pPr>
        <w:widowControl/>
        <w:spacing w:line="360" w:lineRule="auto"/>
        <w:ind w:firstLine="360" w:firstLineChars="150"/>
        <w:jc w:val="left"/>
        <w:rPr>
          <w:rFonts w:hint="eastAsia" w:eastAsia="宋体"/>
          <w:color w:val="auto"/>
          <w:sz w:val="24"/>
          <w:lang w:eastAsia="zh-CN"/>
        </w:rPr>
      </w:pPr>
      <w:r>
        <w:rPr>
          <w:rFonts w:hint="eastAsia"/>
          <w:color w:val="auto"/>
          <w:sz w:val="24"/>
          <w:lang w:eastAsia="zh-CN"/>
        </w:rPr>
        <w:t>（</w:t>
      </w:r>
      <w:r>
        <w:rPr>
          <w:rFonts w:hint="eastAsia"/>
          <w:color w:val="auto"/>
          <w:sz w:val="24"/>
          <w:lang w:val="en-US" w:eastAsia="zh-CN"/>
        </w:rPr>
        <w:t>9</w:t>
      </w:r>
      <w:r>
        <w:rPr>
          <w:rFonts w:hint="eastAsia"/>
          <w:color w:val="auto"/>
          <w:sz w:val="24"/>
          <w:lang w:eastAsia="zh-CN"/>
        </w:rPr>
        <w:t>）</w:t>
      </w:r>
      <w:r>
        <w:rPr>
          <w:rFonts w:hint="eastAsia"/>
          <w:color w:val="auto"/>
          <w:sz w:val="24"/>
        </w:rPr>
        <w:t>《云南省电力设施保护条例》</w:t>
      </w:r>
      <w:r>
        <w:rPr>
          <w:rFonts w:hint="eastAsia"/>
          <w:color w:val="auto"/>
          <w:sz w:val="24"/>
          <w:lang w:eastAsia="zh-CN"/>
        </w:rPr>
        <w:t>；</w:t>
      </w:r>
    </w:p>
    <w:p w14:paraId="23951EAB">
      <w:pPr>
        <w:widowControl/>
        <w:spacing w:line="360" w:lineRule="auto"/>
        <w:ind w:firstLine="360" w:firstLineChars="150"/>
        <w:jc w:val="left"/>
        <w:rPr>
          <w:color w:val="auto"/>
          <w:sz w:val="24"/>
        </w:rPr>
      </w:pPr>
      <w:r>
        <w:rPr>
          <w:rFonts w:hint="eastAsia"/>
          <w:color w:val="auto"/>
          <w:sz w:val="24"/>
          <w:lang w:eastAsia="zh-CN"/>
        </w:rPr>
        <w:t>（</w:t>
      </w:r>
      <w:r>
        <w:rPr>
          <w:rFonts w:hint="eastAsia"/>
          <w:color w:val="auto"/>
          <w:sz w:val="24"/>
          <w:lang w:val="en-US" w:eastAsia="zh-CN"/>
        </w:rPr>
        <w:t>10</w:t>
      </w:r>
      <w:r>
        <w:rPr>
          <w:rFonts w:hint="eastAsia"/>
          <w:color w:val="auto"/>
          <w:sz w:val="24"/>
          <w:lang w:eastAsia="zh-CN"/>
        </w:rPr>
        <w:t>）</w:t>
      </w:r>
      <w:r>
        <w:rPr>
          <w:rFonts w:hint="eastAsia"/>
          <w:color w:val="auto"/>
          <w:sz w:val="24"/>
        </w:rPr>
        <w:t>《云南省生态环境保护条例》</w:t>
      </w:r>
      <w:r>
        <w:rPr>
          <w:rFonts w:hint="eastAsia"/>
          <w:color w:val="auto"/>
          <w:sz w:val="24"/>
          <w:lang w:eastAsia="zh-CN"/>
        </w:rPr>
        <w:t>。</w:t>
      </w:r>
    </w:p>
    <w:p w14:paraId="34D66D1A">
      <w:pPr>
        <w:pStyle w:val="4"/>
        <w:bidi w:val="0"/>
        <w:rPr>
          <w:color w:val="auto"/>
        </w:rPr>
      </w:pPr>
      <w:bookmarkStart w:id="100" w:name="_Toc30968"/>
      <w:r>
        <w:rPr>
          <w:rFonts w:hint="eastAsia"/>
          <w:color w:val="auto"/>
          <w:lang w:val="en-US" w:eastAsia="zh-CN"/>
        </w:rPr>
        <w:t>1.2.2</w:t>
      </w:r>
      <w:r>
        <w:rPr>
          <w:color w:val="auto"/>
        </w:rPr>
        <w:t>技术规范与标准</w:t>
      </w:r>
      <w:bookmarkEnd w:id="100"/>
    </w:p>
    <w:p w14:paraId="702C7738">
      <w:pPr>
        <w:widowControl/>
        <w:spacing w:line="360" w:lineRule="auto"/>
        <w:ind w:firstLine="360" w:firstLineChars="150"/>
        <w:jc w:val="left"/>
        <w:rPr>
          <w:color w:val="auto"/>
          <w:sz w:val="24"/>
        </w:rPr>
      </w:pPr>
      <w:r>
        <w:rPr>
          <w:color w:val="auto"/>
          <w:sz w:val="24"/>
        </w:rPr>
        <w:t>（1）《建设项目环境影响评价技术导则—总纲》，HJ2.1-2016；</w:t>
      </w:r>
    </w:p>
    <w:p w14:paraId="2913C387">
      <w:pPr>
        <w:widowControl/>
        <w:spacing w:line="360" w:lineRule="auto"/>
        <w:ind w:firstLine="360" w:firstLineChars="150"/>
        <w:jc w:val="left"/>
        <w:rPr>
          <w:color w:val="auto"/>
          <w:sz w:val="24"/>
        </w:rPr>
      </w:pPr>
      <w:r>
        <w:rPr>
          <w:color w:val="auto"/>
          <w:sz w:val="24"/>
        </w:rPr>
        <w:t>（2）《环境影响评价技术导则—输变电》HJ24-2020；</w:t>
      </w:r>
    </w:p>
    <w:p w14:paraId="5CABF64F">
      <w:pPr>
        <w:widowControl/>
        <w:spacing w:line="360" w:lineRule="auto"/>
        <w:ind w:firstLine="360" w:firstLineChars="150"/>
        <w:jc w:val="left"/>
        <w:rPr>
          <w:color w:val="auto"/>
          <w:sz w:val="24"/>
        </w:rPr>
      </w:pPr>
      <w:r>
        <w:rPr>
          <w:color w:val="auto"/>
          <w:sz w:val="24"/>
        </w:rPr>
        <w:t>（3）《交流输变电工程电磁环境监测方法（试行）</w:t>
      </w:r>
      <w:r>
        <w:rPr>
          <w:rFonts w:hint="eastAsia"/>
          <w:color w:val="auto"/>
          <w:sz w:val="24"/>
          <w:lang w:eastAsia="zh-CN"/>
        </w:rPr>
        <w:t>》</w:t>
      </w:r>
      <w:r>
        <w:rPr>
          <w:color w:val="auto"/>
          <w:sz w:val="24"/>
        </w:rPr>
        <w:t>（HJ681-2013）；</w:t>
      </w:r>
    </w:p>
    <w:p w14:paraId="436D81DC">
      <w:pPr>
        <w:widowControl/>
        <w:spacing w:line="360" w:lineRule="auto"/>
        <w:ind w:firstLine="360" w:firstLineChars="150"/>
        <w:jc w:val="left"/>
        <w:rPr>
          <w:color w:val="auto"/>
          <w:sz w:val="24"/>
        </w:rPr>
      </w:pPr>
      <w:r>
        <w:rPr>
          <w:color w:val="auto"/>
          <w:sz w:val="24"/>
        </w:rPr>
        <w:t>（4）《电磁环境控制限值》（GB8702-2014）；</w:t>
      </w:r>
    </w:p>
    <w:p w14:paraId="36DBD3BD">
      <w:pPr>
        <w:widowControl/>
        <w:spacing w:line="360" w:lineRule="auto"/>
        <w:ind w:firstLine="360" w:firstLineChars="150"/>
        <w:jc w:val="left"/>
        <w:rPr>
          <w:color w:val="auto"/>
          <w:sz w:val="24"/>
        </w:rPr>
      </w:pPr>
      <w:r>
        <w:rPr>
          <w:rFonts w:hint="eastAsia"/>
          <w:color w:val="auto"/>
          <w:sz w:val="24"/>
          <w:lang w:val="en-US" w:eastAsia="zh-CN"/>
        </w:rPr>
        <w:t>1.2.3</w:t>
      </w:r>
      <w:r>
        <w:rPr>
          <w:color w:val="auto"/>
          <w:sz w:val="24"/>
        </w:rPr>
        <w:t>（5）《输变电建设项目环境保护技术要求》（HJ1113-2020）。</w:t>
      </w:r>
    </w:p>
    <w:p w14:paraId="0A56416D">
      <w:pPr>
        <w:pStyle w:val="4"/>
        <w:bidi w:val="0"/>
        <w:rPr>
          <w:color w:val="auto"/>
        </w:rPr>
      </w:pPr>
      <w:bookmarkStart w:id="101" w:name="_Toc25754"/>
      <w:bookmarkStart w:id="102" w:name="_Toc28873"/>
      <w:r>
        <w:rPr>
          <w:color w:val="auto"/>
        </w:rPr>
        <w:t>技术文件和技术资料</w:t>
      </w:r>
      <w:bookmarkEnd w:id="101"/>
      <w:bookmarkEnd w:id="102"/>
    </w:p>
    <w:p w14:paraId="0764558F">
      <w:pPr>
        <w:widowControl/>
        <w:spacing w:line="360" w:lineRule="auto"/>
        <w:ind w:firstLine="360" w:firstLineChars="150"/>
        <w:jc w:val="left"/>
        <w:rPr>
          <w:color w:val="auto"/>
          <w:sz w:val="24"/>
          <w:highlight w:val="none"/>
        </w:rPr>
      </w:pPr>
      <w:r>
        <w:rPr>
          <w:color w:val="auto"/>
          <w:sz w:val="24"/>
          <w:highlight w:val="none"/>
        </w:rPr>
        <w:t>（1）《</w:t>
      </w:r>
      <w:r>
        <w:rPr>
          <w:rFonts w:hint="eastAsia"/>
          <w:color w:val="auto"/>
          <w:sz w:val="24"/>
          <w:highlight w:val="none"/>
        </w:rPr>
        <w:t>西泽风电场（二期）可行性研究报告</w:t>
      </w:r>
      <w:r>
        <w:rPr>
          <w:color w:val="auto"/>
          <w:sz w:val="24"/>
          <w:highlight w:val="none"/>
        </w:rPr>
        <w:t>》</w:t>
      </w:r>
      <w:r>
        <w:rPr>
          <w:rFonts w:hint="eastAsia"/>
          <w:color w:val="auto"/>
          <w:sz w:val="24"/>
          <w:highlight w:val="none"/>
          <w:lang w:val="en-US" w:eastAsia="zh-CN"/>
        </w:rPr>
        <w:t>及批复</w:t>
      </w:r>
      <w:r>
        <w:rPr>
          <w:color w:val="auto"/>
          <w:sz w:val="24"/>
          <w:highlight w:val="none"/>
        </w:rPr>
        <w:t>；</w:t>
      </w:r>
    </w:p>
    <w:p w14:paraId="37A97A6F">
      <w:pPr>
        <w:widowControl/>
        <w:spacing w:line="360" w:lineRule="auto"/>
        <w:ind w:firstLine="360" w:firstLineChars="150"/>
        <w:jc w:val="left"/>
        <w:rPr>
          <w:rFonts w:hint="default" w:eastAsia="宋体"/>
          <w:color w:val="auto"/>
          <w:sz w:val="24"/>
          <w:highlight w:val="none"/>
          <w:lang w:val="en-US" w:eastAsia="zh-CN"/>
        </w:rPr>
      </w:pPr>
      <w:r>
        <w:rPr>
          <w:color w:val="auto"/>
          <w:sz w:val="24"/>
        </w:rPr>
        <w:t>（2）</w:t>
      </w:r>
      <w:r>
        <w:rPr>
          <w:rFonts w:hint="eastAsia"/>
          <w:color w:val="auto"/>
          <w:kern w:val="0"/>
          <w:sz w:val="24"/>
          <w:lang w:bidi="ar"/>
        </w:rPr>
        <w:t>西泽风电场（二期）</w:t>
      </w:r>
      <w:r>
        <w:rPr>
          <w:rFonts w:hint="eastAsia"/>
          <w:color w:val="auto"/>
          <w:kern w:val="0"/>
          <w:sz w:val="24"/>
          <w:lang w:val="en-US" w:eastAsia="zh-CN" w:bidi="ar"/>
        </w:rPr>
        <w:t>核准文件。</w:t>
      </w:r>
    </w:p>
    <w:p w14:paraId="296DAEAB">
      <w:pPr>
        <w:pStyle w:val="3"/>
        <w:bidi w:val="0"/>
        <w:rPr>
          <w:color w:val="auto"/>
        </w:rPr>
      </w:pPr>
      <w:bookmarkStart w:id="103" w:name="_Toc2283"/>
      <w:r>
        <w:rPr>
          <w:rFonts w:hint="eastAsia"/>
          <w:color w:val="auto"/>
          <w:lang w:val="en-US" w:eastAsia="zh-CN"/>
        </w:rPr>
        <w:t>1.3</w:t>
      </w:r>
      <w:r>
        <w:rPr>
          <w:color w:val="auto"/>
        </w:rPr>
        <w:t>评价因子、评价等级、评价范围</w:t>
      </w:r>
      <w:bookmarkEnd w:id="103"/>
    </w:p>
    <w:p w14:paraId="5D02385D">
      <w:pPr>
        <w:pStyle w:val="4"/>
        <w:bidi w:val="0"/>
        <w:rPr>
          <w:color w:val="auto"/>
        </w:rPr>
      </w:pPr>
      <w:bookmarkStart w:id="104" w:name="_Toc11954"/>
      <w:r>
        <w:rPr>
          <w:rFonts w:hint="eastAsia"/>
          <w:color w:val="auto"/>
          <w:lang w:val="en-US" w:eastAsia="zh-CN"/>
        </w:rPr>
        <w:t>1.3.1</w:t>
      </w:r>
      <w:r>
        <w:rPr>
          <w:color w:val="auto"/>
        </w:rPr>
        <w:t>评价因子</w:t>
      </w:r>
      <w:bookmarkEnd w:id="104"/>
    </w:p>
    <w:p w14:paraId="2CB39D00">
      <w:pPr>
        <w:spacing w:line="360" w:lineRule="auto"/>
        <w:ind w:firstLine="480" w:firstLineChars="200"/>
        <w:jc w:val="left"/>
        <w:rPr>
          <w:color w:val="auto"/>
          <w:sz w:val="24"/>
        </w:rPr>
      </w:pPr>
      <w:r>
        <w:rPr>
          <w:color w:val="auto"/>
          <w:sz w:val="24"/>
        </w:rPr>
        <w:t>根据项目工程特点</w:t>
      </w:r>
      <w:r>
        <w:rPr>
          <w:rFonts w:hint="eastAsia"/>
          <w:color w:val="auto"/>
          <w:sz w:val="24"/>
          <w:lang w:val="en-US" w:eastAsia="zh-CN"/>
        </w:rPr>
        <w:t>和</w:t>
      </w:r>
      <w:r>
        <w:rPr>
          <w:color w:val="auto"/>
          <w:sz w:val="24"/>
        </w:rPr>
        <w:t>环境影响因素识别结果，确定项目电磁环境评价因子见表</w:t>
      </w:r>
      <w:r>
        <w:rPr>
          <w:rFonts w:hint="eastAsia"/>
          <w:color w:val="auto"/>
          <w:sz w:val="24"/>
          <w:lang w:val="en-US" w:eastAsia="zh-CN"/>
        </w:rPr>
        <w:t>1</w:t>
      </w:r>
      <w:r>
        <w:rPr>
          <w:color w:val="auto"/>
          <w:sz w:val="24"/>
        </w:rPr>
        <w:t>-1。</w:t>
      </w:r>
    </w:p>
    <w:p w14:paraId="469060E5">
      <w:pPr>
        <w:spacing w:line="360" w:lineRule="auto"/>
        <w:ind w:firstLine="480" w:firstLineChars="200"/>
        <w:jc w:val="left"/>
        <w:rPr>
          <w:color w:val="auto"/>
          <w:sz w:val="24"/>
        </w:rPr>
      </w:pPr>
    </w:p>
    <w:p w14:paraId="0605C16D">
      <w:pPr>
        <w:pStyle w:val="51"/>
        <w:bidi w:val="0"/>
        <w:rPr>
          <w:color w:val="auto"/>
        </w:rPr>
      </w:pPr>
    </w:p>
    <w:p w14:paraId="7DEBDC27">
      <w:pPr>
        <w:pStyle w:val="51"/>
        <w:bidi w:val="0"/>
        <w:rPr>
          <w:color w:val="auto"/>
        </w:rPr>
      </w:pPr>
      <w:r>
        <w:rPr>
          <w:color w:val="auto"/>
        </w:rPr>
        <w:t>表</w:t>
      </w:r>
      <w:r>
        <w:rPr>
          <w:rFonts w:hint="eastAsia"/>
          <w:color w:val="auto"/>
          <w:lang w:val="en-US" w:eastAsia="zh-CN"/>
        </w:rPr>
        <w:t xml:space="preserve">1-1 </w:t>
      </w:r>
      <w:r>
        <w:rPr>
          <w:color w:val="auto"/>
        </w:rPr>
        <w:t xml:space="preserve"> 项目环境影响评价内容和评价因子</w:t>
      </w:r>
    </w:p>
    <w:tbl>
      <w:tblPr>
        <w:tblStyle w:val="20"/>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069"/>
        <w:gridCol w:w="3096"/>
        <w:gridCol w:w="3347"/>
      </w:tblGrid>
      <w:tr w14:paraId="2B4BDEB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1215" w:type="pct"/>
            <w:tcBorders>
              <w:bottom w:val="single" w:color="auto" w:sz="12" w:space="0"/>
            </w:tcBorders>
            <w:noWrap w:val="0"/>
            <w:vAlign w:val="center"/>
          </w:tcPr>
          <w:p w14:paraId="343CF5B9">
            <w:pPr>
              <w:pStyle w:val="52"/>
              <w:keepNext w:val="0"/>
              <w:keepLines w:val="0"/>
              <w:suppressLineNumbers w:val="0"/>
              <w:bidi w:val="0"/>
              <w:spacing w:before="0" w:beforeAutospacing="0" w:after="0" w:afterAutospacing="0"/>
              <w:ind w:left="0" w:right="0"/>
              <w:rPr>
                <w:rFonts w:hint="default" w:ascii="Times New Roman" w:cs="Times New Roman"/>
                <w:b/>
                <w:bCs/>
                <w:color w:val="auto"/>
              </w:rPr>
            </w:pPr>
            <w:r>
              <w:rPr>
                <w:rFonts w:hint="default" w:ascii="Times New Roman" w:cs="Times New Roman"/>
                <w:b/>
                <w:bCs/>
                <w:color w:val="auto"/>
              </w:rPr>
              <w:t>环境要素</w:t>
            </w:r>
          </w:p>
        </w:tc>
        <w:tc>
          <w:tcPr>
            <w:tcW w:w="1818" w:type="pct"/>
            <w:tcBorders>
              <w:bottom w:val="single" w:color="auto" w:sz="12" w:space="0"/>
            </w:tcBorders>
            <w:noWrap w:val="0"/>
            <w:vAlign w:val="center"/>
          </w:tcPr>
          <w:p w14:paraId="3EE82F7A">
            <w:pPr>
              <w:pStyle w:val="52"/>
              <w:keepNext w:val="0"/>
              <w:keepLines w:val="0"/>
              <w:suppressLineNumbers w:val="0"/>
              <w:bidi w:val="0"/>
              <w:spacing w:before="0" w:beforeAutospacing="0" w:after="0" w:afterAutospacing="0"/>
              <w:ind w:left="0" w:right="0"/>
              <w:rPr>
                <w:rFonts w:hint="default" w:ascii="Times New Roman" w:cs="Times New Roman"/>
                <w:b/>
                <w:bCs/>
                <w:color w:val="auto"/>
              </w:rPr>
            </w:pPr>
            <w:r>
              <w:rPr>
                <w:rFonts w:hint="default" w:ascii="Times New Roman" w:cs="Times New Roman"/>
                <w:b/>
                <w:bCs/>
                <w:color w:val="auto"/>
              </w:rPr>
              <w:t>现状评价因子</w:t>
            </w:r>
          </w:p>
        </w:tc>
        <w:tc>
          <w:tcPr>
            <w:tcW w:w="1965" w:type="pct"/>
            <w:tcBorders>
              <w:bottom w:val="single" w:color="auto" w:sz="12" w:space="0"/>
            </w:tcBorders>
            <w:noWrap w:val="0"/>
            <w:vAlign w:val="center"/>
          </w:tcPr>
          <w:p w14:paraId="19DEEDBF">
            <w:pPr>
              <w:pStyle w:val="52"/>
              <w:keepNext w:val="0"/>
              <w:keepLines w:val="0"/>
              <w:suppressLineNumbers w:val="0"/>
              <w:bidi w:val="0"/>
              <w:spacing w:before="0" w:beforeAutospacing="0" w:after="0" w:afterAutospacing="0"/>
              <w:ind w:left="0" w:right="0"/>
              <w:rPr>
                <w:rFonts w:hint="default" w:ascii="Times New Roman" w:cs="Times New Roman"/>
                <w:b/>
                <w:bCs/>
                <w:color w:val="auto"/>
              </w:rPr>
            </w:pPr>
            <w:r>
              <w:rPr>
                <w:rFonts w:hint="default" w:ascii="Times New Roman" w:cs="Times New Roman"/>
                <w:b/>
                <w:bCs/>
                <w:color w:val="auto"/>
              </w:rPr>
              <w:t>预测评价因子</w:t>
            </w:r>
          </w:p>
        </w:tc>
      </w:tr>
      <w:tr w14:paraId="7974081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1215" w:type="pct"/>
            <w:tcBorders>
              <w:top w:val="single" w:color="auto" w:sz="12" w:space="0"/>
              <w:tl2br w:val="nil"/>
              <w:tr2bl w:val="nil"/>
            </w:tcBorders>
            <w:noWrap w:val="0"/>
            <w:vAlign w:val="center"/>
          </w:tcPr>
          <w:p w14:paraId="3D353128">
            <w:pPr>
              <w:pStyle w:val="52"/>
              <w:keepNext w:val="0"/>
              <w:keepLines w:val="0"/>
              <w:suppressLineNumbers w:val="0"/>
              <w:bidi w:val="0"/>
              <w:spacing w:before="0" w:beforeAutospacing="0" w:after="0" w:afterAutospacing="0"/>
              <w:ind w:left="0" w:right="0"/>
              <w:rPr>
                <w:rFonts w:hint="default" w:ascii="Times New Roman" w:cs="Times New Roman"/>
                <w:color w:val="auto"/>
              </w:rPr>
            </w:pPr>
            <w:r>
              <w:rPr>
                <w:rFonts w:hint="default" w:ascii="Times New Roman" w:cs="Times New Roman"/>
                <w:color w:val="auto"/>
              </w:rPr>
              <w:t>电磁环境影响</w:t>
            </w:r>
          </w:p>
        </w:tc>
        <w:tc>
          <w:tcPr>
            <w:tcW w:w="1818" w:type="pct"/>
            <w:tcBorders>
              <w:top w:val="single" w:color="auto" w:sz="12" w:space="0"/>
              <w:tl2br w:val="nil"/>
              <w:tr2bl w:val="nil"/>
            </w:tcBorders>
            <w:noWrap w:val="0"/>
            <w:vAlign w:val="center"/>
          </w:tcPr>
          <w:p w14:paraId="21A61ED8">
            <w:pPr>
              <w:pStyle w:val="52"/>
              <w:keepNext w:val="0"/>
              <w:keepLines w:val="0"/>
              <w:suppressLineNumbers w:val="0"/>
              <w:bidi w:val="0"/>
              <w:spacing w:before="0" w:beforeAutospacing="0" w:after="0" w:afterAutospacing="0"/>
              <w:ind w:left="0" w:right="0"/>
              <w:rPr>
                <w:rFonts w:hint="default" w:ascii="Times New Roman" w:cs="Times New Roman"/>
                <w:color w:val="auto"/>
              </w:rPr>
            </w:pPr>
            <w:r>
              <w:rPr>
                <w:rFonts w:hint="eastAsia" w:cs="Times New Roman"/>
                <w:color w:val="auto"/>
                <w:lang w:val="en-US" w:eastAsia="zh-CN"/>
              </w:rPr>
              <w:t>工频电场</w:t>
            </w:r>
            <w:r>
              <w:rPr>
                <w:rFonts w:hint="eastAsia" w:ascii="Times New Roman" w:cs="Times New Roman"/>
                <w:color w:val="auto"/>
                <w:lang w:val="en-US" w:eastAsia="zh-CN"/>
              </w:rPr>
              <w:t>E</w:t>
            </w:r>
            <w:r>
              <w:rPr>
                <w:rFonts w:hint="default" w:ascii="Times New Roman" w:cs="Times New Roman"/>
                <w:color w:val="auto"/>
              </w:rPr>
              <w:t>（V/m）、</w:t>
            </w:r>
          </w:p>
          <w:p w14:paraId="52F95118">
            <w:pPr>
              <w:pStyle w:val="52"/>
              <w:keepNext w:val="0"/>
              <w:keepLines w:val="0"/>
              <w:suppressLineNumbers w:val="0"/>
              <w:bidi w:val="0"/>
              <w:spacing w:before="0" w:beforeAutospacing="0" w:after="0" w:afterAutospacing="0"/>
              <w:ind w:left="0" w:right="0"/>
              <w:rPr>
                <w:rFonts w:hint="default" w:ascii="Times New Roman" w:cs="Times New Roman"/>
                <w:color w:val="auto"/>
              </w:rPr>
            </w:pPr>
            <w:r>
              <w:rPr>
                <w:rFonts w:hint="eastAsia" w:cs="Times New Roman"/>
                <w:color w:val="auto"/>
                <w:lang w:val="en-US" w:eastAsia="zh-CN"/>
              </w:rPr>
              <w:t>工频磁场</w:t>
            </w:r>
            <w:r>
              <w:rPr>
                <w:rFonts w:hint="eastAsia" w:ascii="Times New Roman" w:cs="Times New Roman"/>
                <w:color w:val="auto"/>
                <w:lang w:val="en-US" w:eastAsia="zh-CN"/>
              </w:rPr>
              <w:t>H</w:t>
            </w:r>
            <w:r>
              <w:rPr>
                <w:rFonts w:hint="default" w:ascii="Times New Roman" w:cs="Times New Roman"/>
                <w:color w:val="auto"/>
              </w:rPr>
              <w:t>（µT）</w:t>
            </w:r>
          </w:p>
        </w:tc>
        <w:tc>
          <w:tcPr>
            <w:tcW w:w="1965" w:type="pct"/>
            <w:tcBorders>
              <w:top w:val="single" w:color="auto" w:sz="12" w:space="0"/>
              <w:tl2br w:val="nil"/>
              <w:tr2bl w:val="nil"/>
            </w:tcBorders>
            <w:noWrap w:val="0"/>
            <w:vAlign w:val="center"/>
          </w:tcPr>
          <w:p w14:paraId="369E53EE">
            <w:pPr>
              <w:pStyle w:val="52"/>
              <w:keepNext w:val="0"/>
              <w:keepLines w:val="0"/>
              <w:suppressLineNumbers w:val="0"/>
              <w:bidi w:val="0"/>
              <w:spacing w:before="0" w:beforeAutospacing="0" w:after="0" w:afterAutospacing="0"/>
              <w:ind w:left="0" w:right="0"/>
              <w:rPr>
                <w:rFonts w:hint="default" w:ascii="Times New Roman" w:cs="Times New Roman"/>
                <w:color w:val="auto"/>
              </w:rPr>
            </w:pPr>
            <w:r>
              <w:rPr>
                <w:rFonts w:hint="eastAsia" w:cs="Times New Roman"/>
                <w:color w:val="auto"/>
                <w:lang w:val="en-US" w:eastAsia="zh-CN"/>
              </w:rPr>
              <w:t>工频电场</w:t>
            </w:r>
            <w:r>
              <w:rPr>
                <w:rFonts w:hint="eastAsia" w:ascii="Times New Roman" w:cs="Times New Roman"/>
                <w:color w:val="auto"/>
                <w:lang w:val="en-US" w:eastAsia="zh-CN"/>
              </w:rPr>
              <w:t>E</w:t>
            </w:r>
            <w:r>
              <w:rPr>
                <w:rFonts w:hint="default" w:ascii="Times New Roman" w:cs="Times New Roman"/>
                <w:color w:val="auto"/>
              </w:rPr>
              <w:t>（V/m）、</w:t>
            </w:r>
          </w:p>
          <w:p w14:paraId="359E2C41">
            <w:pPr>
              <w:pStyle w:val="52"/>
              <w:keepNext w:val="0"/>
              <w:keepLines w:val="0"/>
              <w:suppressLineNumbers w:val="0"/>
              <w:bidi w:val="0"/>
              <w:spacing w:before="0" w:beforeAutospacing="0" w:after="0" w:afterAutospacing="0"/>
              <w:ind w:left="0" w:right="0"/>
              <w:rPr>
                <w:rFonts w:hint="default" w:ascii="Times New Roman" w:cs="Times New Roman"/>
                <w:color w:val="auto"/>
              </w:rPr>
            </w:pPr>
            <w:r>
              <w:rPr>
                <w:rFonts w:hint="eastAsia" w:cs="Times New Roman"/>
                <w:color w:val="auto"/>
                <w:lang w:val="en-US" w:eastAsia="zh-CN"/>
              </w:rPr>
              <w:t>工频磁场</w:t>
            </w:r>
            <w:r>
              <w:rPr>
                <w:rFonts w:hint="eastAsia" w:ascii="Times New Roman" w:cs="Times New Roman"/>
                <w:color w:val="auto"/>
                <w:lang w:val="en-US" w:eastAsia="zh-CN"/>
              </w:rPr>
              <w:t>H</w:t>
            </w:r>
            <w:r>
              <w:rPr>
                <w:rFonts w:hint="default" w:ascii="Times New Roman" w:cs="Times New Roman"/>
                <w:color w:val="auto"/>
              </w:rPr>
              <w:t>（µT）</w:t>
            </w:r>
          </w:p>
        </w:tc>
      </w:tr>
    </w:tbl>
    <w:p w14:paraId="268E0F83">
      <w:pPr>
        <w:pStyle w:val="4"/>
        <w:bidi w:val="0"/>
        <w:rPr>
          <w:color w:val="auto"/>
        </w:rPr>
      </w:pPr>
      <w:bookmarkStart w:id="105" w:name="_Toc27654"/>
      <w:r>
        <w:rPr>
          <w:rFonts w:hint="eastAsia"/>
          <w:color w:val="auto"/>
          <w:lang w:val="en-US" w:eastAsia="zh-CN"/>
        </w:rPr>
        <w:t>1.3.2</w:t>
      </w:r>
      <w:r>
        <w:rPr>
          <w:color w:val="auto"/>
        </w:rPr>
        <w:t>评价等级</w:t>
      </w:r>
      <w:bookmarkEnd w:id="105"/>
    </w:p>
    <w:p w14:paraId="2FC77DB2">
      <w:pPr>
        <w:widowControl/>
        <w:spacing w:line="360" w:lineRule="auto"/>
        <w:ind w:firstLine="480" w:firstLineChars="200"/>
        <w:jc w:val="left"/>
        <w:rPr>
          <w:color w:val="auto"/>
          <w:sz w:val="24"/>
        </w:rPr>
      </w:pPr>
      <w:r>
        <w:rPr>
          <w:color w:val="auto"/>
          <w:sz w:val="24"/>
        </w:rPr>
        <w:t>项目拟建220kV</w:t>
      </w:r>
      <w:r>
        <w:rPr>
          <w:rFonts w:hint="eastAsia"/>
          <w:color w:val="auto"/>
          <w:sz w:val="24"/>
          <w:lang w:val="en-US" w:eastAsia="zh-CN"/>
        </w:rPr>
        <w:t>主变压器</w:t>
      </w:r>
      <w:r>
        <w:rPr>
          <w:color w:val="auto"/>
          <w:sz w:val="24"/>
        </w:rPr>
        <w:t>为户外</w:t>
      </w:r>
      <w:r>
        <w:rPr>
          <w:rFonts w:hint="eastAsia"/>
          <w:color w:val="auto"/>
          <w:sz w:val="24"/>
          <w:lang w:val="en-US" w:eastAsia="zh-CN"/>
        </w:rPr>
        <w:t>式</w:t>
      </w:r>
      <w:r>
        <w:rPr>
          <w:color w:val="auto"/>
          <w:sz w:val="24"/>
        </w:rPr>
        <w:t>，电压等级为220kV，根据《环境影响评价技术导则—输变电》（HJ24-2020），电磁环境影响评价工作等级分级依据见表</w:t>
      </w:r>
      <w:r>
        <w:rPr>
          <w:rFonts w:hint="eastAsia"/>
          <w:color w:val="auto"/>
          <w:sz w:val="24"/>
          <w:lang w:val="en-US" w:eastAsia="zh-CN"/>
        </w:rPr>
        <w:t>1</w:t>
      </w:r>
      <w:r>
        <w:rPr>
          <w:color w:val="auto"/>
          <w:sz w:val="24"/>
        </w:rPr>
        <w:t>-2。</w:t>
      </w:r>
    </w:p>
    <w:p w14:paraId="3EC10565">
      <w:pPr>
        <w:pStyle w:val="51"/>
        <w:bidi w:val="0"/>
        <w:rPr>
          <w:color w:val="auto"/>
        </w:rPr>
      </w:pPr>
      <w:r>
        <w:rPr>
          <w:color w:val="auto"/>
        </w:rPr>
        <w:t>表1-2  变电站电磁环境影响评价工作等级判定表</w:t>
      </w:r>
    </w:p>
    <w:tbl>
      <w:tblPr>
        <w:tblStyle w:val="20"/>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83"/>
        <w:gridCol w:w="1472"/>
        <w:gridCol w:w="1204"/>
        <w:gridCol w:w="2492"/>
        <w:gridCol w:w="2261"/>
      </w:tblGrid>
      <w:tr w14:paraId="350424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36" w:type="pct"/>
            <w:tcBorders>
              <w:bottom w:val="single" w:color="auto" w:sz="12" w:space="0"/>
            </w:tcBorders>
            <w:noWrap w:val="0"/>
            <w:vAlign w:val="center"/>
          </w:tcPr>
          <w:p w14:paraId="6C212DB2">
            <w:pPr>
              <w:pStyle w:val="52"/>
              <w:keepNext w:val="0"/>
              <w:keepLines w:val="0"/>
              <w:suppressLineNumbers w:val="0"/>
              <w:bidi w:val="0"/>
              <w:spacing w:before="0" w:beforeAutospacing="0" w:after="0" w:afterAutospacing="0"/>
              <w:ind w:left="0" w:right="0"/>
              <w:rPr>
                <w:rFonts w:hint="default" w:ascii="Times New Roman" w:cs="Times New Roman"/>
                <w:b/>
                <w:bCs/>
                <w:color w:val="auto"/>
              </w:rPr>
            </w:pPr>
            <w:r>
              <w:rPr>
                <w:rFonts w:hint="default" w:ascii="Times New Roman" w:cs="Times New Roman"/>
                <w:b/>
                <w:bCs/>
                <w:color w:val="auto"/>
              </w:rPr>
              <w:t>分类</w:t>
            </w:r>
          </w:p>
        </w:tc>
        <w:tc>
          <w:tcPr>
            <w:tcW w:w="864" w:type="pct"/>
            <w:tcBorders>
              <w:bottom w:val="single" w:color="auto" w:sz="12" w:space="0"/>
            </w:tcBorders>
            <w:noWrap w:val="0"/>
            <w:vAlign w:val="center"/>
          </w:tcPr>
          <w:p w14:paraId="5F208F6B">
            <w:pPr>
              <w:pStyle w:val="52"/>
              <w:keepNext w:val="0"/>
              <w:keepLines w:val="0"/>
              <w:suppressLineNumbers w:val="0"/>
              <w:bidi w:val="0"/>
              <w:spacing w:before="0" w:beforeAutospacing="0" w:after="0" w:afterAutospacing="0"/>
              <w:ind w:left="0" w:right="0"/>
              <w:rPr>
                <w:rFonts w:hint="default" w:ascii="Times New Roman" w:cs="Times New Roman"/>
                <w:b/>
                <w:bCs/>
                <w:color w:val="auto"/>
              </w:rPr>
            </w:pPr>
            <w:r>
              <w:rPr>
                <w:rFonts w:hint="default" w:ascii="Times New Roman" w:cs="Times New Roman"/>
                <w:b/>
                <w:bCs/>
                <w:color w:val="auto"/>
              </w:rPr>
              <w:t>电压等级</w:t>
            </w:r>
          </w:p>
        </w:tc>
        <w:tc>
          <w:tcPr>
            <w:tcW w:w="707" w:type="pct"/>
            <w:tcBorders>
              <w:bottom w:val="single" w:color="auto" w:sz="12" w:space="0"/>
            </w:tcBorders>
            <w:noWrap w:val="0"/>
            <w:vAlign w:val="center"/>
          </w:tcPr>
          <w:p w14:paraId="126C0233">
            <w:pPr>
              <w:pStyle w:val="52"/>
              <w:keepNext w:val="0"/>
              <w:keepLines w:val="0"/>
              <w:suppressLineNumbers w:val="0"/>
              <w:bidi w:val="0"/>
              <w:spacing w:before="0" w:beforeAutospacing="0" w:after="0" w:afterAutospacing="0"/>
              <w:ind w:left="0" w:right="0"/>
              <w:rPr>
                <w:rFonts w:hint="default" w:ascii="Times New Roman" w:cs="Times New Roman"/>
                <w:b/>
                <w:bCs/>
                <w:color w:val="auto"/>
              </w:rPr>
            </w:pPr>
            <w:r>
              <w:rPr>
                <w:rFonts w:hint="default" w:ascii="Times New Roman" w:cs="Times New Roman"/>
                <w:b/>
                <w:bCs/>
                <w:color w:val="auto"/>
              </w:rPr>
              <w:t>工程</w:t>
            </w:r>
          </w:p>
        </w:tc>
        <w:tc>
          <w:tcPr>
            <w:tcW w:w="1463" w:type="pct"/>
            <w:tcBorders>
              <w:bottom w:val="single" w:color="auto" w:sz="12" w:space="0"/>
            </w:tcBorders>
            <w:noWrap w:val="0"/>
            <w:vAlign w:val="center"/>
          </w:tcPr>
          <w:p w14:paraId="78F4968B">
            <w:pPr>
              <w:pStyle w:val="52"/>
              <w:keepNext w:val="0"/>
              <w:keepLines w:val="0"/>
              <w:suppressLineNumbers w:val="0"/>
              <w:bidi w:val="0"/>
              <w:spacing w:before="0" w:beforeAutospacing="0" w:after="0" w:afterAutospacing="0"/>
              <w:ind w:left="0" w:right="0"/>
              <w:rPr>
                <w:rFonts w:hint="default" w:ascii="Times New Roman" w:cs="Times New Roman"/>
                <w:b/>
                <w:bCs/>
                <w:color w:val="auto"/>
              </w:rPr>
            </w:pPr>
            <w:r>
              <w:rPr>
                <w:rFonts w:hint="default" w:ascii="Times New Roman" w:cs="Times New Roman"/>
                <w:b/>
                <w:bCs/>
                <w:color w:val="auto"/>
              </w:rPr>
              <w:t>条件</w:t>
            </w:r>
          </w:p>
        </w:tc>
        <w:tc>
          <w:tcPr>
            <w:tcW w:w="1327" w:type="pct"/>
            <w:tcBorders>
              <w:bottom w:val="single" w:color="auto" w:sz="12" w:space="0"/>
            </w:tcBorders>
            <w:noWrap w:val="0"/>
            <w:vAlign w:val="center"/>
          </w:tcPr>
          <w:p w14:paraId="3EAAC4ED">
            <w:pPr>
              <w:pStyle w:val="52"/>
              <w:keepNext w:val="0"/>
              <w:keepLines w:val="0"/>
              <w:suppressLineNumbers w:val="0"/>
              <w:bidi w:val="0"/>
              <w:spacing w:before="0" w:beforeAutospacing="0" w:after="0" w:afterAutospacing="0"/>
              <w:ind w:left="0" w:right="0"/>
              <w:rPr>
                <w:rFonts w:hint="default" w:ascii="Times New Roman" w:cs="Times New Roman"/>
                <w:b/>
                <w:bCs/>
                <w:color w:val="auto"/>
              </w:rPr>
            </w:pPr>
            <w:r>
              <w:rPr>
                <w:rFonts w:hint="default" w:ascii="Times New Roman" w:cs="Times New Roman"/>
                <w:b/>
                <w:bCs/>
                <w:color w:val="auto"/>
              </w:rPr>
              <w:t>评价等级</w:t>
            </w:r>
          </w:p>
        </w:tc>
      </w:tr>
      <w:tr w14:paraId="1005636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2" w:hRule="atLeast"/>
          <w:jc w:val="center"/>
        </w:trPr>
        <w:tc>
          <w:tcPr>
            <w:tcW w:w="636" w:type="pct"/>
            <w:vMerge w:val="restart"/>
            <w:tcBorders>
              <w:top w:val="single" w:color="auto" w:sz="12" w:space="0"/>
              <w:tl2br w:val="nil"/>
              <w:tr2bl w:val="nil"/>
            </w:tcBorders>
            <w:noWrap w:val="0"/>
            <w:vAlign w:val="center"/>
          </w:tcPr>
          <w:p w14:paraId="20D0B5B5">
            <w:pPr>
              <w:pStyle w:val="52"/>
              <w:keepNext w:val="0"/>
              <w:keepLines w:val="0"/>
              <w:suppressLineNumbers w:val="0"/>
              <w:bidi w:val="0"/>
              <w:spacing w:before="0" w:beforeAutospacing="0" w:after="0" w:afterAutospacing="0"/>
              <w:ind w:left="0" w:right="0"/>
              <w:rPr>
                <w:rFonts w:hint="eastAsia" w:ascii="Times New Roman" w:cs="Times New Roman"/>
                <w:color w:val="auto"/>
                <w:lang w:eastAsia="zh-CN"/>
              </w:rPr>
            </w:pPr>
            <w:r>
              <w:rPr>
                <w:rFonts w:hint="eastAsia" w:ascii="Times New Roman" w:cs="Times New Roman"/>
                <w:color w:val="auto"/>
                <w:lang w:val="en-US" w:eastAsia="zh-CN"/>
              </w:rPr>
              <w:t>交流</w:t>
            </w:r>
          </w:p>
        </w:tc>
        <w:tc>
          <w:tcPr>
            <w:tcW w:w="864" w:type="pct"/>
            <w:vMerge w:val="restart"/>
            <w:tcBorders>
              <w:top w:val="single" w:color="auto" w:sz="12" w:space="0"/>
              <w:tl2br w:val="nil"/>
              <w:tr2bl w:val="nil"/>
            </w:tcBorders>
            <w:noWrap w:val="0"/>
            <w:vAlign w:val="center"/>
          </w:tcPr>
          <w:p w14:paraId="60AB12F6">
            <w:pPr>
              <w:pStyle w:val="52"/>
              <w:keepNext w:val="0"/>
              <w:keepLines w:val="0"/>
              <w:suppressLineNumbers w:val="0"/>
              <w:bidi w:val="0"/>
              <w:spacing w:before="0" w:beforeAutospacing="0" w:after="0" w:afterAutospacing="0"/>
              <w:ind w:left="0" w:right="0"/>
              <w:rPr>
                <w:rFonts w:hint="default" w:ascii="Times New Roman" w:cs="Times New Roman"/>
                <w:color w:val="auto"/>
              </w:rPr>
            </w:pPr>
            <w:r>
              <w:rPr>
                <w:rFonts w:hint="default" w:ascii="Times New Roman" w:cs="Times New Roman"/>
                <w:color w:val="auto"/>
              </w:rPr>
              <w:t>220</w:t>
            </w:r>
            <w:r>
              <w:rPr>
                <w:rFonts w:hint="eastAsia" w:ascii="Times New Roman" w:cs="Times New Roman"/>
                <w:color w:val="auto"/>
                <w:lang w:eastAsia="zh-CN"/>
              </w:rPr>
              <w:t>~</w:t>
            </w:r>
            <w:r>
              <w:rPr>
                <w:rFonts w:hint="eastAsia" w:ascii="Times New Roman" w:cs="Times New Roman"/>
                <w:color w:val="auto"/>
                <w:lang w:val="en-US" w:eastAsia="zh-CN"/>
              </w:rPr>
              <w:t>330</w:t>
            </w:r>
            <w:r>
              <w:rPr>
                <w:rFonts w:hint="default" w:ascii="Times New Roman" w:cs="Times New Roman"/>
                <w:color w:val="auto"/>
              </w:rPr>
              <w:t>kV</w:t>
            </w:r>
          </w:p>
        </w:tc>
        <w:tc>
          <w:tcPr>
            <w:tcW w:w="707" w:type="pct"/>
            <w:vMerge w:val="restart"/>
            <w:tcBorders>
              <w:top w:val="single" w:color="auto" w:sz="12" w:space="0"/>
              <w:tl2br w:val="nil"/>
              <w:tr2bl w:val="nil"/>
            </w:tcBorders>
            <w:noWrap w:val="0"/>
            <w:vAlign w:val="center"/>
          </w:tcPr>
          <w:p w14:paraId="1C5450C4">
            <w:pPr>
              <w:pStyle w:val="52"/>
              <w:keepNext w:val="0"/>
              <w:keepLines w:val="0"/>
              <w:suppressLineNumbers w:val="0"/>
              <w:bidi w:val="0"/>
              <w:spacing w:before="0" w:beforeAutospacing="0" w:after="0" w:afterAutospacing="0"/>
              <w:ind w:left="0" w:right="0"/>
              <w:rPr>
                <w:rFonts w:hint="default" w:ascii="Times New Roman" w:cs="Times New Roman"/>
                <w:color w:val="auto"/>
              </w:rPr>
            </w:pPr>
            <w:r>
              <w:rPr>
                <w:rFonts w:hint="default" w:ascii="Times New Roman" w:cs="Times New Roman"/>
                <w:color w:val="auto"/>
              </w:rPr>
              <w:t>变电站</w:t>
            </w:r>
          </w:p>
        </w:tc>
        <w:tc>
          <w:tcPr>
            <w:tcW w:w="1463" w:type="pct"/>
            <w:tcBorders>
              <w:top w:val="single" w:color="auto" w:sz="12" w:space="0"/>
              <w:tl2br w:val="nil"/>
              <w:tr2bl w:val="nil"/>
            </w:tcBorders>
            <w:noWrap w:val="0"/>
            <w:vAlign w:val="center"/>
          </w:tcPr>
          <w:p w14:paraId="63DEBE51">
            <w:pPr>
              <w:pStyle w:val="52"/>
              <w:keepNext w:val="0"/>
              <w:keepLines w:val="0"/>
              <w:suppressLineNumbers w:val="0"/>
              <w:bidi w:val="0"/>
              <w:spacing w:before="0" w:beforeAutospacing="0" w:after="0" w:afterAutospacing="0"/>
              <w:ind w:left="0" w:right="0"/>
              <w:rPr>
                <w:rFonts w:hint="default" w:ascii="Times New Roman" w:cs="Times New Roman"/>
                <w:color w:val="auto"/>
              </w:rPr>
            </w:pPr>
            <w:r>
              <w:rPr>
                <w:rFonts w:hint="default" w:ascii="Times New Roman" w:cs="Times New Roman"/>
                <w:color w:val="auto"/>
              </w:rPr>
              <w:t>户内式、地下式</w:t>
            </w:r>
          </w:p>
        </w:tc>
        <w:tc>
          <w:tcPr>
            <w:tcW w:w="1327" w:type="pct"/>
            <w:tcBorders>
              <w:top w:val="single" w:color="auto" w:sz="12" w:space="0"/>
              <w:tl2br w:val="nil"/>
              <w:tr2bl w:val="nil"/>
            </w:tcBorders>
            <w:noWrap w:val="0"/>
            <w:vAlign w:val="center"/>
          </w:tcPr>
          <w:p w14:paraId="7C33F570">
            <w:pPr>
              <w:pStyle w:val="52"/>
              <w:keepNext w:val="0"/>
              <w:keepLines w:val="0"/>
              <w:suppressLineNumbers w:val="0"/>
              <w:bidi w:val="0"/>
              <w:spacing w:before="0" w:beforeAutospacing="0" w:after="0" w:afterAutospacing="0"/>
              <w:ind w:left="0" w:right="0"/>
              <w:rPr>
                <w:rFonts w:hint="default" w:ascii="Times New Roman" w:cs="Times New Roman"/>
                <w:color w:val="auto"/>
              </w:rPr>
            </w:pPr>
            <w:r>
              <w:rPr>
                <w:rFonts w:hint="default" w:ascii="Times New Roman" w:cs="Times New Roman"/>
                <w:color w:val="auto"/>
              </w:rPr>
              <w:t>三级</w:t>
            </w:r>
          </w:p>
        </w:tc>
      </w:tr>
      <w:tr w14:paraId="5BDD9A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636" w:type="pct"/>
            <w:vMerge w:val="continue"/>
            <w:tcBorders>
              <w:tl2br w:val="nil"/>
              <w:tr2bl w:val="nil"/>
            </w:tcBorders>
            <w:noWrap w:val="0"/>
            <w:vAlign w:val="center"/>
          </w:tcPr>
          <w:p w14:paraId="52E285AE">
            <w:pPr>
              <w:pStyle w:val="52"/>
              <w:keepNext w:val="0"/>
              <w:keepLines w:val="0"/>
              <w:suppressLineNumbers w:val="0"/>
              <w:bidi w:val="0"/>
              <w:spacing w:before="0" w:beforeAutospacing="0" w:after="0" w:afterAutospacing="0"/>
              <w:ind w:left="0" w:right="0"/>
              <w:rPr>
                <w:rFonts w:hint="default" w:ascii="Times New Roman" w:cs="Times New Roman"/>
                <w:color w:val="auto"/>
              </w:rPr>
            </w:pPr>
          </w:p>
        </w:tc>
        <w:tc>
          <w:tcPr>
            <w:tcW w:w="864" w:type="pct"/>
            <w:vMerge w:val="continue"/>
            <w:tcBorders>
              <w:tl2br w:val="nil"/>
              <w:tr2bl w:val="nil"/>
            </w:tcBorders>
            <w:noWrap w:val="0"/>
            <w:vAlign w:val="center"/>
          </w:tcPr>
          <w:p w14:paraId="50E488DC">
            <w:pPr>
              <w:pStyle w:val="52"/>
              <w:keepNext w:val="0"/>
              <w:keepLines w:val="0"/>
              <w:suppressLineNumbers w:val="0"/>
              <w:bidi w:val="0"/>
              <w:spacing w:before="0" w:beforeAutospacing="0" w:after="0" w:afterAutospacing="0"/>
              <w:ind w:left="0" w:right="0"/>
              <w:rPr>
                <w:rFonts w:hint="default" w:ascii="Times New Roman" w:cs="Times New Roman"/>
                <w:color w:val="auto"/>
              </w:rPr>
            </w:pPr>
          </w:p>
        </w:tc>
        <w:tc>
          <w:tcPr>
            <w:tcW w:w="707" w:type="pct"/>
            <w:vMerge w:val="continue"/>
            <w:tcBorders>
              <w:tl2br w:val="nil"/>
              <w:tr2bl w:val="nil"/>
            </w:tcBorders>
            <w:noWrap w:val="0"/>
            <w:vAlign w:val="center"/>
          </w:tcPr>
          <w:p w14:paraId="6F8E558B">
            <w:pPr>
              <w:pStyle w:val="52"/>
              <w:keepNext w:val="0"/>
              <w:keepLines w:val="0"/>
              <w:suppressLineNumbers w:val="0"/>
              <w:bidi w:val="0"/>
              <w:spacing w:before="0" w:beforeAutospacing="0" w:after="0" w:afterAutospacing="0"/>
              <w:ind w:left="0" w:right="0"/>
              <w:rPr>
                <w:rFonts w:hint="default" w:ascii="Times New Roman" w:cs="Times New Roman"/>
                <w:color w:val="auto"/>
              </w:rPr>
            </w:pPr>
          </w:p>
        </w:tc>
        <w:tc>
          <w:tcPr>
            <w:tcW w:w="1463" w:type="pct"/>
            <w:tcBorders>
              <w:tl2br w:val="nil"/>
              <w:tr2bl w:val="nil"/>
            </w:tcBorders>
            <w:noWrap w:val="0"/>
            <w:vAlign w:val="center"/>
          </w:tcPr>
          <w:p w14:paraId="1985D5C0">
            <w:pPr>
              <w:pStyle w:val="52"/>
              <w:keepNext w:val="0"/>
              <w:keepLines w:val="0"/>
              <w:suppressLineNumbers w:val="0"/>
              <w:bidi w:val="0"/>
              <w:spacing w:before="0" w:beforeAutospacing="0" w:after="0" w:afterAutospacing="0"/>
              <w:ind w:left="0" w:right="0"/>
              <w:rPr>
                <w:rFonts w:hint="default" w:ascii="Times New Roman" w:cs="Times New Roman"/>
                <w:color w:val="auto"/>
              </w:rPr>
            </w:pPr>
            <w:r>
              <w:rPr>
                <w:rFonts w:hint="default" w:ascii="Times New Roman" w:cs="Times New Roman"/>
                <w:color w:val="auto"/>
              </w:rPr>
              <w:t>户外式</w:t>
            </w:r>
          </w:p>
        </w:tc>
        <w:tc>
          <w:tcPr>
            <w:tcW w:w="1327" w:type="pct"/>
            <w:tcBorders>
              <w:tl2br w:val="nil"/>
              <w:tr2bl w:val="nil"/>
            </w:tcBorders>
            <w:noWrap w:val="0"/>
            <w:vAlign w:val="center"/>
          </w:tcPr>
          <w:p w14:paraId="5DBCC2D5">
            <w:pPr>
              <w:pStyle w:val="52"/>
              <w:keepNext w:val="0"/>
              <w:keepLines w:val="0"/>
              <w:suppressLineNumbers w:val="0"/>
              <w:bidi w:val="0"/>
              <w:spacing w:before="0" w:beforeAutospacing="0" w:after="0" w:afterAutospacing="0"/>
              <w:ind w:left="0" w:right="0"/>
              <w:rPr>
                <w:rFonts w:hint="default" w:ascii="Times New Roman" w:cs="Times New Roman"/>
                <w:color w:val="auto"/>
              </w:rPr>
            </w:pPr>
            <w:r>
              <w:rPr>
                <w:rFonts w:hint="default" w:ascii="Times New Roman" w:cs="Times New Roman"/>
                <w:color w:val="auto"/>
              </w:rPr>
              <w:t>二级</w:t>
            </w:r>
          </w:p>
        </w:tc>
      </w:tr>
    </w:tbl>
    <w:p w14:paraId="3EC1F75D">
      <w:pPr>
        <w:widowControl/>
        <w:spacing w:before="120" w:beforeLines="50" w:line="360" w:lineRule="auto"/>
        <w:ind w:firstLine="480" w:firstLineChars="200"/>
        <w:jc w:val="left"/>
        <w:rPr>
          <w:color w:val="auto"/>
          <w:sz w:val="24"/>
        </w:rPr>
      </w:pPr>
      <w:r>
        <w:rPr>
          <w:rFonts w:hint="eastAsia"/>
          <w:color w:val="auto"/>
          <w:sz w:val="24"/>
          <w:lang w:val="en-US" w:eastAsia="zh-CN"/>
        </w:rPr>
        <w:t>本</w:t>
      </w:r>
      <w:r>
        <w:rPr>
          <w:color w:val="auto"/>
          <w:sz w:val="24"/>
        </w:rPr>
        <w:t>项目拟建</w:t>
      </w:r>
      <w:r>
        <w:rPr>
          <w:rFonts w:hint="eastAsia"/>
          <w:color w:val="auto"/>
          <w:sz w:val="24"/>
          <w:lang w:val="en-US" w:eastAsia="zh-CN"/>
        </w:rPr>
        <w:t>1座</w:t>
      </w:r>
      <w:r>
        <w:rPr>
          <w:color w:val="auto"/>
          <w:sz w:val="24"/>
        </w:rPr>
        <w:t>220kV升压站为户外式，评价等级为二级。</w:t>
      </w:r>
    </w:p>
    <w:p w14:paraId="72462262">
      <w:pPr>
        <w:pStyle w:val="4"/>
        <w:bidi w:val="0"/>
        <w:rPr>
          <w:color w:val="auto"/>
        </w:rPr>
      </w:pPr>
      <w:bookmarkStart w:id="106" w:name="_Toc31868"/>
      <w:r>
        <w:rPr>
          <w:rFonts w:hint="eastAsia"/>
          <w:color w:val="auto"/>
          <w:lang w:val="en-US" w:eastAsia="zh-CN"/>
        </w:rPr>
        <w:t>1.3.3</w:t>
      </w:r>
      <w:r>
        <w:rPr>
          <w:color w:val="auto"/>
        </w:rPr>
        <w:t>评价范围</w:t>
      </w:r>
      <w:bookmarkEnd w:id="106"/>
    </w:p>
    <w:p w14:paraId="1DF04F9B">
      <w:pPr>
        <w:widowControl/>
        <w:spacing w:line="360" w:lineRule="auto"/>
        <w:ind w:firstLine="480" w:firstLineChars="200"/>
        <w:jc w:val="left"/>
        <w:rPr>
          <w:color w:val="auto"/>
          <w:sz w:val="24"/>
        </w:rPr>
      </w:pPr>
      <w:r>
        <w:rPr>
          <w:color w:val="auto"/>
          <w:sz w:val="24"/>
        </w:rPr>
        <w:t>根据《环境影响评价技术导则</w:t>
      </w:r>
      <w:r>
        <w:rPr>
          <w:rFonts w:hint="eastAsia"/>
          <w:color w:val="auto"/>
          <w:sz w:val="24"/>
          <w:lang w:val="en-US" w:eastAsia="zh-CN"/>
        </w:rPr>
        <w:t xml:space="preserve"> </w:t>
      </w:r>
      <w:r>
        <w:rPr>
          <w:color w:val="auto"/>
          <w:sz w:val="24"/>
        </w:rPr>
        <w:t>输变电》（HJ24-2020）中表3确定：项目220kV升压站的评价范围为站界外40m范围。</w:t>
      </w:r>
    </w:p>
    <w:p w14:paraId="7176867A">
      <w:pPr>
        <w:pStyle w:val="3"/>
        <w:bidi w:val="0"/>
        <w:rPr>
          <w:color w:val="auto"/>
        </w:rPr>
      </w:pPr>
      <w:bookmarkStart w:id="107" w:name="_Toc25210"/>
      <w:bookmarkStart w:id="108" w:name="_Toc13432"/>
      <w:r>
        <w:rPr>
          <w:rFonts w:hint="eastAsia"/>
          <w:color w:val="auto"/>
          <w:lang w:val="en-US" w:eastAsia="zh-CN"/>
        </w:rPr>
        <w:t>1.3.4</w:t>
      </w:r>
      <w:r>
        <w:rPr>
          <w:color w:val="auto"/>
        </w:rPr>
        <w:t>评价标准</w:t>
      </w:r>
      <w:bookmarkEnd w:id="107"/>
      <w:bookmarkEnd w:id="108"/>
    </w:p>
    <w:p w14:paraId="41475B41">
      <w:pPr>
        <w:pStyle w:val="53"/>
        <w:adjustRightInd/>
        <w:snapToGrid/>
        <w:spacing w:line="360" w:lineRule="auto"/>
        <w:ind w:firstLine="480"/>
        <w:rPr>
          <w:color w:val="auto"/>
        </w:rPr>
      </w:pPr>
      <w:r>
        <w:rPr>
          <w:rFonts w:hint="eastAsia" w:ascii="宋体" w:hAnsi="宋体" w:eastAsia="宋体" w:cs="宋体"/>
          <w:color w:val="auto"/>
          <w:kern w:val="0"/>
          <w:sz w:val="24"/>
          <w:lang w:bidi="ar"/>
        </w:rPr>
        <w:t>本项目工作频率为</w:t>
      </w:r>
      <w:r>
        <w:rPr>
          <w:rFonts w:ascii="Times New Roman" w:hAnsi="Times New Roman" w:eastAsia="宋体" w:cs="Times New Roman"/>
          <w:color w:val="auto"/>
          <w:kern w:val="0"/>
          <w:sz w:val="24"/>
          <w:lang w:bidi="ar"/>
        </w:rPr>
        <w:t>50Hz</w:t>
      </w:r>
      <w:r>
        <w:rPr>
          <w:rFonts w:hint="eastAsia" w:ascii="宋体" w:hAnsi="宋体" w:eastAsia="宋体" w:cs="宋体"/>
          <w:color w:val="auto"/>
          <w:kern w:val="0"/>
          <w:sz w:val="24"/>
          <w:lang w:bidi="ar"/>
        </w:rPr>
        <w:t>，频率范围</w:t>
      </w:r>
      <w:r>
        <w:rPr>
          <w:rFonts w:hint="eastAsia" w:ascii="宋体" w:hAnsi="宋体" w:eastAsia="宋体" w:cs="宋体"/>
          <w:color w:val="auto"/>
          <w:kern w:val="0"/>
          <w:sz w:val="24"/>
          <w:lang w:eastAsia="zh-CN" w:bidi="ar"/>
        </w:rPr>
        <w:t>介于</w:t>
      </w:r>
      <w:r>
        <w:rPr>
          <w:rFonts w:ascii="Times New Roman" w:hAnsi="Times New Roman" w:eastAsia="宋体" w:cs="Times New Roman"/>
          <w:color w:val="auto"/>
          <w:kern w:val="0"/>
          <w:sz w:val="24"/>
          <w:lang w:bidi="ar"/>
        </w:rPr>
        <w:t>0.025kHz~1.2kHz</w:t>
      </w:r>
      <w:r>
        <w:rPr>
          <w:rFonts w:hint="eastAsia" w:ascii="宋体" w:hAnsi="宋体" w:eastAsia="宋体" w:cs="宋体"/>
          <w:color w:val="auto"/>
          <w:kern w:val="0"/>
          <w:sz w:val="24"/>
          <w:lang w:bidi="ar"/>
        </w:rPr>
        <w:t>之间</w:t>
      </w:r>
      <w:r>
        <w:rPr>
          <w:rFonts w:ascii="Times New Roman" w:hAnsi="Times New Roman"/>
          <w:bCs/>
          <w:color w:val="auto"/>
          <w:szCs w:val="24"/>
        </w:rPr>
        <w:t>，项目</w:t>
      </w:r>
      <w:r>
        <w:rPr>
          <w:color w:val="auto"/>
        </w:rPr>
        <w:t>工频电场强度、工频磁感应强度公众暴露控制限值按照《电磁环境控制限值》（GB8702-2014）执行，标准值见</w:t>
      </w:r>
      <w:r>
        <w:rPr>
          <w:rFonts w:hint="eastAsia"/>
          <w:color w:val="auto"/>
          <w:lang w:val="en-US" w:eastAsia="zh-CN"/>
        </w:rPr>
        <w:t>1-3</w:t>
      </w:r>
      <w:r>
        <w:rPr>
          <w:color w:val="auto"/>
        </w:rPr>
        <w:t>。</w:t>
      </w:r>
    </w:p>
    <w:p w14:paraId="760FC516">
      <w:pPr>
        <w:widowControl/>
        <w:spacing w:line="240" w:lineRule="auto"/>
        <w:ind w:firstLine="482" w:firstLineChars="200"/>
        <w:jc w:val="center"/>
        <w:rPr>
          <w:rFonts w:ascii="宋体" w:hAnsi="宋体" w:eastAsia="宋体" w:cs="宋体"/>
          <w:color w:val="auto"/>
          <w:kern w:val="0"/>
          <w:sz w:val="24"/>
          <w:lang w:bidi="ar"/>
        </w:rPr>
      </w:pPr>
      <w:bookmarkStart w:id="109" w:name="_Toc15279"/>
      <w:r>
        <w:rPr>
          <w:rStyle w:val="54"/>
          <w:rFonts w:hint="eastAsia"/>
          <w:color w:val="auto"/>
        </w:rPr>
        <w:t>表</w:t>
      </w:r>
      <w:r>
        <w:rPr>
          <w:rStyle w:val="54"/>
          <w:rFonts w:hint="eastAsia"/>
          <w:color w:val="auto"/>
          <w:lang w:val="en-US" w:eastAsia="zh-CN"/>
        </w:rPr>
        <w:t>1-3</w:t>
      </w:r>
      <w:r>
        <w:rPr>
          <w:rStyle w:val="54"/>
          <w:rFonts w:hint="eastAsia"/>
          <w:color w:val="auto"/>
        </w:rPr>
        <w:t xml:space="preserve">  公众曝露控制限值</w:t>
      </w:r>
    </w:p>
    <w:tbl>
      <w:tblPr>
        <w:tblStyle w:val="21"/>
        <w:tblW w:w="851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839"/>
        <w:gridCol w:w="2840"/>
        <w:gridCol w:w="2839"/>
      </w:tblGrid>
      <w:tr w14:paraId="6A6DE6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2839" w:type="dxa"/>
            <w:tcBorders>
              <w:bottom w:val="single" w:color="auto" w:sz="12" w:space="0"/>
            </w:tcBorders>
            <w:noWrap w:val="0"/>
            <w:vAlign w:val="center"/>
          </w:tcPr>
          <w:p w14:paraId="0772B692">
            <w:pPr>
              <w:pStyle w:val="52"/>
              <w:keepNext w:val="0"/>
              <w:keepLines w:val="0"/>
              <w:suppressLineNumbers w:val="0"/>
              <w:bidi w:val="0"/>
              <w:spacing w:before="0" w:beforeAutospacing="0" w:after="0" w:afterAutospacing="0"/>
              <w:ind w:left="0" w:right="0"/>
              <w:rPr>
                <w:rFonts w:hint="default" w:ascii="Times New Roman" w:cs="Times New Roman"/>
                <w:b/>
                <w:bCs/>
                <w:color w:val="auto"/>
                <w:highlight w:val="none"/>
              </w:rPr>
            </w:pPr>
            <w:r>
              <w:rPr>
                <w:rFonts w:hint="eastAsia" w:ascii="Times New Roman" w:cs="Times New Roman"/>
                <w:b/>
                <w:bCs/>
                <w:color w:val="auto"/>
                <w:highlight w:val="none"/>
              </w:rPr>
              <w:t>频率范围</w:t>
            </w:r>
          </w:p>
        </w:tc>
        <w:tc>
          <w:tcPr>
            <w:tcW w:w="2840" w:type="dxa"/>
            <w:tcBorders>
              <w:bottom w:val="single" w:color="auto" w:sz="12" w:space="0"/>
            </w:tcBorders>
            <w:noWrap w:val="0"/>
            <w:vAlign w:val="center"/>
          </w:tcPr>
          <w:p w14:paraId="76CFC1D5">
            <w:pPr>
              <w:pStyle w:val="52"/>
              <w:keepNext w:val="0"/>
              <w:keepLines w:val="0"/>
              <w:suppressLineNumbers w:val="0"/>
              <w:bidi w:val="0"/>
              <w:spacing w:before="0" w:beforeAutospacing="0" w:after="0" w:afterAutospacing="0"/>
              <w:ind w:left="0" w:right="0"/>
              <w:rPr>
                <w:rFonts w:hint="default" w:ascii="Times New Roman" w:cs="Times New Roman"/>
                <w:b/>
                <w:bCs/>
                <w:color w:val="auto"/>
                <w:highlight w:val="none"/>
              </w:rPr>
            </w:pPr>
            <w:r>
              <w:rPr>
                <w:rFonts w:hint="eastAsia" w:ascii="Times New Roman" w:cs="Times New Roman"/>
                <w:b/>
                <w:bCs/>
                <w:color w:val="auto"/>
                <w:highlight w:val="none"/>
                <w:lang w:val="en-US" w:eastAsia="zh-CN"/>
              </w:rPr>
              <w:t>电场强度E</w:t>
            </w:r>
            <w:r>
              <w:rPr>
                <w:rFonts w:hint="default" w:ascii="Times New Roman" w:cs="Times New Roman"/>
                <w:b/>
                <w:bCs/>
                <w:color w:val="auto"/>
                <w:highlight w:val="none"/>
              </w:rPr>
              <w:t>（V/m）</w:t>
            </w:r>
          </w:p>
        </w:tc>
        <w:tc>
          <w:tcPr>
            <w:tcW w:w="2839" w:type="dxa"/>
            <w:tcBorders>
              <w:bottom w:val="single" w:color="auto" w:sz="12" w:space="0"/>
            </w:tcBorders>
            <w:noWrap w:val="0"/>
            <w:vAlign w:val="center"/>
          </w:tcPr>
          <w:p w14:paraId="5AAFB96E">
            <w:pPr>
              <w:pStyle w:val="52"/>
              <w:keepNext w:val="0"/>
              <w:keepLines w:val="0"/>
              <w:suppressLineNumbers w:val="0"/>
              <w:bidi w:val="0"/>
              <w:spacing w:before="0" w:beforeAutospacing="0" w:after="0" w:afterAutospacing="0"/>
              <w:ind w:left="0" w:right="0"/>
              <w:rPr>
                <w:rFonts w:hint="default" w:ascii="Times New Roman" w:cs="Times New Roman"/>
                <w:b/>
                <w:bCs/>
                <w:color w:val="auto"/>
                <w:highlight w:val="none"/>
              </w:rPr>
            </w:pPr>
            <w:r>
              <w:rPr>
                <w:rFonts w:hint="eastAsia" w:ascii="Times New Roman" w:cs="Times New Roman"/>
                <w:b/>
                <w:bCs/>
                <w:color w:val="auto"/>
                <w:highlight w:val="none"/>
                <w:lang w:val="en-US" w:eastAsia="zh-CN"/>
              </w:rPr>
              <w:t>磁感应强度</w:t>
            </w:r>
            <w:r>
              <w:rPr>
                <w:rFonts w:hint="default" w:ascii="Times New Roman" w:cs="Times New Roman"/>
                <w:b/>
                <w:bCs/>
                <w:color w:val="auto"/>
                <w:highlight w:val="none"/>
              </w:rPr>
              <w:t>（µT）</w:t>
            </w:r>
          </w:p>
        </w:tc>
      </w:tr>
      <w:tr w14:paraId="255210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1" w:hRule="atLeast"/>
        </w:trPr>
        <w:tc>
          <w:tcPr>
            <w:tcW w:w="2839" w:type="dxa"/>
            <w:tcBorders>
              <w:top w:val="single" w:color="auto" w:sz="12" w:space="0"/>
              <w:tl2br w:val="nil"/>
              <w:tr2bl w:val="nil"/>
            </w:tcBorders>
            <w:noWrap w:val="0"/>
            <w:vAlign w:val="center"/>
          </w:tcPr>
          <w:p w14:paraId="2B0F6046">
            <w:pPr>
              <w:pStyle w:val="52"/>
              <w:keepNext w:val="0"/>
              <w:keepLines w:val="0"/>
              <w:suppressLineNumbers w:val="0"/>
              <w:bidi w:val="0"/>
              <w:spacing w:before="0" w:beforeAutospacing="0" w:after="0" w:afterAutospacing="0"/>
              <w:ind w:left="0" w:right="0"/>
              <w:rPr>
                <w:rFonts w:hint="default" w:ascii="Times New Roman" w:cs="Times New Roman"/>
                <w:color w:val="auto"/>
                <w:highlight w:val="none"/>
              </w:rPr>
            </w:pPr>
            <w:r>
              <w:rPr>
                <w:rFonts w:hint="default" w:ascii="Times New Roman" w:cs="Times New Roman"/>
                <w:color w:val="auto"/>
                <w:highlight w:val="none"/>
              </w:rPr>
              <w:t>0.025kHz~1.2kHz</w:t>
            </w:r>
          </w:p>
        </w:tc>
        <w:tc>
          <w:tcPr>
            <w:tcW w:w="2840" w:type="dxa"/>
            <w:tcBorders>
              <w:top w:val="single" w:color="auto" w:sz="12" w:space="0"/>
              <w:tl2br w:val="nil"/>
              <w:tr2bl w:val="nil"/>
            </w:tcBorders>
            <w:noWrap w:val="0"/>
            <w:vAlign w:val="center"/>
          </w:tcPr>
          <w:p w14:paraId="211858AD">
            <w:pPr>
              <w:pStyle w:val="52"/>
              <w:keepNext w:val="0"/>
              <w:keepLines w:val="0"/>
              <w:suppressLineNumbers w:val="0"/>
              <w:bidi w:val="0"/>
              <w:spacing w:before="0" w:beforeAutospacing="0" w:after="0" w:afterAutospacing="0"/>
              <w:ind w:left="0" w:right="0"/>
              <w:rPr>
                <w:rFonts w:hint="default" w:ascii="Times New Roman" w:cs="Times New Roman"/>
                <w:color w:val="auto"/>
                <w:highlight w:val="none"/>
              </w:rPr>
            </w:pPr>
            <w:r>
              <w:rPr>
                <w:rFonts w:hint="default" w:ascii="Times New Roman" w:cs="Times New Roman"/>
                <w:color w:val="auto"/>
                <w:highlight w:val="none"/>
              </w:rPr>
              <w:t>200/f</w:t>
            </w:r>
          </w:p>
        </w:tc>
        <w:tc>
          <w:tcPr>
            <w:tcW w:w="2839" w:type="dxa"/>
            <w:tcBorders>
              <w:top w:val="single" w:color="auto" w:sz="12" w:space="0"/>
              <w:tl2br w:val="nil"/>
              <w:tr2bl w:val="nil"/>
            </w:tcBorders>
            <w:noWrap w:val="0"/>
            <w:vAlign w:val="center"/>
          </w:tcPr>
          <w:p w14:paraId="1F3E8986">
            <w:pPr>
              <w:pStyle w:val="52"/>
              <w:keepNext w:val="0"/>
              <w:keepLines w:val="0"/>
              <w:suppressLineNumbers w:val="0"/>
              <w:bidi w:val="0"/>
              <w:spacing w:before="0" w:beforeAutospacing="0" w:after="0" w:afterAutospacing="0"/>
              <w:ind w:left="0" w:right="0"/>
              <w:rPr>
                <w:rFonts w:hint="default" w:ascii="Times New Roman" w:cs="Times New Roman"/>
                <w:color w:val="auto"/>
                <w:highlight w:val="none"/>
              </w:rPr>
            </w:pPr>
            <w:r>
              <w:rPr>
                <w:rFonts w:hint="default" w:ascii="Times New Roman" w:cs="Times New Roman"/>
                <w:color w:val="auto"/>
                <w:highlight w:val="none"/>
              </w:rPr>
              <w:t>5/f</w:t>
            </w:r>
          </w:p>
        </w:tc>
      </w:tr>
    </w:tbl>
    <w:p w14:paraId="72A18FD2">
      <w:pPr>
        <w:widowControl/>
        <w:jc w:val="left"/>
        <w:rPr>
          <w:color w:val="auto"/>
        </w:rPr>
      </w:pPr>
      <w:r>
        <w:rPr>
          <w:rFonts w:hint="eastAsia" w:ascii="宋体" w:hAnsi="宋体" w:eastAsia="宋体" w:cs="宋体"/>
          <w:color w:val="auto"/>
          <w:kern w:val="0"/>
          <w:sz w:val="18"/>
          <w:szCs w:val="18"/>
          <w:lang w:bidi="ar"/>
        </w:rPr>
        <w:t>注：</w:t>
      </w:r>
      <w:r>
        <w:rPr>
          <w:rFonts w:ascii="Times New Roman" w:hAnsi="Times New Roman" w:eastAsia="宋体" w:cs="Times New Roman"/>
          <w:color w:val="auto"/>
          <w:kern w:val="0"/>
          <w:sz w:val="18"/>
          <w:szCs w:val="18"/>
          <w:lang w:bidi="ar"/>
        </w:rPr>
        <w:t>100kHz</w:t>
      </w:r>
      <w:r>
        <w:rPr>
          <w:rFonts w:hint="eastAsia" w:ascii="宋体" w:hAnsi="宋体" w:eastAsia="宋体" w:cs="宋体"/>
          <w:color w:val="auto"/>
          <w:kern w:val="0"/>
          <w:sz w:val="18"/>
          <w:szCs w:val="18"/>
          <w:lang w:bidi="ar"/>
        </w:rPr>
        <w:t>以下频率，需同时限制电场强度和磁感应强度。</w:t>
      </w:r>
    </w:p>
    <w:p w14:paraId="43098966">
      <w:pPr>
        <w:widowControl/>
        <w:spacing w:line="360" w:lineRule="auto"/>
        <w:ind w:firstLine="480" w:firstLineChars="200"/>
        <w:jc w:val="left"/>
        <w:rPr>
          <w:rFonts w:ascii="Times New Roman" w:hAnsi="Times New Roman" w:eastAsia="宋体" w:cs="Times New Roman"/>
          <w:color w:val="auto"/>
          <w:kern w:val="0"/>
          <w:sz w:val="24"/>
          <w:lang w:bidi="ar"/>
        </w:rPr>
      </w:pPr>
      <w:r>
        <w:rPr>
          <w:rFonts w:ascii="Times New Roman" w:hAnsi="Times New Roman" w:eastAsia="宋体" w:cs="Times New Roman"/>
          <w:color w:val="auto"/>
          <w:kern w:val="0"/>
          <w:sz w:val="24"/>
          <w:lang w:bidi="ar"/>
        </w:rPr>
        <w:t>因此，本项目以200/0.05=</w:t>
      </w:r>
      <w:r>
        <w:rPr>
          <w:rFonts w:hint="eastAsia" w:ascii="Times New Roman" w:hAnsi="Times New Roman" w:eastAsia="宋体" w:cs="Times New Roman"/>
          <w:color w:val="auto"/>
          <w:kern w:val="0"/>
          <w:sz w:val="24"/>
          <w:lang w:bidi="ar"/>
        </w:rPr>
        <w:t>4000</w:t>
      </w:r>
      <w:r>
        <w:rPr>
          <w:rFonts w:ascii="Times New Roman" w:hAnsi="Times New Roman" w:eastAsia="宋体" w:cs="Times New Roman"/>
          <w:color w:val="auto"/>
          <w:kern w:val="0"/>
          <w:sz w:val="24"/>
          <w:lang w:bidi="ar"/>
        </w:rPr>
        <w:t>V/m作为工频电场强度公众</w:t>
      </w:r>
      <w:r>
        <w:rPr>
          <w:rFonts w:hint="eastAsia" w:ascii="Times New Roman" w:hAnsi="Times New Roman" w:eastAsia="宋体" w:cs="Times New Roman"/>
          <w:color w:val="auto"/>
          <w:kern w:val="0"/>
          <w:sz w:val="24"/>
          <w:lang w:bidi="ar"/>
        </w:rPr>
        <w:t>曝</w:t>
      </w:r>
      <w:r>
        <w:rPr>
          <w:rFonts w:ascii="Times New Roman" w:hAnsi="Times New Roman" w:eastAsia="宋体" w:cs="Times New Roman"/>
          <w:color w:val="auto"/>
          <w:kern w:val="0"/>
          <w:sz w:val="24"/>
          <w:lang w:bidi="ar"/>
        </w:rPr>
        <w:t>露控制限值，以5/0.05=100μT作为工频磁感应强度公众</w:t>
      </w:r>
      <w:r>
        <w:rPr>
          <w:rFonts w:hint="eastAsia" w:ascii="Times New Roman" w:hAnsi="Times New Roman" w:eastAsia="宋体" w:cs="Times New Roman"/>
          <w:color w:val="auto"/>
          <w:kern w:val="0"/>
          <w:sz w:val="24"/>
          <w:lang w:bidi="ar"/>
        </w:rPr>
        <w:t>曝</w:t>
      </w:r>
      <w:r>
        <w:rPr>
          <w:rFonts w:ascii="Times New Roman" w:hAnsi="Times New Roman" w:eastAsia="宋体" w:cs="Times New Roman"/>
          <w:color w:val="auto"/>
          <w:kern w:val="0"/>
          <w:sz w:val="24"/>
          <w:lang w:bidi="ar"/>
        </w:rPr>
        <w:t>露控制限值。</w:t>
      </w:r>
    </w:p>
    <w:p w14:paraId="4643C806">
      <w:pPr>
        <w:pStyle w:val="3"/>
        <w:bidi w:val="0"/>
        <w:rPr>
          <w:color w:val="auto"/>
        </w:rPr>
      </w:pPr>
      <w:bookmarkStart w:id="110" w:name="_Toc18525"/>
      <w:r>
        <w:rPr>
          <w:rFonts w:hint="eastAsia"/>
          <w:color w:val="auto"/>
          <w:lang w:val="en-US" w:eastAsia="zh-CN"/>
        </w:rPr>
        <w:t>1.4</w:t>
      </w:r>
      <w:r>
        <w:rPr>
          <w:color w:val="auto"/>
        </w:rPr>
        <w:t>电磁环境保护目标</w:t>
      </w:r>
      <w:bookmarkEnd w:id="109"/>
      <w:bookmarkEnd w:id="110"/>
    </w:p>
    <w:p w14:paraId="70DF614E">
      <w:pPr>
        <w:pStyle w:val="19"/>
        <w:bidi w:val="0"/>
        <w:rPr>
          <w:rFonts w:hint="eastAsia"/>
          <w:color w:val="auto"/>
          <w:lang w:val="en-US" w:eastAsia="zh-CN"/>
        </w:rPr>
        <w:sectPr>
          <w:footerReference r:id="rId19" w:type="default"/>
          <w:pgSz w:w="11905" w:h="16838"/>
          <w:pgMar w:top="1440" w:right="1803" w:bottom="1440" w:left="1803" w:header="851" w:footer="1077" w:gutter="0"/>
          <w:pgBorders>
            <w:top w:val="none" w:sz="0" w:space="0"/>
            <w:left w:val="none" w:sz="0" w:space="0"/>
            <w:bottom w:val="none" w:sz="0" w:space="0"/>
            <w:right w:val="none" w:sz="0" w:space="0"/>
          </w:pgBorders>
          <w:pgNumType w:fmt="decimal"/>
          <w:cols w:space="720" w:num="1"/>
          <w:docGrid w:linePitch="312" w:charSpace="0"/>
        </w:sectPr>
      </w:pPr>
      <w:r>
        <w:rPr>
          <w:color w:val="auto"/>
        </w:rPr>
        <w:t>根据现场调查，升压站40m范围内无</w:t>
      </w:r>
      <w:r>
        <w:rPr>
          <w:rFonts w:hint="eastAsia"/>
          <w:color w:val="auto"/>
          <w:lang w:val="en-US" w:eastAsia="zh-CN"/>
        </w:rPr>
        <w:t>其他</w:t>
      </w:r>
      <w:r>
        <w:rPr>
          <w:color w:val="auto"/>
        </w:rPr>
        <w:t>住宅、学校、医院、办公楼、工厂等有公众居住、工作或学习的建筑物，因此项目评价范围内</w:t>
      </w:r>
      <w:r>
        <w:rPr>
          <w:rFonts w:hint="eastAsia"/>
          <w:color w:val="auto"/>
          <w:lang w:val="en-US" w:eastAsia="zh-CN"/>
        </w:rPr>
        <w:t>无电磁环境保护目标</w:t>
      </w:r>
      <w:r>
        <w:rPr>
          <w:color w:val="auto"/>
        </w:rPr>
        <w:t>。</w:t>
      </w:r>
    </w:p>
    <w:p w14:paraId="5BD7849A">
      <w:pPr>
        <w:pStyle w:val="3"/>
        <w:bidi w:val="0"/>
        <w:rPr>
          <w:sz w:val="32"/>
          <w:szCs w:val="32"/>
        </w:rPr>
      </w:pPr>
      <w:bookmarkStart w:id="111" w:name="_Toc13499"/>
      <w:bookmarkStart w:id="112" w:name="_Toc10056"/>
      <w:bookmarkStart w:id="113" w:name="_Toc17525"/>
      <w:bookmarkStart w:id="114" w:name="_Toc12628"/>
      <w:r>
        <w:rPr>
          <w:rFonts w:hint="eastAsia"/>
          <w:sz w:val="32"/>
          <w:szCs w:val="32"/>
          <w:lang w:val="en-US" w:eastAsia="zh-CN"/>
        </w:rPr>
        <w:t>2.</w:t>
      </w:r>
      <w:r>
        <w:rPr>
          <w:sz w:val="32"/>
          <w:szCs w:val="32"/>
        </w:rPr>
        <w:t>升压站工程概况</w:t>
      </w:r>
      <w:bookmarkEnd w:id="111"/>
      <w:bookmarkEnd w:id="112"/>
      <w:bookmarkEnd w:id="113"/>
      <w:bookmarkEnd w:id="114"/>
    </w:p>
    <w:p w14:paraId="73BF25E0">
      <w:pPr>
        <w:pStyle w:val="19"/>
        <w:bidi w:val="0"/>
        <w:rPr>
          <w:rFonts w:hint="eastAsia"/>
          <w:color w:val="auto"/>
          <w:lang w:val="en-US" w:eastAsia="zh-CN"/>
        </w:rPr>
      </w:pPr>
      <w:r>
        <w:rPr>
          <w:rFonts w:hint="eastAsia"/>
          <w:color w:val="auto"/>
          <w:lang w:val="en-US" w:eastAsia="zh-CN"/>
        </w:rPr>
        <w:t>西泽风电场一期项目在热水镇集镇西南侧建成了1座</w:t>
      </w:r>
      <w:r>
        <w:rPr>
          <w:rFonts w:hint="eastAsia"/>
          <w:color w:val="auto"/>
        </w:rPr>
        <w:t>西泽风电场升压站</w:t>
      </w:r>
      <w:r>
        <w:rPr>
          <w:rFonts w:hint="eastAsia"/>
          <w:color w:val="auto"/>
          <w:lang w:eastAsia="zh-CN"/>
        </w:rPr>
        <w:t>，</w:t>
      </w:r>
      <w:r>
        <w:rPr>
          <w:rFonts w:hint="eastAsia"/>
          <w:color w:val="auto"/>
          <w:lang w:val="en-US" w:eastAsia="zh-CN"/>
        </w:rPr>
        <w:t>站内配套了1台210MW的主变、综合楼、仓库等，本期西泽风电场（二期）拟在</w:t>
      </w:r>
      <w:r>
        <w:rPr>
          <w:rFonts w:hint="eastAsia"/>
          <w:color w:val="auto"/>
        </w:rPr>
        <w:t>西泽风电场升压站配套建设安装1台30MVA的主变，220kV升压站汇集所有风机电能后以1回220kV出线接入500kV多乐变。</w:t>
      </w:r>
      <w:r>
        <w:rPr>
          <w:rFonts w:hint="eastAsia"/>
          <w:color w:val="auto"/>
          <w:lang w:val="en-US" w:eastAsia="zh-CN"/>
        </w:rPr>
        <w:t>项目升压站站内主要建设内容如下表：</w:t>
      </w:r>
    </w:p>
    <w:p w14:paraId="6C14A78C">
      <w:pPr>
        <w:pStyle w:val="27"/>
        <w:bidi w:val="0"/>
        <w:rPr>
          <w:rFonts w:hint="default"/>
          <w:color w:val="auto"/>
          <w:lang w:val="en-US" w:eastAsia="zh-CN"/>
        </w:rPr>
      </w:pPr>
      <w:r>
        <w:rPr>
          <w:rFonts w:hint="eastAsia"/>
          <w:color w:val="auto"/>
          <w:lang w:val="en-US" w:eastAsia="zh-CN"/>
        </w:rPr>
        <w:t>表2-1  升压站扩建前后主要工程内容一览表</w:t>
      </w:r>
    </w:p>
    <w:tbl>
      <w:tblPr>
        <w:tblStyle w:val="2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6"/>
        <w:gridCol w:w="2508"/>
        <w:gridCol w:w="2423"/>
        <w:gridCol w:w="2886"/>
      </w:tblGrid>
      <w:tr w14:paraId="5FED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409" w:type="pct"/>
          </w:tcPr>
          <w:p w14:paraId="4062CE2A">
            <w:pPr>
              <w:pStyle w:val="34"/>
              <w:bidi w:val="0"/>
              <w:rPr>
                <w:rFonts w:hint="default"/>
                <w:lang w:val="en-US" w:eastAsia="zh-CN"/>
              </w:rPr>
            </w:pPr>
            <w:r>
              <w:rPr>
                <w:rFonts w:hint="eastAsia"/>
                <w:lang w:val="en-US" w:eastAsia="zh-CN"/>
              </w:rPr>
              <w:t>序号</w:t>
            </w:r>
          </w:p>
        </w:tc>
        <w:tc>
          <w:tcPr>
            <w:tcW w:w="1472" w:type="pct"/>
          </w:tcPr>
          <w:p w14:paraId="4F735DA4">
            <w:pPr>
              <w:pStyle w:val="34"/>
              <w:bidi w:val="0"/>
              <w:rPr>
                <w:rFonts w:hint="default"/>
                <w:lang w:val="en-US" w:eastAsia="zh-CN"/>
              </w:rPr>
            </w:pPr>
            <w:r>
              <w:rPr>
                <w:rFonts w:hint="default"/>
                <w:lang w:val="en-US" w:eastAsia="zh-CN"/>
              </w:rPr>
              <w:t>现有工程规模</w:t>
            </w:r>
          </w:p>
        </w:tc>
        <w:tc>
          <w:tcPr>
            <w:tcW w:w="1422" w:type="pct"/>
          </w:tcPr>
          <w:p w14:paraId="46EA5323">
            <w:pPr>
              <w:pStyle w:val="34"/>
              <w:bidi w:val="0"/>
              <w:rPr>
                <w:rFonts w:hint="default"/>
                <w:lang w:val="en-US" w:eastAsia="zh-CN"/>
              </w:rPr>
            </w:pPr>
            <w:r>
              <w:rPr>
                <w:rFonts w:hint="eastAsia"/>
                <w:lang w:val="en-US" w:eastAsia="zh-CN"/>
              </w:rPr>
              <w:t>扩建规模</w:t>
            </w:r>
          </w:p>
        </w:tc>
        <w:tc>
          <w:tcPr>
            <w:tcW w:w="1694" w:type="pct"/>
          </w:tcPr>
          <w:p w14:paraId="532EAE6B">
            <w:pPr>
              <w:pStyle w:val="34"/>
              <w:bidi w:val="0"/>
              <w:rPr>
                <w:rFonts w:hint="default"/>
                <w:lang w:val="en-US" w:eastAsia="zh-CN"/>
              </w:rPr>
            </w:pPr>
            <w:r>
              <w:rPr>
                <w:rFonts w:hint="eastAsia"/>
                <w:lang w:val="en-US" w:eastAsia="zh-CN"/>
              </w:rPr>
              <w:t>扩建后总规模</w:t>
            </w:r>
          </w:p>
        </w:tc>
      </w:tr>
      <w:tr w14:paraId="3A2249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trPr>
        <w:tc>
          <w:tcPr>
            <w:tcW w:w="409" w:type="pct"/>
          </w:tcPr>
          <w:p w14:paraId="01BCFF92">
            <w:pPr>
              <w:pStyle w:val="34"/>
              <w:bidi w:val="0"/>
              <w:rPr>
                <w:rFonts w:hint="default"/>
                <w:lang w:val="en-US" w:eastAsia="zh-CN"/>
              </w:rPr>
            </w:pPr>
            <w:r>
              <w:rPr>
                <w:rFonts w:hint="eastAsia"/>
                <w:lang w:val="en-US" w:eastAsia="zh-CN"/>
              </w:rPr>
              <w:t>1</w:t>
            </w:r>
          </w:p>
        </w:tc>
        <w:tc>
          <w:tcPr>
            <w:tcW w:w="1472" w:type="pct"/>
          </w:tcPr>
          <w:p w14:paraId="25B3FA5E">
            <w:pPr>
              <w:pStyle w:val="34"/>
              <w:bidi w:val="0"/>
              <w:rPr>
                <w:rFonts w:hint="default"/>
                <w:lang w:val="en-US" w:eastAsia="zh-CN"/>
              </w:rPr>
            </w:pPr>
            <w:r>
              <w:rPr>
                <w:rFonts w:hint="default"/>
                <w:lang w:val="en-US" w:eastAsia="zh-CN"/>
              </w:rPr>
              <w:t>1</w:t>
            </w:r>
            <w:r>
              <w:rPr>
                <w:rFonts w:hint="eastAsia"/>
                <w:lang w:val="en-US" w:eastAsia="zh-CN"/>
              </w:rPr>
              <w:t>台</w:t>
            </w:r>
            <w:r>
              <w:rPr>
                <w:rFonts w:hint="default"/>
                <w:lang w:val="en-US" w:eastAsia="zh-CN"/>
              </w:rPr>
              <w:t>210MW</w:t>
            </w:r>
            <w:r>
              <w:rPr>
                <w:rFonts w:hint="eastAsia"/>
                <w:lang w:val="en-US" w:eastAsia="zh-CN"/>
              </w:rPr>
              <w:t>的主变</w:t>
            </w:r>
          </w:p>
        </w:tc>
        <w:tc>
          <w:tcPr>
            <w:tcW w:w="1422" w:type="pct"/>
          </w:tcPr>
          <w:p w14:paraId="2476CDE2">
            <w:pPr>
              <w:pStyle w:val="34"/>
              <w:bidi w:val="0"/>
              <w:rPr>
                <w:rFonts w:hint="default"/>
                <w:lang w:val="en-US" w:eastAsia="zh-CN"/>
              </w:rPr>
            </w:pPr>
            <w:r>
              <w:rPr>
                <w:rFonts w:hint="default"/>
                <w:lang w:val="en-US" w:eastAsia="zh-CN"/>
              </w:rPr>
              <w:t>1</w:t>
            </w:r>
            <w:r>
              <w:rPr>
                <w:rFonts w:hint="eastAsia"/>
                <w:lang w:val="en-US" w:eastAsia="zh-CN"/>
              </w:rPr>
              <w:t>台30</w:t>
            </w:r>
            <w:r>
              <w:rPr>
                <w:rFonts w:hint="default"/>
                <w:lang w:val="en-US" w:eastAsia="zh-CN"/>
              </w:rPr>
              <w:t>MW</w:t>
            </w:r>
            <w:r>
              <w:rPr>
                <w:rFonts w:hint="eastAsia"/>
                <w:lang w:val="en-US" w:eastAsia="zh-CN"/>
              </w:rPr>
              <w:t>的主变</w:t>
            </w:r>
          </w:p>
        </w:tc>
        <w:tc>
          <w:tcPr>
            <w:tcW w:w="1694" w:type="pct"/>
            <w:vAlign w:val="top"/>
          </w:tcPr>
          <w:p w14:paraId="028BE0E8">
            <w:pPr>
              <w:pStyle w:val="34"/>
              <w:bidi w:val="0"/>
              <w:rPr>
                <w:rFonts w:hint="default"/>
                <w:lang w:val="en-US" w:eastAsia="zh-CN"/>
              </w:rPr>
            </w:pPr>
            <w:r>
              <w:rPr>
                <w:rFonts w:hint="eastAsia"/>
                <w:lang w:val="en-US" w:eastAsia="zh-CN"/>
              </w:rPr>
              <w:t>2台主变（</w:t>
            </w:r>
            <w:r>
              <w:rPr>
                <w:rFonts w:hint="default"/>
                <w:lang w:val="en-US" w:eastAsia="zh-CN"/>
              </w:rPr>
              <w:t>210MW</w:t>
            </w:r>
            <w:r>
              <w:rPr>
                <w:rFonts w:hint="eastAsia"/>
                <w:lang w:val="en-US" w:eastAsia="zh-CN"/>
              </w:rPr>
              <w:t>+30</w:t>
            </w:r>
            <w:r>
              <w:rPr>
                <w:rFonts w:hint="default"/>
                <w:lang w:val="en-US" w:eastAsia="zh-CN"/>
              </w:rPr>
              <w:t>MW</w:t>
            </w:r>
            <w:r>
              <w:rPr>
                <w:rFonts w:hint="eastAsia"/>
                <w:lang w:val="en-US" w:eastAsia="zh-CN"/>
              </w:rPr>
              <w:t>）</w:t>
            </w:r>
          </w:p>
        </w:tc>
      </w:tr>
      <w:tr w14:paraId="244DA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409" w:type="pct"/>
          </w:tcPr>
          <w:p w14:paraId="218839A4">
            <w:pPr>
              <w:pStyle w:val="34"/>
              <w:bidi w:val="0"/>
              <w:rPr>
                <w:rFonts w:hint="default"/>
                <w:lang w:val="en-US" w:eastAsia="zh-CN"/>
              </w:rPr>
            </w:pPr>
            <w:r>
              <w:rPr>
                <w:rFonts w:hint="eastAsia"/>
                <w:lang w:val="en-US" w:eastAsia="zh-CN"/>
              </w:rPr>
              <w:t>2</w:t>
            </w:r>
          </w:p>
        </w:tc>
        <w:tc>
          <w:tcPr>
            <w:tcW w:w="1472" w:type="pct"/>
          </w:tcPr>
          <w:p w14:paraId="372261FC">
            <w:pPr>
              <w:pStyle w:val="34"/>
              <w:bidi w:val="0"/>
              <w:rPr>
                <w:rFonts w:hint="default"/>
                <w:lang w:val="en-US" w:eastAsia="zh-CN"/>
              </w:rPr>
            </w:pPr>
            <w:r>
              <w:rPr>
                <w:rFonts w:hint="default"/>
                <w:lang w:val="en-US" w:eastAsia="zh-CN"/>
              </w:rPr>
              <w:t>1</w:t>
            </w:r>
            <w:r>
              <w:rPr>
                <w:rFonts w:hint="eastAsia"/>
                <w:lang w:val="en-US" w:eastAsia="zh-CN"/>
              </w:rPr>
              <w:t>套</w:t>
            </w:r>
            <w:r>
              <w:rPr>
                <w:rFonts w:hint="default"/>
                <w:lang w:val="en-US" w:eastAsia="zh-CN"/>
              </w:rPr>
              <w:t>220kV</w:t>
            </w:r>
            <w:r>
              <w:rPr>
                <w:rFonts w:hint="eastAsia"/>
                <w:lang w:val="en-US" w:eastAsia="zh-CN"/>
              </w:rPr>
              <w:t>配电装置</w:t>
            </w:r>
          </w:p>
        </w:tc>
        <w:tc>
          <w:tcPr>
            <w:tcW w:w="1422" w:type="pct"/>
          </w:tcPr>
          <w:p w14:paraId="4352CD85">
            <w:pPr>
              <w:pStyle w:val="34"/>
              <w:bidi w:val="0"/>
              <w:rPr>
                <w:rFonts w:hint="default"/>
                <w:lang w:val="en-US" w:eastAsia="zh-CN"/>
              </w:rPr>
            </w:pPr>
            <w:r>
              <w:rPr>
                <w:rFonts w:hint="default"/>
                <w:lang w:val="en-US" w:eastAsia="zh-CN"/>
              </w:rPr>
              <w:t>1</w:t>
            </w:r>
            <w:r>
              <w:rPr>
                <w:rFonts w:hint="eastAsia"/>
                <w:lang w:val="en-US" w:eastAsia="zh-CN"/>
              </w:rPr>
              <w:t>套</w:t>
            </w:r>
            <w:r>
              <w:rPr>
                <w:rFonts w:hint="eastAsia"/>
                <w:lang w:eastAsia="zh-CN"/>
              </w:rPr>
              <w:t>220kV配电装置</w:t>
            </w:r>
          </w:p>
        </w:tc>
        <w:tc>
          <w:tcPr>
            <w:tcW w:w="1694" w:type="pct"/>
            <w:vAlign w:val="top"/>
          </w:tcPr>
          <w:p w14:paraId="3DFDC3A9">
            <w:pPr>
              <w:pStyle w:val="34"/>
              <w:bidi w:val="0"/>
              <w:rPr>
                <w:rFonts w:hint="default"/>
                <w:lang w:val="en-US" w:eastAsia="zh-CN"/>
              </w:rPr>
            </w:pPr>
            <w:r>
              <w:rPr>
                <w:rFonts w:hint="eastAsia"/>
                <w:lang w:val="en-US" w:eastAsia="zh-CN"/>
              </w:rPr>
              <w:t>2套</w:t>
            </w:r>
            <w:r>
              <w:rPr>
                <w:rFonts w:hint="eastAsia"/>
                <w:lang w:eastAsia="zh-CN"/>
              </w:rPr>
              <w:t>220kV配电装置</w:t>
            </w:r>
          </w:p>
        </w:tc>
      </w:tr>
      <w:tr w14:paraId="06A2C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409" w:type="pct"/>
          </w:tcPr>
          <w:p w14:paraId="2C08C67E">
            <w:pPr>
              <w:pStyle w:val="34"/>
              <w:bidi w:val="0"/>
              <w:rPr>
                <w:rFonts w:hint="default"/>
                <w:lang w:val="en-US" w:eastAsia="zh-CN"/>
              </w:rPr>
            </w:pPr>
            <w:r>
              <w:rPr>
                <w:rFonts w:hint="eastAsia"/>
                <w:lang w:val="en-US" w:eastAsia="zh-CN"/>
              </w:rPr>
              <w:t>3</w:t>
            </w:r>
          </w:p>
        </w:tc>
        <w:tc>
          <w:tcPr>
            <w:tcW w:w="1472" w:type="pct"/>
          </w:tcPr>
          <w:p w14:paraId="49762FC7">
            <w:pPr>
              <w:pStyle w:val="34"/>
              <w:bidi w:val="0"/>
              <w:rPr>
                <w:rFonts w:hint="default"/>
                <w:lang w:val="en-US" w:eastAsia="zh-CN"/>
              </w:rPr>
            </w:pPr>
            <w:r>
              <w:rPr>
                <w:rFonts w:hint="default"/>
                <w:lang w:val="en-US" w:eastAsia="zh-CN"/>
              </w:rPr>
              <w:t>2</w:t>
            </w:r>
            <w:r>
              <w:rPr>
                <w:rFonts w:hint="eastAsia"/>
                <w:lang w:val="en-US" w:eastAsia="zh-CN"/>
              </w:rPr>
              <w:t>套无功补偿装置</w:t>
            </w:r>
          </w:p>
        </w:tc>
        <w:tc>
          <w:tcPr>
            <w:tcW w:w="1422" w:type="pct"/>
          </w:tcPr>
          <w:p w14:paraId="76E244DD">
            <w:pPr>
              <w:pStyle w:val="34"/>
              <w:bidi w:val="0"/>
              <w:rPr>
                <w:rFonts w:hint="default"/>
                <w:lang w:val="en-US" w:eastAsia="zh-CN"/>
              </w:rPr>
            </w:pPr>
            <w:r>
              <w:rPr>
                <w:rFonts w:hint="eastAsia"/>
                <w:lang w:val="en-US" w:eastAsia="zh-CN"/>
              </w:rPr>
              <w:t>1套无功补偿装置</w:t>
            </w:r>
          </w:p>
        </w:tc>
        <w:tc>
          <w:tcPr>
            <w:tcW w:w="1694" w:type="pct"/>
            <w:vAlign w:val="top"/>
          </w:tcPr>
          <w:p w14:paraId="479DB079">
            <w:pPr>
              <w:pStyle w:val="34"/>
              <w:bidi w:val="0"/>
              <w:rPr>
                <w:rFonts w:hint="default"/>
                <w:lang w:val="en-US" w:eastAsia="zh-CN"/>
              </w:rPr>
            </w:pPr>
            <w:r>
              <w:rPr>
                <w:rFonts w:hint="eastAsia"/>
                <w:lang w:val="en-US" w:eastAsia="zh-CN"/>
              </w:rPr>
              <w:t>2套无功补偿装置</w:t>
            </w:r>
          </w:p>
        </w:tc>
      </w:tr>
      <w:tr w14:paraId="5F5F5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409" w:type="pct"/>
          </w:tcPr>
          <w:p w14:paraId="32D9D4B0">
            <w:pPr>
              <w:pStyle w:val="34"/>
              <w:bidi w:val="0"/>
              <w:rPr>
                <w:rFonts w:hint="default"/>
                <w:lang w:val="en-US" w:eastAsia="zh-CN"/>
              </w:rPr>
            </w:pPr>
            <w:r>
              <w:rPr>
                <w:rFonts w:hint="eastAsia"/>
                <w:lang w:val="en-US" w:eastAsia="zh-CN"/>
              </w:rPr>
              <w:t>4</w:t>
            </w:r>
          </w:p>
        </w:tc>
        <w:tc>
          <w:tcPr>
            <w:tcW w:w="1472" w:type="pct"/>
          </w:tcPr>
          <w:p w14:paraId="6A84111B">
            <w:pPr>
              <w:pStyle w:val="34"/>
              <w:bidi w:val="0"/>
              <w:rPr>
                <w:rFonts w:hint="default"/>
                <w:lang w:val="en-US" w:eastAsia="zh-CN"/>
              </w:rPr>
            </w:pPr>
            <w:r>
              <w:rPr>
                <w:rFonts w:hint="default"/>
                <w:lang w:val="en-US" w:eastAsia="zh-CN"/>
              </w:rPr>
              <w:t>1</w:t>
            </w:r>
            <w:r>
              <w:rPr>
                <w:rFonts w:hint="eastAsia"/>
                <w:lang w:val="en-US" w:eastAsia="zh-CN"/>
              </w:rPr>
              <w:t>个</w:t>
            </w:r>
            <w:r>
              <w:rPr>
                <w:rFonts w:hint="default"/>
                <w:lang w:val="en-US" w:eastAsia="zh-CN"/>
              </w:rPr>
              <w:t>35kV</w:t>
            </w:r>
            <w:r>
              <w:rPr>
                <w:rFonts w:hint="eastAsia"/>
                <w:lang w:val="en-US" w:eastAsia="zh-CN"/>
              </w:rPr>
              <w:t>配电装置</w:t>
            </w:r>
          </w:p>
        </w:tc>
        <w:tc>
          <w:tcPr>
            <w:tcW w:w="1422" w:type="pct"/>
          </w:tcPr>
          <w:p w14:paraId="5739892C">
            <w:pPr>
              <w:pStyle w:val="34"/>
              <w:bidi w:val="0"/>
              <w:rPr>
                <w:rFonts w:hint="default"/>
                <w:lang w:val="en-US" w:eastAsia="zh-CN"/>
              </w:rPr>
            </w:pPr>
            <w:r>
              <w:rPr>
                <w:rFonts w:hint="eastAsia"/>
                <w:lang w:val="en-US" w:eastAsia="zh-CN"/>
              </w:rPr>
              <w:t>1套</w:t>
            </w:r>
            <w:r>
              <w:rPr>
                <w:rFonts w:hint="eastAsia"/>
                <w:lang w:eastAsia="zh-CN"/>
              </w:rPr>
              <w:t>35kV配电装置</w:t>
            </w:r>
          </w:p>
        </w:tc>
        <w:tc>
          <w:tcPr>
            <w:tcW w:w="1694" w:type="pct"/>
            <w:vAlign w:val="top"/>
          </w:tcPr>
          <w:p w14:paraId="249BFA8E">
            <w:pPr>
              <w:pStyle w:val="34"/>
              <w:bidi w:val="0"/>
              <w:rPr>
                <w:rFonts w:hint="default"/>
                <w:lang w:val="en-US" w:eastAsia="zh-CN"/>
              </w:rPr>
            </w:pPr>
            <w:r>
              <w:rPr>
                <w:rFonts w:hint="eastAsia"/>
                <w:lang w:val="en-US" w:eastAsia="zh-CN"/>
              </w:rPr>
              <w:t>3套</w:t>
            </w:r>
            <w:r>
              <w:rPr>
                <w:rFonts w:hint="eastAsia"/>
                <w:lang w:eastAsia="zh-CN"/>
              </w:rPr>
              <w:t>35kV配电装置</w:t>
            </w:r>
          </w:p>
        </w:tc>
      </w:tr>
      <w:tr w14:paraId="79354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409" w:type="pct"/>
          </w:tcPr>
          <w:p w14:paraId="461EDF5D">
            <w:pPr>
              <w:pStyle w:val="34"/>
              <w:bidi w:val="0"/>
              <w:rPr>
                <w:rFonts w:hint="default"/>
                <w:lang w:val="en-US" w:eastAsia="zh-CN"/>
              </w:rPr>
            </w:pPr>
            <w:r>
              <w:rPr>
                <w:rFonts w:hint="eastAsia"/>
                <w:lang w:val="en-US" w:eastAsia="zh-CN"/>
              </w:rPr>
              <w:t>5</w:t>
            </w:r>
          </w:p>
        </w:tc>
        <w:tc>
          <w:tcPr>
            <w:tcW w:w="1472" w:type="pct"/>
          </w:tcPr>
          <w:p w14:paraId="32AA0F62">
            <w:pPr>
              <w:pStyle w:val="34"/>
              <w:bidi w:val="0"/>
              <w:rPr>
                <w:rFonts w:hint="default"/>
                <w:lang w:val="en-US" w:eastAsia="zh-CN"/>
              </w:rPr>
            </w:pPr>
            <w:r>
              <w:rPr>
                <w:rFonts w:hint="eastAsia"/>
                <w:lang w:val="en-US" w:eastAsia="zh-CN"/>
              </w:rPr>
              <w:t>1幢综合楼（办公生活区）</w:t>
            </w:r>
          </w:p>
        </w:tc>
        <w:tc>
          <w:tcPr>
            <w:tcW w:w="1422" w:type="pct"/>
          </w:tcPr>
          <w:p w14:paraId="7CB18787">
            <w:pPr>
              <w:pStyle w:val="34"/>
              <w:bidi w:val="0"/>
              <w:rPr>
                <w:rFonts w:hint="default"/>
                <w:lang w:val="en-US" w:eastAsia="zh-CN"/>
              </w:rPr>
            </w:pPr>
            <w:r>
              <w:rPr>
                <w:rFonts w:hint="eastAsia"/>
                <w:lang w:val="en-US" w:eastAsia="zh-CN"/>
              </w:rPr>
              <w:t>/</w:t>
            </w:r>
          </w:p>
        </w:tc>
        <w:tc>
          <w:tcPr>
            <w:tcW w:w="1694" w:type="pct"/>
          </w:tcPr>
          <w:p w14:paraId="67FD7AB3">
            <w:pPr>
              <w:pStyle w:val="34"/>
              <w:bidi w:val="0"/>
              <w:rPr>
                <w:rFonts w:hint="default"/>
                <w:lang w:val="en-US" w:eastAsia="zh-CN"/>
              </w:rPr>
            </w:pPr>
            <w:r>
              <w:rPr>
                <w:rFonts w:hint="eastAsia"/>
                <w:lang w:val="en-US" w:eastAsia="zh-CN"/>
              </w:rPr>
              <w:t>1幢综合楼（办公生活区）</w:t>
            </w:r>
          </w:p>
        </w:tc>
      </w:tr>
      <w:tr w14:paraId="634E7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trPr>
        <w:tc>
          <w:tcPr>
            <w:tcW w:w="409" w:type="pct"/>
          </w:tcPr>
          <w:p w14:paraId="1A82EDA2">
            <w:pPr>
              <w:pStyle w:val="34"/>
              <w:bidi w:val="0"/>
              <w:rPr>
                <w:rFonts w:hint="default"/>
                <w:lang w:val="en-US" w:eastAsia="zh-CN"/>
              </w:rPr>
            </w:pPr>
            <w:r>
              <w:rPr>
                <w:rFonts w:hint="eastAsia"/>
                <w:lang w:val="en-US" w:eastAsia="zh-CN"/>
              </w:rPr>
              <w:t>6</w:t>
            </w:r>
          </w:p>
        </w:tc>
        <w:tc>
          <w:tcPr>
            <w:tcW w:w="1472" w:type="pct"/>
          </w:tcPr>
          <w:p w14:paraId="37733CE9">
            <w:pPr>
              <w:pStyle w:val="34"/>
              <w:bidi w:val="0"/>
              <w:rPr>
                <w:rFonts w:hint="default"/>
                <w:lang w:val="en-US" w:eastAsia="zh-CN"/>
              </w:rPr>
            </w:pPr>
            <w:r>
              <w:rPr>
                <w:rFonts w:hint="eastAsia"/>
                <w:lang w:val="en-US" w:eastAsia="zh-CN"/>
              </w:rPr>
              <w:t>1座仓库</w:t>
            </w:r>
          </w:p>
        </w:tc>
        <w:tc>
          <w:tcPr>
            <w:tcW w:w="1422" w:type="pct"/>
          </w:tcPr>
          <w:p w14:paraId="4CA37F8A">
            <w:pPr>
              <w:pStyle w:val="34"/>
              <w:bidi w:val="0"/>
              <w:rPr>
                <w:rFonts w:hint="default"/>
                <w:lang w:val="en-US" w:eastAsia="zh-CN"/>
              </w:rPr>
            </w:pPr>
            <w:r>
              <w:rPr>
                <w:rFonts w:hint="eastAsia"/>
                <w:lang w:val="en-US" w:eastAsia="zh-CN"/>
              </w:rPr>
              <w:t>/</w:t>
            </w:r>
          </w:p>
        </w:tc>
        <w:tc>
          <w:tcPr>
            <w:tcW w:w="1694" w:type="pct"/>
          </w:tcPr>
          <w:p w14:paraId="365A785E">
            <w:pPr>
              <w:pStyle w:val="34"/>
              <w:bidi w:val="0"/>
              <w:rPr>
                <w:rFonts w:hint="default"/>
                <w:lang w:val="en-US" w:eastAsia="zh-CN"/>
              </w:rPr>
            </w:pPr>
            <w:r>
              <w:rPr>
                <w:rFonts w:hint="eastAsia"/>
                <w:lang w:val="en-US" w:eastAsia="zh-CN"/>
              </w:rPr>
              <w:t>1座仓库</w:t>
            </w:r>
          </w:p>
        </w:tc>
      </w:tr>
    </w:tbl>
    <w:p w14:paraId="24FCCB56">
      <w:pPr>
        <w:pStyle w:val="3"/>
        <w:bidi w:val="0"/>
        <w:rPr>
          <w:rFonts w:hint="default"/>
          <w:color w:val="auto"/>
          <w:lang w:val="en-US" w:eastAsia="zh-CN"/>
        </w:rPr>
      </w:pPr>
      <w:bookmarkStart w:id="115" w:name="_Toc16362"/>
      <w:r>
        <w:rPr>
          <w:rFonts w:hint="eastAsia"/>
          <w:color w:val="auto"/>
          <w:lang w:val="en-US" w:eastAsia="zh-CN"/>
        </w:rPr>
        <w:t>2.1新增设备</w:t>
      </w:r>
      <w:bookmarkEnd w:id="115"/>
    </w:p>
    <w:p w14:paraId="380DE741">
      <w:pPr>
        <w:pStyle w:val="19"/>
        <w:bidi w:val="0"/>
        <w:rPr>
          <w:rFonts w:hint="eastAsia"/>
          <w:color w:val="auto"/>
          <w:lang w:eastAsia="zh-CN"/>
        </w:rPr>
      </w:pPr>
      <w:r>
        <w:rPr>
          <w:rFonts w:hint="eastAsia"/>
          <w:color w:val="auto"/>
          <w:lang w:eastAsia="zh-CN"/>
        </w:rPr>
        <w:t>（1）主变压器</w:t>
      </w:r>
    </w:p>
    <w:p w14:paraId="11C3558D">
      <w:pPr>
        <w:pStyle w:val="19"/>
        <w:bidi w:val="0"/>
        <w:rPr>
          <w:rFonts w:hint="eastAsia"/>
          <w:color w:val="auto"/>
          <w:lang w:eastAsia="zh-CN"/>
        </w:rPr>
      </w:pPr>
      <w:r>
        <w:rPr>
          <w:rFonts w:hint="eastAsia"/>
          <w:color w:val="auto"/>
          <w:lang w:eastAsia="zh-CN"/>
        </w:rPr>
        <w:t>本期工程扩建1台SFZ22-30000/230GY，230±8×1.25%/35kV，三相双绕组油浸风冷有载调压变压器，接线组别YN，d11，阻抗电压Ud=14%。</w:t>
      </w:r>
    </w:p>
    <w:p w14:paraId="53C885B2">
      <w:pPr>
        <w:pStyle w:val="19"/>
        <w:bidi w:val="0"/>
        <w:rPr>
          <w:rFonts w:hint="eastAsia"/>
          <w:color w:val="auto"/>
          <w:lang w:eastAsia="zh-CN"/>
        </w:rPr>
      </w:pPr>
      <w:r>
        <w:rPr>
          <w:rFonts w:hint="eastAsia"/>
          <w:color w:val="auto"/>
          <w:lang w:eastAsia="zh-CN"/>
        </w:rPr>
        <w:t>②220kV配电装置</w:t>
      </w:r>
    </w:p>
    <w:p w14:paraId="34F9DE38">
      <w:pPr>
        <w:pStyle w:val="19"/>
        <w:bidi w:val="0"/>
        <w:rPr>
          <w:rFonts w:hint="eastAsia"/>
          <w:color w:val="auto"/>
          <w:lang w:eastAsia="zh-CN"/>
        </w:rPr>
      </w:pPr>
      <w:r>
        <w:rPr>
          <w:rFonts w:hint="eastAsia"/>
          <w:color w:val="auto"/>
          <w:lang w:eastAsia="zh-CN"/>
        </w:rPr>
        <w:t>220kV配电装置可选用普通户外设备或GIS全封闭组合电器，两种型式的设备各有利弊，考虑原220kV西泽风电场升压站220kV侧采用户外GIS全封闭组合电器，本期仍采用GIS全封闭组合电器为本工程的220kV配电装置。</w:t>
      </w:r>
    </w:p>
    <w:p w14:paraId="510C6858">
      <w:pPr>
        <w:pStyle w:val="19"/>
        <w:bidi w:val="0"/>
        <w:rPr>
          <w:rFonts w:hint="eastAsia"/>
          <w:color w:val="auto"/>
          <w:lang w:eastAsia="zh-CN"/>
        </w:rPr>
      </w:pPr>
      <w:r>
        <w:rPr>
          <w:rFonts w:hint="eastAsia"/>
          <w:color w:val="auto"/>
          <w:lang w:eastAsia="zh-CN"/>
        </w:rPr>
        <w:t>③35kV配电装置</w:t>
      </w:r>
    </w:p>
    <w:p w14:paraId="0A4625DB">
      <w:pPr>
        <w:pStyle w:val="19"/>
        <w:bidi w:val="0"/>
        <w:rPr>
          <w:rFonts w:hint="eastAsia"/>
          <w:color w:val="auto"/>
          <w:lang w:eastAsia="zh-CN"/>
        </w:rPr>
      </w:pPr>
      <w:r>
        <w:rPr>
          <w:rFonts w:hint="eastAsia"/>
          <w:color w:val="auto"/>
          <w:lang w:eastAsia="zh-CN"/>
        </w:rPr>
        <w:t>35kV配电装置终期规模为扩大单元接线，采用户内移开式开关柜，一次建成2个主变进线回路，8风电场集电线路回路，2个无功补偿馈线回路、1个母线PT回路，1个站用变回路，1个热水变出线回路，共15面35kV开关柜。预留两个电网回路及2个储能装置回路安装位置。</w:t>
      </w:r>
    </w:p>
    <w:p w14:paraId="40C3D8BB">
      <w:pPr>
        <w:pStyle w:val="19"/>
        <w:bidi w:val="0"/>
        <w:rPr>
          <w:rFonts w:hint="eastAsia"/>
          <w:color w:val="auto"/>
          <w:lang w:eastAsia="zh-CN"/>
        </w:rPr>
      </w:pPr>
      <w:r>
        <w:rPr>
          <w:rFonts w:hint="eastAsia"/>
          <w:color w:val="auto"/>
          <w:lang w:eastAsia="zh-CN"/>
        </w:rPr>
        <w:t>本期建设35kVIII段母线，拟建成1个主变进线间隔、1个风电场集电线路间隔、1个无功补偿馈线间隔、1个接地变间隔及1个母线PT间隔，共5面35kV开关柜。无功补偿柜配置SF6断路器，其余开关柜均配置真空断路器。</w:t>
      </w:r>
    </w:p>
    <w:p w14:paraId="3AACAB81">
      <w:pPr>
        <w:pStyle w:val="19"/>
        <w:bidi w:val="0"/>
        <w:rPr>
          <w:rFonts w:hint="eastAsia"/>
          <w:color w:val="auto"/>
          <w:lang w:eastAsia="zh-CN"/>
        </w:rPr>
      </w:pPr>
      <w:r>
        <w:rPr>
          <w:rFonts w:hint="eastAsia"/>
          <w:color w:val="auto"/>
          <w:lang w:eastAsia="zh-CN"/>
        </w:rPr>
        <w:t>④无功补偿装置</w:t>
      </w:r>
    </w:p>
    <w:p w14:paraId="5816D9C0">
      <w:pPr>
        <w:pStyle w:val="19"/>
        <w:bidi w:val="0"/>
        <w:rPr>
          <w:rFonts w:hint="eastAsia" w:ascii="Times New Roman" w:hAnsi="Times New Roman" w:eastAsia="宋体" w:cs="Times New Roman"/>
          <w:b w:val="0"/>
          <w:bCs w:val="0"/>
          <w:color w:val="auto"/>
          <w:lang w:val="en-US" w:eastAsia="zh-CN"/>
        </w:rPr>
      </w:pPr>
      <w:r>
        <w:rPr>
          <w:rFonts w:hint="eastAsia"/>
          <w:color w:val="auto"/>
          <w:lang w:eastAsia="zh-CN"/>
        </w:rPr>
        <w:t>本工程拟在新建的35kV Ⅲ段母线上采用直挂式SVG动态补偿装置，容量暂按10Mvar考虑，SVG补偿装置冷却方式采用水冷方案。</w:t>
      </w:r>
    </w:p>
    <w:p w14:paraId="5D7572C5">
      <w:pPr>
        <w:pStyle w:val="3"/>
        <w:bidi w:val="0"/>
        <w:rPr>
          <w:color w:val="auto"/>
        </w:rPr>
      </w:pPr>
      <w:bookmarkStart w:id="116" w:name="_Toc20840"/>
      <w:r>
        <w:rPr>
          <w:rFonts w:hint="eastAsia"/>
          <w:color w:val="auto"/>
          <w:lang w:val="en-US" w:eastAsia="zh-CN"/>
        </w:rPr>
        <w:t>2.2电磁环境影响因素识别</w:t>
      </w:r>
      <w:bookmarkEnd w:id="116"/>
    </w:p>
    <w:p w14:paraId="174EBCC6">
      <w:pPr>
        <w:pStyle w:val="19"/>
        <w:bidi w:val="0"/>
        <w:rPr>
          <w:color w:val="auto"/>
        </w:rPr>
      </w:pPr>
      <w:r>
        <w:rPr>
          <w:color w:val="auto"/>
        </w:rPr>
        <w:t>升压站内的工频电场、工频磁场主要产生于</w:t>
      </w:r>
      <w:r>
        <w:rPr>
          <w:rFonts w:hint="eastAsia"/>
          <w:color w:val="auto"/>
          <w:lang w:val="en-US" w:eastAsia="zh-CN"/>
        </w:rPr>
        <w:t>升压站</w:t>
      </w:r>
      <w:r>
        <w:rPr>
          <w:color w:val="auto"/>
        </w:rPr>
        <w:t>内各种带电电气设备包括</w:t>
      </w:r>
      <w:r>
        <w:rPr>
          <w:rFonts w:hint="eastAsia"/>
          <w:color w:val="auto"/>
          <w:lang w:val="en-US" w:eastAsia="zh-CN"/>
        </w:rPr>
        <w:t>240MVA</w:t>
      </w:r>
      <w:r>
        <w:rPr>
          <w:color w:val="auto"/>
        </w:rPr>
        <w:t>变压器、</w:t>
      </w:r>
      <w:r>
        <w:rPr>
          <w:rFonts w:hint="eastAsia"/>
          <w:color w:val="auto"/>
          <w:lang w:val="en-US" w:eastAsia="zh-CN"/>
        </w:rPr>
        <w:t>配电装置</w:t>
      </w:r>
      <w:r>
        <w:rPr>
          <w:color w:val="auto"/>
        </w:rPr>
        <w:t>等以及设备连接导线的周围空间形成了一个比较复杂的高电场，继而产生一定的电磁场，对周围环境产生一定的电磁影响。</w:t>
      </w:r>
    </w:p>
    <w:p w14:paraId="7D311381">
      <w:pPr>
        <w:pStyle w:val="3"/>
        <w:bidi w:val="0"/>
        <w:rPr>
          <w:rFonts w:hint="eastAsia"/>
          <w:color w:val="auto"/>
          <w:lang w:val="en-US" w:eastAsia="zh-CN"/>
        </w:rPr>
      </w:pPr>
      <w:r>
        <w:rPr>
          <w:rFonts w:hint="eastAsia"/>
          <w:color w:val="auto"/>
          <w:lang w:val="en-US" w:eastAsia="zh-CN"/>
        </w:rPr>
        <w:t>2.3升压站环保措施</w:t>
      </w:r>
    </w:p>
    <w:p w14:paraId="22E3F017">
      <w:pPr>
        <w:pStyle w:val="19"/>
        <w:bidi w:val="0"/>
        <w:rPr>
          <w:rFonts w:hint="default"/>
          <w:color w:val="auto"/>
          <w:lang w:val="en-US" w:eastAsia="zh-CN"/>
        </w:rPr>
      </w:pPr>
      <w:r>
        <w:rPr>
          <w:rFonts w:hint="eastAsia"/>
          <w:color w:val="auto"/>
          <w:lang w:val="en-US" w:eastAsia="zh-CN"/>
        </w:rPr>
        <w:t>生涯站内现有油烟净化器、污水处理设备、隔油池、危废贮存库等环保措施，一期主变压器配套建设1座200m</w:t>
      </w:r>
      <w:r>
        <w:rPr>
          <w:rFonts w:hint="eastAsia"/>
          <w:color w:val="auto"/>
          <w:vertAlign w:val="superscript"/>
          <w:lang w:val="en-US" w:eastAsia="zh-CN"/>
        </w:rPr>
        <w:t>3</w:t>
      </w:r>
      <w:r>
        <w:rPr>
          <w:rFonts w:hint="eastAsia"/>
          <w:color w:val="auto"/>
          <w:lang w:val="en-US" w:eastAsia="zh-CN"/>
        </w:rPr>
        <w:t>的事故油池。升压站已有较为完备的环保措施，仅在新增主变压器下方扩建1座30m</w:t>
      </w:r>
      <w:r>
        <w:rPr>
          <w:rFonts w:hint="eastAsia"/>
          <w:color w:val="auto"/>
          <w:vertAlign w:val="superscript"/>
          <w:lang w:val="en-US" w:eastAsia="zh-CN"/>
        </w:rPr>
        <w:t>3</w:t>
      </w:r>
      <w:r>
        <w:rPr>
          <w:rFonts w:hint="eastAsia"/>
          <w:color w:val="auto"/>
          <w:lang w:val="en-US" w:eastAsia="zh-CN"/>
        </w:rPr>
        <w:t>的事故油池，可满足环境保护要求。</w:t>
      </w:r>
    </w:p>
    <w:p w14:paraId="5DBFBDDF">
      <w:pPr>
        <w:pStyle w:val="42"/>
        <w:bidi w:val="0"/>
        <w:rPr>
          <w:rFonts w:hint="default"/>
          <w:lang w:val="en-US" w:eastAsia="zh-CN"/>
        </w:rPr>
      </w:pPr>
      <w:r>
        <w:rPr>
          <w:rFonts w:hint="eastAsia"/>
          <w:lang w:val="en-US" w:eastAsia="zh-CN"/>
        </w:rPr>
        <w:t>表2-2  升压站现有环保措施一览表</w:t>
      </w:r>
    </w:p>
    <w:tbl>
      <w:tblPr>
        <w:tblStyle w:val="20"/>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42"/>
        <w:gridCol w:w="6568"/>
        <w:gridCol w:w="902"/>
      </w:tblGrid>
      <w:tr w14:paraId="43549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612" w:type="pct"/>
            <w:tcBorders>
              <w:top w:val="single" w:color="000000" w:sz="12" w:space="0"/>
              <w:left w:val="nil"/>
              <w:bottom w:val="single" w:color="000000" w:sz="12" w:space="0"/>
              <w:right w:val="single" w:color="000000" w:sz="4" w:space="0"/>
            </w:tcBorders>
            <w:shd w:val="clear" w:color="auto" w:fill="auto"/>
            <w:vAlign w:val="center"/>
          </w:tcPr>
          <w:p w14:paraId="51FA9118">
            <w:pPr>
              <w:pStyle w:val="37"/>
              <w:bidi w:val="0"/>
              <w:rPr>
                <w:rFonts w:hint="eastAsia"/>
              </w:rPr>
            </w:pPr>
            <w:r>
              <w:rPr>
                <w:rFonts w:hint="eastAsia"/>
                <w:lang w:val="en-US" w:eastAsia="zh-CN"/>
              </w:rPr>
              <w:t>环保工程名称</w:t>
            </w:r>
          </w:p>
        </w:tc>
        <w:tc>
          <w:tcPr>
            <w:tcW w:w="3857" w:type="pct"/>
            <w:tcBorders>
              <w:top w:val="single" w:color="000000" w:sz="12" w:space="0"/>
              <w:left w:val="single" w:color="000000" w:sz="4" w:space="0"/>
              <w:bottom w:val="single" w:color="000000" w:sz="12" w:space="0"/>
              <w:right w:val="single" w:color="000000" w:sz="4" w:space="0"/>
            </w:tcBorders>
            <w:shd w:val="clear" w:color="auto" w:fill="auto"/>
            <w:vAlign w:val="center"/>
          </w:tcPr>
          <w:p w14:paraId="0D50EC44">
            <w:pPr>
              <w:pStyle w:val="37"/>
              <w:bidi w:val="0"/>
              <w:rPr>
                <w:rFonts w:hint="eastAsia"/>
              </w:rPr>
            </w:pPr>
            <w:r>
              <w:rPr>
                <w:rFonts w:hint="eastAsia"/>
                <w:lang w:val="en-US" w:eastAsia="zh-CN"/>
              </w:rPr>
              <w:t>内容</w:t>
            </w:r>
          </w:p>
        </w:tc>
        <w:tc>
          <w:tcPr>
            <w:tcW w:w="529" w:type="pct"/>
            <w:tcBorders>
              <w:top w:val="single" w:color="000000" w:sz="12" w:space="0"/>
              <w:left w:val="single" w:color="000000" w:sz="4" w:space="0"/>
              <w:bottom w:val="single" w:color="000000" w:sz="12" w:space="0"/>
              <w:right w:val="nil"/>
            </w:tcBorders>
            <w:shd w:val="clear" w:color="auto" w:fill="auto"/>
            <w:vAlign w:val="center"/>
          </w:tcPr>
          <w:p w14:paraId="4D12F0F5">
            <w:pPr>
              <w:pStyle w:val="37"/>
              <w:bidi w:val="0"/>
              <w:rPr>
                <w:rFonts w:hint="default"/>
                <w:lang w:val="en-US" w:eastAsia="zh-CN"/>
              </w:rPr>
            </w:pPr>
            <w:r>
              <w:rPr>
                <w:rFonts w:hint="eastAsia"/>
                <w:lang w:val="en-US" w:eastAsia="zh-CN"/>
              </w:rPr>
              <w:t>性质</w:t>
            </w:r>
          </w:p>
        </w:tc>
      </w:tr>
      <w:tr w14:paraId="7C569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trPr>
        <w:tc>
          <w:tcPr>
            <w:tcW w:w="612" w:type="pct"/>
            <w:tcBorders>
              <w:top w:val="single" w:color="000000" w:sz="12" w:space="0"/>
              <w:left w:val="nil"/>
              <w:bottom w:val="single" w:color="000000" w:sz="4" w:space="0"/>
              <w:right w:val="single" w:color="000000" w:sz="4" w:space="0"/>
            </w:tcBorders>
            <w:shd w:val="clear" w:color="auto" w:fill="auto"/>
            <w:vAlign w:val="center"/>
          </w:tcPr>
          <w:p w14:paraId="2B4BF1AF">
            <w:pPr>
              <w:pStyle w:val="37"/>
              <w:bidi w:val="0"/>
              <w:rPr>
                <w:rFonts w:hint="eastAsia"/>
              </w:rPr>
            </w:pPr>
            <w:r>
              <w:rPr>
                <w:rFonts w:hint="eastAsia"/>
                <w:lang w:val="en-US" w:eastAsia="zh-CN"/>
              </w:rPr>
              <w:t>油烟净化器</w:t>
            </w:r>
          </w:p>
        </w:tc>
        <w:tc>
          <w:tcPr>
            <w:tcW w:w="3857" w:type="pct"/>
            <w:tcBorders>
              <w:top w:val="single" w:color="000000" w:sz="12" w:space="0"/>
              <w:left w:val="single" w:color="000000" w:sz="4" w:space="0"/>
              <w:bottom w:val="single" w:color="000000" w:sz="4" w:space="0"/>
              <w:right w:val="single" w:color="000000" w:sz="4" w:space="0"/>
            </w:tcBorders>
            <w:shd w:val="clear" w:color="auto" w:fill="auto"/>
            <w:vAlign w:val="center"/>
          </w:tcPr>
          <w:p w14:paraId="44F59689">
            <w:pPr>
              <w:pStyle w:val="37"/>
              <w:bidi w:val="0"/>
              <w:rPr>
                <w:rFonts w:hint="eastAsia"/>
              </w:rPr>
            </w:pPr>
            <w:r>
              <w:rPr>
                <w:rFonts w:hint="eastAsia"/>
                <w:lang w:val="en-US" w:eastAsia="zh-CN"/>
              </w:rPr>
              <w:t>升压站食堂安装一台油烟净化器，食堂油烟废气经集气罩收集进入油烟净化器处理后，通过内置排烟管道高于食堂楼顶</w:t>
            </w:r>
            <w:r>
              <w:rPr>
                <w:rFonts w:hint="default"/>
                <w:lang w:val="en-US" w:eastAsia="zh-CN"/>
              </w:rPr>
              <w:t>1.</w:t>
            </w:r>
            <w:r>
              <w:rPr>
                <w:rFonts w:hint="eastAsia"/>
                <w:lang w:val="en-US" w:eastAsia="zh-CN"/>
              </w:rPr>
              <w:t>5m排放。</w:t>
            </w:r>
          </w:p>
        </w:tc>
        <w:tc>
          <w:tcPr>
            <w:tcW w:w="529" w:type="pct"/>
            <w:tcBorders>
              <w:top w:val="single" w:color="000000" w:sz="12" w:space="0"/>
              <w:left w:val="single" w:color="000000" w:sz="4" w:space="0"/>
              <w:bottom w:val="single" w:color="000000" w:sz="4" w:space="0"/>
              <w:right w:val="nil"/>
            </w:tcBorders>
            <w:shd w:val="clear" w:color="auto" w:fill="auto"/>
            <w:vAlign w:val="center"/>
          </w:tcPr>
          <w:p w14:paraId="556156A6">
            <w:pPr>
              <w:pStyle w:val="37"/>
              <w:bidi w:val="0"/>
              <w:rPr>
                <w:rFonts w:hint="default"/>
                <w:lang w:val="en-US" w:eastAsia="zh-CN"/>
              </w:rPr>
            </w:pPr>
            <w:r>
              <w:rPr>
                <w:rFonts w:hint="eastAsia"/>
                <w:lang w:val="en-US" w:eastAsia="zh-CN"/>
              </w:rPr>
              <w:t>现有，依托</w:t>
            </w:r>
          </w:p>
        </w:tc>
      </w:tr>
      <w:tr w14:paraId="01CE7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2" w:type="pct"/>
            <w:tcBorders>
              <w:top w:val="single" w:color="000000" w:sz="4" w:space="0"/>
              <w:left w:val="nil"/>
              <w:bottom w:val="single" w:color="000000" w:sz="4" w:space="0"/>
              <w:right w:val="single" w:color="000000" w:sz="4" w:space="0"/>
            </w:tcBorders>
            <w:shd w:val="clear" w:color="auto" w:fill="auto"/>
            <w:vAlign w:val="center"/>
          </w:tcPr>
          <w:p w14:paraId="13266F63">
            <w:pPr>
              <w:pStyle w:val="37"/>
              <w:bidi w:val="0"/>
              <w:rPr>
                <w:rFonts w:hint="eastAsia"/>
              </w:rPr>
            </w:pPr>
            <w:r>
              <w:rPr>
                <w:rFonts w:hint="eastAsia"/>
                <w:lang w:val="en-US" w:eastAsia="zh-CN"/>
              </w:rPr>
              <w:t>一体化污水处理设备</w:t>
            </w:r>
          </w:p>
        </w:tc>
        <w:tc>
          <w:tcPr>
            <w:tcW w:w="3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F1B3F">
            <w:pPr>
              <w:pStyle w:val="37"/>
              <w:bidi w:val="0"/>
              <w:rPr>
                <w:rFonts w:hint="eastAsia"/>
              </w:rPr>
            </w:pPr>
            <w:r>
              <w:rPr>
                <w:rFonts w:hint="eastAsia"/>
                <w:lang w:val="en-US" w:eastAsia="zh-CN"/>
              </w:rPr>
              <w:t>升压站安装一套处理规模为</w:t>
            </w:r>
            <w:r>
              <w:rPr>
                <w:rFonts w:hint="default"/>
                <w:lang w:val="en-US" w:eastAsia="zh-CN"/>
              </w:rPr>
              <w:t>0.25t/h</w:t>
            </w:r>
            <w:r>
              <w:rPr>
                <w:rFonts w:hint="eastAsia"/>
                <w:lang w:val="en-US" w:eastAsia="zh-CN"/>
              </w:rPr>
              <w:t>（即</w:t>
            </w:r>
            <w:r>
              <w:rPr>
                <w:rFonts w:hint="default"/>
                <w:lang w:val="en-US" w:eastAsia="zh-CN"/>
              </w:rPr>
              <w:t>6m3/d</w:t>
            </w:r>
            <w:r>
              <w:rPr>
                <w:rFonts w:hint="eastAsia"/>
                <w:lang w:val="en-US" w:eastAsia="zh-CN"/>
              </w:rPr>
              <w:t>）的污水处理设施，采用</w:t>
            </w:r>
            <w:r>
              <w:rPr>
                <w:rFonts w:hint="default"/>
                <w:lang w:val="en-US" w:eastAsia="zh-CN"/>
              </w:rPr>
              <w:t>A/O+MBR</w:t>
            </w:r>
            <w:r>
              <w:rPr>
                <w:rFonts w:hint="eastAsia"/>
                <w:lang w:val="en-US" w:eastAsia="zh-CN"/>
              </w:rPr>
              <w:t>污水处理工艺处理升压站生活污水，项目在建设过程中委托宜兴市新州环保有限公司根据项目水质特点进行废水处理设施工艺设计、施工安装和运行调试，以满足项目办公生活废水处理需求。</w:t>
            </w:r>
          </w:p>
        </w:tc>
        <w:tc>
          <w:tcPr>
            <w:tcW w:w="529" w:type="pct"/>
            <w:tcBorders>
              <w:top w:val="single" w:color="000000" w:sz="4" w:space="0"/>
              <w:left w:val="single" w:color="000000" w:sz="4" w:space="0"/>
              <w:bottom w:val="single" w:color="000000" w:sz="4" w:space="0"/>
              <w:right w:val="nil"/>
            </w:tcBorders>
            <w:shd w:val="clear" w:color="auto" w:fill="auto"/>
            <w:vAlign w:val="center"/>
          </w:tcPr>
          <w:p w14:paraId="797BD8E7">
            <w:pPr>
              <w:pStyle w:val="37"/>
              <w:bidi w:val="0"/>
              <w:rPr>
                <w:rFonts w:hint="eastAsia"/>
                <w:lang w:val="en-US" w:eastAsia="zh-CN"/>
              </w:rPr>
            </w:pPr>
            <w:r>
              <w:rPr>
                <w:rFonts w:hint="eastAsia"/>
                <w:lang w:val="en-US" w:eastAsia="zh-CN"/>
              </w:rPr>
              <w:t>现有，依托</w:t>
            </w:r>
          </w:p>
        </w:tc>
      </w:tr>
      <w:tr w14:paraId="60474C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2" w:type="pct"/>
            <w:tcBorders>
              <w:top w:val="single" w:color="000000" w:sz="4" w:space="0"/>
              <w:left w:val="nil"/>
              <w:bottom w:val="single" w:color="000000" w:sz="4" w:space="0"/>
              <w:right w:val="single" w:color="000000" w:sz="4" w:space="0"/>
            </w:tcBorders>
            <w:shd w:val="clear" w:color="auto" w:fill="auto"/>
            <w:vAlign w:val="center"/>
          </w:tcPr>
          <w:p w14:paraId="1FFAC533">
            <w:pPr>
              <w:pStyle w:val="37"/>
              <w:bidi w:val="0"/>
              <w:rPr>
                <w:rFonts w:hint="eastAsia"/>
              </w:rPr>
            </w:pPr>
            <w:r>
              <w:rPr>
                <w:rFonts w:hint="eastAsia"/>
                <w:lang w:val="en-US" w:eastAsia="zh-CN"/>
              </w:rPr>
              <w:t>化粪池</w:t>
            </w:r>
          </w:p>
        </w:tc>
        <w:tc>
          <w:tcPr>
            <w:tcW w:w="3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9D59E">
            <w:pPr>
              <w:pStyle w:val="37"/>
              <w:bidi w:val="0"/>
              <w:rPr>
                <w:rFonts w:hint="eastAsia"/>
              </w:rPr>
            </w:pPr>
            <w:r>
              <w:rPr>
                <w:rFonts w:hint="eastAsia"/>
                <w:lang w:val="en-US" w:eastAsia="zh-CN"/>
              </w:rPr>
              <w:t>升压站设</w:t>
            </w:r>
            <w:r>
              <w:rPr>
                <w:rFonts w:hint="default"/>
                <w:lang w:val="en-US" w:eastAsia="zh-CN"/>
              </w:rPr>
              <w:t>1</w:t>
            </w:r>
            <w:r>
              <w:rPr>
                <w:rFonts w:hint="eastAsia"/>
                <w:lang w:val="en-US" w:eastAsia="zh-CN"/>
              </w:rPr>
              <w:t>个</w:t>
            </w:r>
            <w:r>
              <w:rPr>
                <w:rFonts w:hint="default"/>
                <w:lang w:val="en-US" w:eastAsia="zh-CN"/>
              </w:rPr>
              <w:t>4m3</w:t>
            </w:r>
            <w:r>
              <w:rPr>
                <w:rFonts w:hint="eastAsia"/>
                <w:lang w:val="en-US" w:eastAsia="zh-CN"/>
              </w:rPr>
              <w:t>化粪池，用于预处理办公生活污水。</w:t>
            </w:r>
          </w:p>
        </w:tc>
        <w:tc>
          <w:tcPr>
            <w:tcW w:w="529" w:type="pct"/>
            <w:tcBorders>
              <w:top w:val="single" w:color="000000" w:sz="4" w:space="0"/>
              <w:left w:val="single" w:color="000000" w:sz="4" w:space="0"/>
              <w:bottom w:val="single" w:color="000000" w:sz="4" w:space="0"/>
              <w:right w:val="nil"/>
            </w:tcBorders>
            <w:shd w:val="clear" w:color="auto" w:fill="auto"/>
            <w:vAlign w:val="center"/>
          </w:tcPr>
          <w:p w14:paraId="787D8718">
            <w:pPr>
              <w:pStyle w:val="37"/>
              <w:bidi w:val="0"/>
              <w:rPr>
                <w:rFonts w:hint="eastAsia"/>
                <w:lang w:val="en-US" w:eastAsia="zh-CN"/>
              </w:rPr>
            </w:pPr>
            <w:r>
              <w:rPr>
                <w:rFonts w:hint="eastAsia"/>
                <w:lang w:val="en-US" w:eastAsia="zh-CN"/>
              </w:rPr>
              <w:t>现有，依托</w:t>
            </w:r>
          </w:p>
        </w:tc>
      </w:tr>
      <w:tr w14:paraId="47BE57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2" w:type="pct"/>
            <w:tcBorders>
              <w:top w:val="single" w:color="000000" w:sz="4" w:space="0"/>
              <w:left w:val="nil"/>
              <w:bottom w:val="single" w:color="000000" w:sz="4" w:space="0"/>
              <w:right w:val="single" w:color="000000" w:sz="4" w:space="0"/>
            </w:tcBorders>
            <w:shd w:val="clear" w:color="auto" w:fill="auto"/>
            <w:vAlign w:val="center"/>
          </w:tcPr>
          <w:p w14:paraId="4F3FAB41">
            <w:pPr>
              <w:pStyle w:val="37"/>
              <w:bidi w:val="0"/>
              <w:rPr>
                <w:rFonts w:hint="eastAsia"/>
              </w:rPr>
            </w:pPr>
            <w:r>
              <w:rPr>
                <w:rFonts w:hint="eastAsia"/>
                <w:lang w:val="en-US" w:eastAsia="zh-CN"/>
              </w:rPr>
              <w:t>隔油池</w:t>
            </w:r>
          </w:p>
        </w:tc>
        <w:tc>
          <w:tcPr>
            <w:tcW w:w="3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03AA8">
            <w:pPr>
              <w:pStyle w:val="37"/>
              <w:bidi w:val="0"/>
              <w:rPr>
                <w:rFonts w:hint="eastAsia"/>
              </w:rPr>
            </w:pPr>
            <w:r>
              <w:rPr>
                <w:rFonts w:hint="eastAsia"/>
                <w:lang w:val="en-US" w:eastAsia="zh-CN"/>
              </w:rPr>
              <w:t>升压站设</w:t>
            </w:r>
            <w:r>
              <w:rPr>
                <w:rFonts w:hint="default"/>
                <w:lang w:val="en-US" w:eastAsia="zh-CN"/>
              </w:rPr>
              <w:t>1</w:t>
            </w:r>
            <w:r>
              <w:rPr>
                <w:rFonts w:hint="eastAsia"/>
                <w:lang w:val="en-US" w:eastAsia="zh-CN"/>
              </w:rPr>
              <w:t>个</w:t>
            </w:r>
            <w:r>
              <w:rPr>
                <w:rFonts w:hint="default"/>
                <w:lang w:val="en-US" w:eastAsia="zh-CN"/>
              </w:rPr>
              <w:t>0.2m3</w:t>
            </w:r>
            <w:r>
              <w:rPr>
                <w:rFonts w:hint="eastAsia"/>
                <w:lang w:val="en-US" w:eastAsia="zh-CN"/>
              </w:rPr>
              <w:t>隔油池，用于预处理食堂废水。</w:t>
            </w:r>
          </w:p>
        </w:tc>
        <w:tc>
          <w:tcPr>
            <w:tcW w:w="529" w:type="pct"/>
            <w:tcBorders>
              <w:top w:val="single" w:color="000000" w:sz="4" w:space="0"/>
              <w:left w:val="single" w:color="000000" w:sz="4" w:space="0"/>
              <w:bottom w:val="single" w:color="000000" w:sz="4" w:space="0"/>
              <w:right w:val="nil"/>
            </w:tcBorders>
            <w:shd w:val="clear" w:color="auto" w:fill="auto"/>
            <w:vAlign w:val="center"/>
          </w:tcPr>
          <w:p w14:paraId="26C39031">
            <w:pPr>
              <w:pStyle w:val="37"/>
              <w:bidi w:val="0"/>
              <w:rPr>
                <w:rFonts w:hint="default"/>
                <w:lang w:val="en-US" w:eastAsia="zh-CN"/>
              </w:rPr>
            </w:pPr>
            <w:r>
              <w:rPr>
                <w:rFonts w:hint="eastAsia"/>
                <w:lang w:val="en-US" w:eastAsia="zh-CN"/>
              </w:rPr>
              <w:t>现有，依托</w:t>
            </w:r>
          </w:p>
        </w:tc>
      </w:tr>
      <w:tr w14:paraId="6D8642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2" w:type="pct"/>
            <w:tcBorders>
              <w:top w:val="single" w:color="000000" w:sz="4" w:space="0"/>
              <w:left w:val="nil"/>
              <w:bottom w:val="single" w:color="000000" w:sz="4" w:space="0"/>
              <w:right w:val="single" w:color="000000" w:sz="4" w:space="0"/>
            </w:tcBorders>
            <w:shd w:val="clear" w:color="auto" w:fill="auto"/>
            <w:vAlign w:val="center"/>
          </w:tcPr>
          <w:p w14:paraId="6FB034EA">
            <w:pPr>
              <w:pStyle w:val="37"/>
              <w:bidi w:val="0"/>
              <w:rPr>
                <w:rFonts w:hint="eastAsia"/>
              </w:rPr>
            </w:pPr>
            <w:r>
              <w:rPr>
                <w:rFonts w:hint="eastAsia"/>
                <w:lang w:val="en-US" w:eastAsia="zh-CN"/>
              </w:rPr>
              <w:t>事故油池</w:t>
            </w:r>
          </w:p>
        </w:tc>
        <w:tc>
          <w:tcPr>
            <w:tcW w:w="38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B9882F">
            <w:pPr>
              <w:pStyle w:val="37"/>
              <w:bidi w:val="0"/>
              <w:rPr>
                <w:rFonts w:hint="eastAsia"/>
              </w:rPr>
            </w:pPr>
            <w:r>
              <w:rPr>
                <w:rFonts w:hint="eastAsia"/>
                <w:lang w:val="en-US" w:eastAsia="zh-CN"/>
              </w:rPr>
              <w:t>升压站新建2#主变场地设</w:t>
            </w:r>
            <w:r>
              <w:rPr>
                <w:rFonts w:hint="default"/>
                <w:lang w:val="en-US" w:eastAsia="zh-CN"/>
              </w:rPr>
              <w:t>1</w:t>
            </w:r>
            <w:r>
              <w:rPr>
                <w:rFonts w:hint="eastAsia"/>
                <w:lang w:val="en-US" w:eastAsia="zh-CN"/>
              </w:rPr>
              <w:t>个有效容积为35</w:t>
            </w:r>
            <w:r>
              <w:rPr>
                <w:rFonts w:hint="default"/>
                <w:lang w:val="en-US" w:eastAsia="zh-CN"/>
              </w:rPr>
              <w:t>m3</w:t>
            </w:r>
            <w:r>
              <w:rPr>
                <w:rFonts w:hint="eastAsia"/>
                <w:lang w:val="en-US" w:eastAsia="zh-CN"/>
              </w:rPr>
              <w:t>的事故油池一座（存油量约为</w:t>
            </w:r>
            <w:r>
              <w:rPr>
                <w:rFonts w:hint="default"/>
                <w:lang w:val="en-US" w:eastAsia="zh-CN"/>
              </w:rPr>
              <w:t>180t</w:t>
            </w:r>
            <w:r>
              <w:rPr>
                <w:rFonts w:hint="eastAsia"/>
                <w:lang w:val="en-US" w:eastAsia="zh-CN"/>
              </w:rPr>
              <w:t>）</w:t>
            </w:r>
          </w:p>
        </w:tc>
        <w:tc>
          <w:tcPr>
            <w:tcW w:w="529" w:type="pct"/>
            <w:tcBorders>
              <w:top w:val="single" w:color="000000" w:sz="4" w:space="0"/>
              <w:left w:val="single" w:color="000000" w:sz="4" w:space="0"/>
              <w:bottom w:val="single" w:color="000000" w:sz="4" w:space="0"/>
              <w:right w:val="nil"/>
            </w:tcBorders>
            <w:shd w:val="clear" w:color="auto" w:fill="auto"/>
            <w:vAlign w:val="center"/>
          </w:tcPr>
          <w:p w14:paraId="15AD9F2F">
            <w:pPr>
              <w:pStyle w:val="37"/>
              <w:bidi w:val="0"/>
              <w:rPr>
                <w:rFonts w:hint="eastAsia"/>
                <w:lang w:val="en-US" w:eastAsia="zh-CN"/>
              </w:rPr>
            </w:pPr>
            <w:r>
              <w:rPr>
                <w:rFonts w:hint="eastAsia"/>
                <w:lang w:val="en-US" w:eastAsia="zh-CN"/>
              </w:rPr>
              <w:t>新建</w:t>
            </w:r>
          </w:p>
        </w:tc>
      </w:tr>
      <w:tr w14:paraId="770BC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12" w:type="pct"/>
            <w:tcBorders>
              <w:top w:val="single" w:color="000000" w:sz="4" w:space="0"/>
              <w:left w:val="nil"/>
              <w:bottom w:val="single" w:color="000000" w:sz="12" w:space="0"/>
              <w:right w:val="single" w:color="000000" w:sz="4" w:space="0"/>
            </w:tcBorders>
            <w:shd w:val="clear" w:color="auto" w:fill="auto"/>
            <w:vAlign w:val="center"/>
          </w:tcPr>
          <w:p w14:paraId="7DA6E8F3">
            <w:pPr>
              <w:pStyle w:val="37"/>
              <w:bidi w:val="0"/>
              <w:rPr>
                <w:rFonts w:hint="eastAsia"/>
              </w:rPr>
            </w:pPr>
            <w:r>
              <w:rPr>
                <w:rFonts w:hint="eastAsia"/>
                <w:lang w:val="en-US" w:eastAsia="zh-CN"/>
              </w:rPr>
              <w:t>危废贮存库</w:t>
            </w:r>
          </w:p>
        </w:tc>
        <w:tc>
          <w:tcPr>
            <w:tcW w:w="3857" w:type="pct"/>
            <w:tcBorders>
              <w:top w:val="single" w:color="000000" w:sz="4" w:space="0"/>
              <w:left w:val="single" w:color="000000" w:sz="4" w:space="0"/>
              <w:bottom w:val="single" w:color="000000" w:sz="12" w:space="0"/>
              <w:right w:val="single" w:color="000000" w:sz="4" w:space="0"/>
            </w:tcBorders>
            <w:shd w:val="clear" w:color="auto" w:fill="auto"/>
            <w:vAlign w:val="center"/>
          </w:tcPr>
          <w:p w14:paraId="5DF2E430">
            <w:pPr>
              <w:pStyle w:val="37"/>
              <w:bidi w:val="0"/>
              <w:rPr>
                <w:rFonts w:hint="eastAsia"/>
              </w:rPr>
            </w:pPr>
            <w:r>
              <w:rPr>
                <w:rFonts w:hint="eastAsia"/>
                <w:lang w:val="en-US" w:eastAsia="zh-CN"/>
              </w:rPr>
              <w:t>升压站内设</w:t>
            </w:r>
            <w:r>
              <w:rPr>
                <w:rFonts w:hint="default"/>
                <w:lang w:val="en-US" w:eastAsia="zh-CN"/>
              </w:rPr>
              <w:t>1</w:t>
            </w:r>
            <w:r>
              <w:rPr>
                <w:rFonts w:hint="eastAsia"/>
                <w:lang w:val="en-US" w:eastAsia="zh-CN"/>
              </w:rPr>
              <w:t>个</w:t>
            </w:r>
            <w:r>
              <w:rPr>
                <w:rFonts w:hint="default"/>
                <w:lang w:val="en-US" w:eastAsia="zh-CN"/>
              </w:rPr>
              <w:t>10m</w:t>
            </w:r>
            <w:r>
              <w:rPr>
                <w:rFonts w:hint="eastAsia"/>
                <w:lang w:val="en-US" w:eastAsia="zh-CN"/>
              </w:rPr>
              <w:t>³采用</w:t>
            </w:r>
            <w:r>
              <w:rPr>
                <w:rFonts w:hint="default"/>
                <w:lang w:val="en-US" w:eastAsia="zh-CN"/>
              </w:rPr>
              <w:t>C30</w:t>
            </w:r>
            <w:r>
              <w:rPr>
                <w:rFonts w:hint="eastAsia"/>
                <w:lang w:val="en-US" w:eastAsia="zh-CN"/>
              </w:rPr>
              <w:t>混凝土进行浇筑的危废暂存间，并采用了环氧树脂和丙烯酸进行防腐防渗处理，内部设有截流沟，符合《危险废物贮存污染控制标准》（</w:t>
            </w:r>
            <w:r>
              <w:rPr>
                <w:rFonts w:hint="default"/>
                <w:lang w:val="en-US" w:eastAsia="zh-CN"/>
              </w:rPr>
              <w:t>GB18597-2023</w:t>
            </w:r>
            <w:r>
              <w:rPr>
                <w:rFonts w:hint="eastAsia"/>
                <w:lang w:val="en-US" w:eastAsia="zh-CN"/>
              </w:rPr>
              <w:t>）建设要求。</w:t>
            </w:r>
          </w:p>
        </w:tc>
        <w:tc>
          <w:tcPr>
            <w:tcW w:w="529" w:type="pct"/>
            <w:tcBorders>
              <w:top w:val="single" w:color="000000" w:sz="4" w:space="0"/>
              <w:left w:val="single" w:color="000000" w:sz="4" w:space="0"/>
              <w:bottom w:val="single" w:color="000000" w:sz="12" w:space="0"/>
              <w:right w:val="nil"/>
            </w:tcBorders>
            <w:shd w:val="clear" w:color="auto" w:fill="auto"/>
            <w:vAlign w:val="center"/>
          </w:tcPr>
          <w:p w14:paraId="05069C61">
            <w:pPr>
              <w:pStyle w:val="37"/>
              <w:bidi w:val="0"/>
              <w:rPr>
                <w:rFonts w:hint="eastAsia"/>
                <w:lang w:val="en-US" w:eastAsia="zh-CN"/>
              </w:rPr>
            </w:pPr>
            <w:r>
              <w:rPr>
                <w:rFonts w:hint="eastAsia"/>
                <w:lang w:val="en-US" w:eastAsia="zh-CN"/>
              </w:rPr>
              <w:t>现有，依托</w:t>
            </w:r>
          </w:p>
        </w:tc>
      </w:tr>
    </w:tbl>
    <w:p w14:paraId="2973983F">
      <w:pPr>
        <w:rPr>
          <w:rFonts w:hint="default"/>
          <w:color w:val="auto"/>
          <w:lang w:val="en-US" w:eastAsia="zh-CN"/>
        </w:rPr>
      </w:pPr>
    </w:p>
    <w:p w14:paraId="7223960F">
      <w:pPr>
        <w:pStyle w:val="19"/>
        <w:bidi w:val="0"/>
        <w:rPr>
          <w:rFonts w:hint="default" w:eastAsia="宋体"/>
          <w:color w:val="auto"/>
          <w:lang w:val="en-US" w:eastAsia="zh-CN"/>
        </w:rPr>
      </w:pPr>
      <w:r>
        <w:rPr>
          <w:rFonts w:hint="eastAsia"/>
          <w:color w:val="auto"/>
        </w:rPr>
        <w:t>项目运营期间工作人员依托升压站现有班组，不新增劳动定员，</w:t>
      </w:r>
      <w:r>
        <w:rPr>
          <w:rFonts w:hint="eastAsia"/>
          <w:color w:val="auto"/>
          <w:lang w:val="en-US" w:eastAsia="zh-CN"/>
        </w:rPr>
        <w:t>现有油烟净化器、污水处理设备、隔油池等能满足项目扩建后环境保护的要求。现有危废贮存库容积为</w:t>
      </w:r>
      <w:r>
        <w:rPr>
          <w:rFonts w:hint="default" w:ascii="Times New Roman" w:hAnsi="Times New Roman" w:eastAsia="宋体" w:cs="Times New Roman"/>
          <w:i w:val="0"/>
          <w:iCs w:val="0"/>
          <w:color w:val="auto"/>
          <w:kern w:val="0"/>
          <w:sz w:val="21"/>
          <w:szCs w:val="21"/>
          <w:u w:val="none"/>
          <w:lang w:val="en-US" w:eastAsia="zh-CN" w:bidi="ar"/>
        </w:rPr>
        <w:t>10m</w:t>
      </w:r>
      <w:r>
        <w:rPr>
          <w:rFonts w:hint="eastAsia" w:ascii="宋体" w:hAnsi="宋体" w:eastAsia="宋体" w:cs="宋体"/>
          <w:i w:val="0"/>
          <w:iCs w:val="0"/>
          <w:color w:val="auto"/>
          <w:kern w:val="0"/>
          <w:sz w:val="21"/>
          <w:szCs w:val="21"/>
          <w:u w:val="none"/>
          <w:lang w:val="en-US" w:eastAsia="zh-CN" w:bidi="ar"/>
        </w:rPr>
        <w:t>³</w:t>
      </w:r>
      <w:r>
        <w:rPr>
          <w:rFonts w:hint="eastAsia"/>
          <w:color w:val="auto"/>
          <w:lang w:val="en-US" w:eastAsia="zh-CN"/>
        </w:rPr>
        <w:t>，并采用</w:t>
      </w:r>
      <w:r>
        <w:rPr>
          <w:rFonts w:hint="eastAsia" w:ascii="宋体" w:hAnsi="宋体" w:eastAsia="宋体" w:cs="宋体"/>
          <w:i w:val="0"/>
          <w:iCs w:val="0"/>
          <w:color w:val="auto"/>
          <w:kern w:val="0"/>
          <w:sz w:val="21"/>
          <w:szCs w:val="21"/>
          <w:u w:val="none"/>
          <w:lang w:val="en-US" w:eastAsia="zh-CN" w:bidi="ar"/>
        </w:rPr>
        <w:t>环氧树脂和丙烯酸进行防腐防渗处理</w:t>
      </w:r>
      <w:r>
        <w:rPr>
          <w:rFonts w:hint="eastAsia" w:ascii="宋体" w:hAnsi="宋体" w:cs="宋体"/>
          <w:i w:val="0"/>
          <w:iCs w:val="0"/>
          <w:color w:val="auto"/>
          <w:kern w:val="0"/>
          <w:sz w:val="21"/>
          <w:szCs w:val="21"/>
          <w:u w:val="none"/>
          <w:lang w:val="en-US" w:eastAsia="zh-CN" w:bidi="ar"/>
        </w:rPr>
        <w:t>，符合</w:t>
      </w:r>
      <w:r>
        <w:rPr>
          <w:rFonts w:hint="eastAsia" w:ascii="宋体" w:hAnsi="宋体" w:eastAsia="宋体" w:cs="宋体"/>
          <w:i w:val="0"/>
          <w:iCs w:val="0"/>
          <w:color w:val="auto"/>
          <w:kern w:val="0"/>
          <w:sz w:val="21"/>
          <w:szCs w:val="21"/>
          <w:u w:val="none"/>
          <w:lang w:val="en-US" w:eastAsia="zh-CN" w:bidi="ar"/>
        </w:rPr>
        <w:t>《危险废物贮存污染控制标准》（</w:t>
      </w:r>
      <w:r>
        <w:rPr>
          <w:rFonts w:hint="default" w:ascii="Times New Roman" w:hAnsi="Times New Roman" w:eastAsia="宋体" w:cs="Times New Roman"/>
          <w:i w:val="0"/>
          <w:iCs w:val="0"/>
          <w:color w:val="auto"/>
          <w:kern w:val="0"/>
          <w:sz w:val="21"/>
          <w:szCs w:val="21"/>
          <w:u w:val="none"/>
          <w:lang w:val="en-US" w:eastAsia="zh-CN" w:bidi="ar"/>
        </w:rPr>
        <w:t>GB18597-2023</w:t>
      </w:r>
      <w:r>
        <w:rPr>
          <w:rFonts w:hint="eastAsia" w:ascii="宋体" w:hAnsi="宋体" w:eastAsia="宋体" w:cs="宋体"/>
          <w:i w:val="0"/>
          <w:iCs w:val="0"/>
          <w:color w:val="auto"/>
          <w:kern w:val="0"/>
          <w:sz w:val="21"/>
          <w:szCs w:val="21"/>
          <w:u w:val="none"/>
          <w:lang w:val="en-US" w:eastAsia="zh-CN" w:bidi="ar"/>
        </w:rPr>
        <w:t>）建设要求</w:t>
      </w:r>
      <w:r>
        <w:rPr>
          <w:rFonts w:hint="eastAsia" w:ascii="宋体" w:hAnsi="宋体" w:cs="宋体"/>
          <w:i w:val="0"/>
          <w:iCs w:val="0"/>
          <w:color w:val="auto"/>
          <w:kern w:val="0"/>
          <w:sz w:val="21"/>
          <w:szCs w:val="21"/>
          <w:u w:val="none"/>
          <w:lang w:val="en-US" w:eastAsia="zh-CN" w:bidi="ar"/>
        </w:rPr>
        <w:t>。项目扩建后运营期间产生的危废暂存于危废贮存库，及时由已签订合作的具有资质的单位处置，现有危废贮存库能满足要求。</w:t>
      </w:r>
    </w:p>
    <w:p w14:paraId="561F01C4">
      <w:pPr>
        <w:rPr>
          <w:color w:val="auto"/>
        </w:rPr>
      </w:pPr>
    </w:p>
    <w:p w14:paraId="5120E6FC">
      <w:pPr>
        <w:rPr>
          <w:color w:val="auto"/>
          <w:sz w:val="24"/>
        </w:rPr>
        <w:sectPr>
          <w:pgSz w:w="11905" w:h="16838"/>
          <w:pgMar w:top="1440" w:right="1803" w:bottom="1440" w:left="1803" w:header="851" w:footer="1077" w:gutter="0"/>
          <w:pgBorders>
            <w:top w:val="none" w:sz="0" w:space="0"/>
            <w:left w:val="none" w:sz="0" w:space="0"/>
            <w:bottom w:val="none" w:sz="0" w:space="0"/>
            <w:right w:val="none" w:sz="0" w:space="0"/>
          </w:pgBorders>
          <w:pgNumType w:fmt="decimal"/>
          <w:cols w:space="720" w:num="1"/>
          <w:docGrid w:linePitch="312" w:charSpace="0"/>
        </w:sectPr>
      </w:pPr>
    </w:p>
    <w:p w14:paraId="03A63A90">
      <w:pPr>
        <w:pStyle w:val="3"/>
        <w:bidi w:val="0"/>
        <w:rPr>
          <w:sz w:val="32"/>
          <w:szCs w:val="32"/>
        </w:rPr>
      </w:pPr>
      <w:bookmarkStart w:id="117" w:name="_Toc13628"/>
      <w:bookmarkStart w:id="118" w:name="_Toc22558"/>
      <w:bookmarkStart w:id="119" w:name="_Toc4064"/>
      <w:bookmarkStart w:id="120" w:name="_Toc8751"/>
      <w:r>
        <w:rPr>
          <w:rFonts w:hint="eastAsia"/>
          <w:sz w:val="32"/>
          <w:szCs w:val="32"/>
          <w:lang w:val="en-US" w:eastAsia="zh-CN"/>
        </w:rPr>
        <w:t>3.</w:t>
      </w:r>
      <w:r>
        <w:rPr>
          <w:sz w:val="32"/>
          <w:szCs w:val="32"/>
        </w:rPr>
        <w:t>电磁环境现状调查与评价</w:t>
      </w:r>
      <w:bookmarkEnd w:id="117"/>
      <w:bookmarkEnd w:id="118"/>
      <w:bookmarkEnd w:id="119"/>
      <w:bookmarkEnd w:id="120"/>
    </w:p>
    <w:p w14:paraId="6BC3406B">
      <w:pPr>
        <w:pStyle w:val="3"/>
        <w:bidi w:val="0"/>
        <w:rPr>
          <w:color w:val="auto"/>
        </w:rPr>
      </w:pPr>
      <w:bookmarkStart w:id="121" w:name="_Toc31132"/>
      <w:r>
        <w:rPr>
          <w:rFonts w:hint="eastAsia"/>
          <w:color w:val="auto"/>
          <w:lang w:val="en-US" w:eastAsia="zh-CN"/>
        </w:rPr>
        <w:t>3.1</w:t>
      </w:r>
      <w:r>
        <w:rPr>
          <w:color w:val="auto"/>
        </w:rPr>
        <w:t>监测布点</w:t>
      </w:r>
      <w:bookmarkEnd w:id="121"/>
    </w:p>
    <w:p w14:paraId="63E8470E">
      <w:pPr>
        <w:widowControl/>
        <w:spacing w:line="360" w:lineRule="auto"/>
        <w:ind w:firstLine="480" w:firstLineChars="200"/>
        <w:jc w:val="left"/>
        <w:rPr>
          <w:rFonts w:hint="eastAsia"/>
          <w:color w:val="auto"/>
          <w:sz w:val="24"/>
          <w:highlight w:val="none"/>
        </w:rPr>
      </w:pPr>
      <w:r>
        <w:rPr>
          <w:rFonts w:hint="eastAsia"/>
          <w:color w:val="auto"/>
          <w:sz w:val="24"/>
          <w:highlight w:val="none"/>
        </w:rPr>
        <w:t>根据《环境影响评价技术导则输变电》（HJ24-2020）中的监测点位及布点方法，本工程升压站站址附近无其他电磁设施，且本项目在原有的220kV升压站新建一台主变压器，故在升压站厂界四周各布设一个监测点位，监测点位及要求如下：</w:t>
      </w:r>
    </w:p>
    <w:p w14:paraId="79E47E09">
      <w:pPr>
        <w:widowControl/>
        <w:spacing w:line="360" w:lineRule="auto"/>
        <w:ind w:firstLine="480" w:firstLineChars="200"/>
        <w:jc w:val="left"/>
        <w:rPr>
          <w:rFonts w:hint="eastAsia"/>
          <w:color w:val="auto"/>
          <w:sz w:val="24"/>
          <w:highlight w:val="none"/>
        </w:rPr>
      </w:pPr>
      <w:r>
        <w:rPr>
          <w:rFonts w:hint="eastAsia"/>
          <w:color w:val="auto"/>
          <w:sz w:val="24"/>
          <w:highlight w:val="none"/>
        </w:rPr>
        <w:t>（1）监测项目：工频电场强度、工频磁场强度</w:t>
      </w:r>
    </w:p>
    <w:p w14:paraId="5855C5A8">
      <w:pPr>
        <w:widowControl/>
        <w:spacing w:line="360" w:lineRule="auto"/>
        <w:ind w:firstLine="480" w:firstLineChars="200"/>
        <w:jc w:val="left"/>
        <w:rPr>
          <w:rFonts w:hint="eastAsia"/>
          <w:color w:val="auto"/>
          <w:sz w:val="24"/>
          <w:highlight w:val="none"/>
        </w:rPr>
      </w:pPr>
      <w:r>
        <w:rPr>
          <w:rFonts w:hint="eastAsia"/>
          <w:color w:val="auto"/>
          <w:sz w:val="24"/>
          <w:highlight w:val="none"/>
        </w:rPr>
        <w:t>（2）监测布点：变电站东、西、南、北站界四周5.0m处，监测仪器的探头应架设在地面</w:t>
      </w:r>
      <w:r>
        <w:rPr>
          <w:rFonts w:hint="eastAsia"/>
          <w:color w:val="auto"/>
          <w:sz w:val="24"/>
          <w:highlight w:val="none"/>
          <w:lang w:eastAsia="zh-CN"/>
        </w:rPr>
        <w:t>（</w:t>
      </w:r>
      <w:r>
        <w:rPr>
          <w:rFonts w:hint="eastAsia"/>
          <w:color w:val="auto"/>
          <w:sz w:val="24"/>
          <w:highlight w:val="none"/>
        </w:rPr>
        <w:t>或立足平面</w:t>
      </w:r>
      <w:r>
        <w:rPr>
          <w:rFonts w:hint="eastAsia"/>
          <w:color w:val="auto"/>
          <w:sz w:val="24"/>
          <w:highlight w:val="none"/>
          <w:lang w:eastAsia="zh-CN"/>
        </w:rPr>
        <w:t>）</w:t>
      </w:r>
      <w:r>
        <w:rPr>
          <w:rFonts w:hint="eastAsia"/>
          <w:color w:val="auto"/>
          <w:sz w:val="24"/>
          <w:highlight w:val="none"/>
        </w:rPr>
        <w:t>上方1.5m高度处。</w:t>
      </w:r>
    </w:p>
    <w:p w14:paraId="6763FA05">
      <w:pPr>
        <w:widowControl/>
        <w:spacing w:line="360" w:lineRule="auto"/>
        <w:ind w:firstLine="480" w:firstLineChars="200"/>
        <w:jc w:val="left"/>
        <w:rPr>
          <w:rFonts w:hint="eastAsia"/>
          <w:color w:val="auto"/>
          <w:sz w:val="24"/>
          <w:highlight w:val="none"/>
        </w:rPr>
      </w:pPr>
      <w:r>
        <w:rPr>
          <w:rFonts w:hint="eastAsia"/>
          <w:color w:val="auto"/>
          <w:sz w:val="24"/>
          <w:highlight w:val="none"/>
        </w:rPr>
        <w:t>（3）监测周期和频率：监测一次。</w:t>
      </w:r>
    </w:p>
    <w:p w14:paraId="0C4A8D11">
      <w:pPr>
        <w:widowControl/>
        <w:spacing w:line="360" w:lineRule="auto"/>
        <w:ind w:firstLine="480" w:firstLineChars="200"/>
        <w:jc w:val="left"/>
        <w:rPr>
          <w:color w:val="auto"/>
          <w:sz w:val="24"/>
          <w:highlight w:val="none"/>
        </w:rPr>
      </w:pPr>
      <w:r>
        <w:rPr>
          <w:rFonts w:hint="eastAsia"/>
          <w:color w:val="auto"/>
          <w:sz w:val="24"/>
          <w:highlight w:val="none"/>
        </w:rPr>
        <w:t>（4）执行标准：《工频电场测量》（GB/T12720-1991）、《交流输变电工程电磁环境监测方法</w:t>
      </w:r>
      <w:r>
        <w:rPr>
          <w:color w:val="auto"/>
          <w:sz w:val="24"/>
        </w:rPr>
        <w:t>（试行）</w:t>
      </w:r>
      <w:r>
        <w:rPr>
          <w:rFonts w:hint="eastAsia"/>
          <w:color w:val="auto"/>
          <w:sz w:val="24"/>
          <w:highlight w:val="none"/>
        </w:rPr>
        <w:t>》（HJ681-2013）。</w:t>
      </w:r>
    </w:p>
    <w:p w14:paraId="1508A7E0">
      <w:pPr>
        <w:pStyle w:val="51"/>
        <w:bidi w:val="0"/>
        <w:rPr>
          <w:color w:val="auto"/>
        </w:rPr>
      </w:pPr>
      <w:r>
        <w:rPr>
          <w:color w:val="auto"/>
        </w:rPr>
        <w:t>表</w:t>
      </w:r>
      <w:r>
        <w:rPr>
          <w:rFonts w:hint="eastAsia"/>
          <w:color w:val="auto"/>
          <w:lang w:val="en-US" w:eastAsia="zh-CN"/>
        </w:rPr>
        <w:t>3</w:t>
      </w:r>
      <w:r>
        <w:rPr>
          <w:color w:val="auto"/>
        </w:rPr>
        <w:t>-1  工频电磁场监测点位</w:t>
      </w:r>
    </w:p>
    <w:tbl>
      <w:tblPr>
        <w:tblStyle w:val="20"/>
        <w:tblW w:w="4998" w:type="pct"/>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4229"/>
        <w:gridCol w:w="4097"/>
      </w:tblGrid>
      <w:tr w14:paraId="3B126BC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539" w:type="pct"/>
            <w:tcBorders>
              <w:bottom w:val="single" w:color="000000" w:sz="12" w:space="0"/>
            </w:tcBorders>
            <w:noWrap w:val="0"/>
            <w:tcMar>
              <w:top w:w="15" w:type="dxa"/>
              <w:left w:w="15" w:type="dxa"/>
              <w:right w:w="15" w:type="dxa"/>
            </w:tcMar>
            <w:vAlign w:val="center"/>
          </w:tcPr>
          <w:p w14:paraId="7FA3803E">
            <w:pPr>
              <w:pStyle w:val="37"/>
              <w:keepNext w:val="0"/>
              <w:keepLines w:val="0"/>
              <w:suppressLineNumbers w:val="0"/>
              <w:bidi w:val="0"/>
              <w:spacing w:before="0" w:beforeAutospacing="0" w:after="0" w:afterAutospacing="0"/>
              <w:ind w:left="0" w:right="0"/>
              <w:rPr>
                <w:rFonts w:hint="default" w:cs="Times New Roman"/>
                <w:b/>
                <w:bCs/>
                <w:color w:val="auto"/>
                <w:szCs w:val="21"/>
              </w:rPr>
            </w:pPr>
            <w:r>
              <w:rPr>
                <w:rFonts w:hint="default"/>
                <w:color w:val="auto"/>
                <w:szCs w:val="20"/>
              </w:rPr>
              <w:t>监测点位名称</w:t>
            </w:r>
          </w:p>
        </w:tc>
        <w:tc>
          <w:tcPr>
            <w:tcW w:w="2460" w:type="pct"/>
            <w:tcBorders>
              <w:bottom w:val="single" w:color="000000" w:sz="12" w:space="0"/>
            </w:tcBorders>
            <w:noWrap w:val="0"/>
            <w:tcMar>
              <w:top w:w="15" w:type="dxa"/>
              <w:left w:w="15" w:type="dxa"/>
              <w:right w:w="15" w:type="dxa"/>
            </w:tcMar>
            <w:vAlign w:val="center"/>
          </w:tcPr>
          <w:p w14:paraId="455A5A46">
            <w:pPr>
              <w:pStyle w:val="37"/>
              <w:keepNext w:val="0"/>
              <w:keepLines w:val="0"/>
              <w:suppressLineNumbers w:val="0"/>
              <w:bidi w:val="0"/>
              <w:spacing w:before="0" w:beforeAutospacing="0" w:after="0" w:afterAutospacing="0"/>
              <w:ind w:left="0" w:right="0"/>
              <w:rPr>
                <w:rFonts w:hint="eastAsia" w:cs="Times New Roman"/>
                <w:b/>
                <w:bCs/>
                <w:color w:val="auto"/>
                <w:szCs w:val="21"/>
                <w:lang w:eastAsia="zh-CN"/>
              </w:rPr>
            </w:pPr>
            <w:r>
              <w:rPr>
                <w:rFonts w:hint="eastAsia"/>
                <w:color w:val="auto"/>
                <w:szCs w:val="20"/>
                <w:lang w:val="en-US" w:eastAsia="zh-CN"/>
              </w:rPr>
              <w:t>备注</w:t>
            </w:r>
          </w:p>
        </w:tc>
      </w:tr>
      <w:tr w14:paraId="2039DA3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539" w:type="pct"/>
            <w:tcBorders>
              <w:top w:val="single" w:color="000000" w:sz="12" w:space="0"/>
              <w:tl2br w:val="nil"/>
              <w:tr2bl w:val="nil"/>
            </w:tcBorders>
            <w:noWrap w:val="0"/>
            <w:tcMar>
              <w:top w:w="15" w:type="dxa"/>
              <w:left w:w="15" w:type="dxa"/>
              <w:right w:w="15" w:type="dxa"/>
            </w:tcMar>
            <w:vAlign w:val="center"/>
          </w:tcPr>
          <w:p w14:paraId="2142F4E5">
            <w:pPr>
              <w:pStyle w:val="37"/>
              <w:keepNext w:val="0"/>
              <w:keepLines w:val="0"/>
              <w:suppressLineNumbers w:val="0"/>
              <w:bidi w:val="0"/>
              <w:spacing w:before="0" w:beforeAutospacing="0" w:after="0" w:afterAutospacing="0"/>
              <w:ind w:left="0" w:right="0"/>
              <w:rPr>
                <w:rFonts w:hint="default" w:cs="Times New Roman"/>
                <w:color w:val="auto"/>
                <w:szCs w:val="21"/>
              </w:rPr>
            </w:pPr>
            <w:r>
              <w:rPr>
                <w:rFonts w:hint="eastAsia"/>
                <w:color w:val="auto"/>
                <w:szCs w:val="20"/>
                <w:lang w:val="en-US" w:eastAsia="zh-CN"/>
              </w:rPr>
              <w:t>升压站站址南侧</w:t>
            </w:r>
          </w:p>
        </w:tc>
        <w:tc>
          <w:tcPr>
            <w:tcW w:w="2460" w:type="pct"/>
            <w:vMerge w:val="restart"/>
            <w:tcBorders>
              <w:top w:val="single" w:color="000000" w:sz="12" w:space="0"/>
              <w:tl2br w:val="nil"/>
              <w:tr2bl w:val="nil"/>
            </w:tcBorders>
            <w:noWrap w:val="0"/>
            <w:tcMar>
              <w:top w:w="15" w:type="dxa"/>
              <w:left w:w="15" w:type="dxa"/>
              <w:right w:w="15" w:type="dxa"/>
            </w:tcMar>
            <w:vAlign w:val="center"/>
          </w:tcPr>
          <w:p w14:paraId="778DC874">
            <w:pPr>
              <w:pStyle w:val="37"/>
              <w:keepNext w:val="0"/>
              <w:keepLines w:val="0"/>
              <w:suppressLineNumbers w:val="0"/>
              <w:bidi w:val="0"/>
              <w:spacing w:before="0" w:beforeAutospacing="0" w:after="0" w:afterAutospacing="0"/>
              <w:ind w:left="0" w:right="0"/>
              <w:rPr>
                <w:rFonts w:hint="eastAsia" w:cs="Times New Roman"/>
                <w:color w:val="auto"/>
                <w:szCs w:val="21"/>
                <w:lang w:eastAsia="zh-CN"/>
              </w:rPr>
            </w:pPr>
            <w:r>
              <w:rPr>
                <w:rFonts w:hint="eastAsia"/>
                <w:color w:val="auto"/>
                <w:szCs w:val="20"/>
                <w:lang w:eastAsia="zh-CN"/>
              </w:rPr>
              <w:t>测量高度1.5m</w:t>
            </w:r>
          </w:p>
        </w:tc>
      </w:tr>
      <w:tr w14:paraId="76FD5380">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539" w:type="pct"/>
            <w:tcBorders>
              <w:tl2br w:val="nil"/>
              <w:tr2bl w:val="nil"/>
            </w:tcBorders>
            <w:noWrap w:val="0"/>
            <w:tcMar>
              <w:top w:w="15" w:type="dxa"/>
              <w:left w:w="15" w:type="dxa"/>
              <w:right w:w="15" w:type="dxa"/>
            </w:tcMar>
            <w:vAlign w:val="center"/>
          </w:tcPr>
          <w:p w14:paraId="088DF0D9">
            <w:pPr>
              <w:pStyle w:val="37"/>
              <w:keepNext w:val="0"/>
              <w:keepLines w:val="0"/>
              <w:suppressLineNumbers w:val="0"/>
              <w:bidi w:val="0"/>
              <w:spacing w:before="0" w:beforeAutospacing="0" w:after="0" w:afterAutospacing="0"/>
              <w:ind w:left="0" w:right="0"/>
              <w:rPr>
                <w:rFonts w:hint="default" w:cs="Times New Roman"/>
                <w:color w:val="auto"/>
                <w:szCs w:val="21"/>
              </w:rPr>
            </w:pPr>
            <w:r>
              <w:rPr>
                <w:rFonts w:hint="eastAsia"/>
                <w:color w:val="auto"/>
                <w:szCs w:val="20"/>
                <w:lang w:val="en-US" w:eastAsia="zh-CN"/>
              </w:rPr>
              <w:t>升压站站址西侧</w:t>
            </w:r>
          </w:p>
        </w:tc>
        <w:tc>
          <w:tcPr>
            <w:tcW w:w="2460" w:type="pct"/>
            <w:vMerge w:val="continue"/>
            <w:tcBorders>
              <w:tl2br w:val="nil"/>
              <w:tr2bl w:val="nil"/>
            </w:tcBorders>
            <w:noWrap w:val="0"/>
            <w:tcMar>
              <w:top w:w="15" w:type="dxa"/>
              <w:left w:w="15" w:type="dxa"/>
              <w:right w:w="15" w:type="dxa"/>
            </w:tcMar>
            <w:vAlign w:val="center"/>
          </w:tcPr>
          <w:p w14:paraId="2CD4C8D6">
            <w:pPr>
              <w:keepNext w:val="0"/>
              <w:keepLines w:val="0"/>
              <w:suppressLineNumbers w:val="0"/>
              <w:bidi w:val="0"/>
              <w:spacing w:before="0" w:beforeAutospacing="0" w:after="0" w:afterAutospacing="0"/>
              <w:ind w:left="0" w:right="0"/>
              <w:rPr>
                <w:rFonts w:hint="eastAsia" w:cs="Times New Roman"/>
                <w:color w:val="auto"/>
                <w:sz w:val="21"/>
                <w:szCs w:val="21"/>
              </w:rPr>
            </w:pPr>
          </w:p>
        </w:tc>
      </w:tr>
      <w:tr w14:paraId="5FBB02C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539" w:type="pct"/>
            <w:tcBorders>
              <w:tl2br w:val="nil"/>
              <w:tr2bl w:val="nil"/>
            </w:tcBorders>
            <w:noWrap w:val="0"/>
            <w:tcMar>
              <w:top w:w="15" w:type="dxa"/>
              <w:left w:w="15" w:type="dxa"/>
              <w:right w:w="15" w:type="dxa"/>
            </w:tcMar>
            <w:vAlign w:val="center"/>
          </w:tcPr>
          <w:p w14:paraId="47041FAF">
            <w:pPr>
              <w:pStyle w:val="37"/>
              <w:keepNext w:val="0"/>
              <w:keepLines w:val="0"/>
              <w:suppressLineNumbers w:val="0"/>
              <w:bidi w:val="0"/>
              <w:spacing w:before="0" w:beforeAutospacing="0" w:after="0" w:afterAutospacing="0"/>
              <w:ind w:left="0" w:right="0"/>
              <w:rPr>
                <w:rFonts w:hint="eastAsia" w:cs="Times New Roman"/>
                <w:color w:val="auto"/>
                <w:szCs w:val="21"/>
                <w:lang w:val="en-US" w:eastAsia="zh-CN"/>
              </w:rPr>
            </w:pPr>
            <w:r>
              <w:rPr>
                <w:rFonts w:hint="eastAsia"/>
                <w:color w:val="auto"/>
                <w:szCs w:val="20"/>
                <w:lang w:val="en-US" w:eastAsia="zh-CN"/>
              </w:rPr>
              <w:t>升压站站址北侧</w:t>
            </w:r>
          </w:p>
        </w:tc>
        <w:tc>
          <w:tcPr>
            <w:tcW w:w="2460" w:type="pct"/>
            <w:vMerge w:val="continue"/>
            <w:tcBorders>
              <w:tl2br w:val="nil"/>
              <w:tr2bl w:val="nil"/>
            </w:tcBorders>
            <w:noWrap w:val="0"/>
            <w:tcMar>
              <w:top w:w="15" w:type="dxa"/>
              <w:left w:w="15" w:type="dxa"/>
              <w:right w:w="15" w:type="dxa"/>
            </w:tcMar>
            <w:vAlign w:val="center"/>
          </w:tcPr>
          <w:p w14:paraId="5102F446">
            <w:pPr>
              <w:keepNext w:val="0"/>
              <w:keepLines w:val="0"/>
              <w:suppressLineNumbers w:val="0"/>
              <w:bidi w:val="0"/>
              <w:spacing w:before="0" w:beforeAutospacing="0" w:after="0" w:afterAutospacing="0"/>
              <w:ind w:left="0" w:right="0"/>
              <w:rPr>
                <w:rFonts w:hint="eastAsia" w:cs="Times New Roman"/>
                <w:color w:val="auto"/>
                <w:sz w:val="21"/>
                <w:szCs w:val="21"/>
              </w:rPr>
            </w:pPr>
          </w:p>
        </w:tc>
      </w:tr>
      <w:tr w14:paraId="7E34BDEE">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2539" w:type="pct"/>
            <w:tcBorders>
              <w:tl2br w:val="nil"/>
              <w:tr2bl w:val="nil"/>
            </w:tcBorders>
            <w:noWrap w:val="0"/>
            <w:tcMar>
              <w:top w:w="15" w:type="dxa"/>
              <w:left w:w="15" w:type="dxa"/>
              <w:right w:w="15" w:type="dxa"/>
            </w:tcMar>
            <w:vAlign w:val="center"/>
          </w:tcPr>
          <w:p w14:paraId="599B340F">
            <w:pPr>
              <w:pStyle w:val="37"/>
              <w:keepNext w:val="0"/>
              <w:keepLines w:val="0"/>
              <w:suppressLineNumbers w:val="0"/>
              <w:bidi w:val="0"/>
              <w:spacing w:before="0" w:beforeAutospacing="0" w:after="0" w:afterAutospacing="0"/>
              <w:ind w:left="0" w:right="0"/>
              <w:rPr>
                <w:rFonts w:hint="eastAsia" w:cs="Times New Roman"/>
                <w:color w:val="auto"/>
                <w:szCs w:val="21"/>
                <w:lang w:val="en-US" w:eastAsia="zh-CN"/>
              </w:rPr>
            </w:pPr>
            <w:r>
              <w:rPr>
                <w:rFonts w:hint="eastAsia"/>
                <w:color w:val="auto"/>
                <w:szCs w:val="20"/>
                <w:lang w:val="en-US" w:eastAsia="zh-CN"/>
              </w:rPr>
              <w:t>升压站站址东侧</w:t>
            </w:r>
          </w:p>
        </w:tc>
        <w:tc>
          <w:tcPr>
            <w:tcW w:w="2460" w:type="pct"/>
            <w:vMerge w:val="continue"/>
            <w:tcBorders>
              <w:tl2br w:val="nil"/>
              <w:tr2bl w:val="nil"/>
            </w:tcBorders>
            <w:noWrap w:val="0"/>
            <w:tcMar>
              <w:top w:w="15" w:type="dxa"/>
              <w:left w:w="15" w:type="dxa"/>
              <w:right w:w="15" w:type="dxa"/>
            </w:tcMar>
            <w:vAlign w:val="center"/>
          </w:tcPr>
          <w:p w14:paraId="0DE969DE">
            <w:pPr>
              <w:keepNext w:val="0"/>
              <w:keepLines w:val="0"/>
              <w:suppressLineNumbers w:val="0"/>
              <w:bidi w:val="0"/>
              <w:spacing w:before="0" w:beforeAutospacing="0" w:after="0" w:afterAutospacing="0"/>
              <w:ind w:left="0" w:right="0"/>
              <w:rPr>
                <w:rFonts w:hint="eastAsia" w:cs="Times New Roman"/>
                <w:color w:val="auto"/>
                <w:sz w:val="21"/>
                <w:szCs w:val="21"/>
              </w:rPr>
            </w:pPr>
          </w:p>
        </w:tc>
      </w:tr>
    </w:tbl>
    <w:p w14:paraId="33843DA6">
      <w:pPr>
        <w:pStyle w:val="3"/>
        <w:bidi w:val="0"/>
        <w:rPr>
          <w:color w:val="auto"/>
        </w:rPr>
      </w:pPr>
      <w:bookmarkStart w:id="122" w:name="_Toc32433"/>
      <w:r>
        <w:rPr>
          <w:rFonts w:hint="eastAsia"/>
          <w:color w:val="auto"/>
          <w:lang w:val="en-US" w:eastAsia="zh-CN"/>
        </w:rPr>
        <w:t>3.2</w:t>
      </w:r>
      <w:r>
        <w:rPr>
          <w:color w:val="auto"/>
        </w:rPr>
        <w:t>监测期间气象条件</w:t>
      </w:r>
      <w:bookmarkEnd w:id="122"/>
    </w:p>
    <w:p w14:paraId="60833D5C">
      <w:pPr>
        <w:pStyle w:val="19"/>
        <w:bidi w:val="0"/>
        <w:rPr>
          <w:color w:val="auto"/>
        </w:rPr>
      </w:pPr>
      <w:r>
        <w:rPr>
          <w:color w:val="auto"/>
        </w:rPr>
        <w:t>监测点位气象条件见表</w:t>
      </w:r>
      <w:r>
        <w:rPr>
          <w:rFonts w:hint="eastAsia"/>
          <w:color w:val="auto"/>
          <w:lang w:val="en-US" w:eastAsia="zh-CN"/>
        </w:rPr>
        <w:t>3-2</w:t>
      </w:r>
      <w:r>
        <w:rPr>
          <w:color w:val="auto"/>
        </w:rPr>
        <w:t>。</w:t>
      </w:r>
    </w:p>
    <w:p w14:paraId="34DBD897">
      <w:pPr>
        <w:pStyle w:val="27"/>
        <w:bidi w:val="0"/>
        <w:rPr>
          <w:color w:val="auto"/>
        </w:rPr>
      </w:pPr>
      <w:r>
        <w:rPr>
          <w:color w:val="auto"/>
        </w:rPr>
        <w:t>表</w:t>
      </w:r>
      <w:r>
        <w:rPr>
          <w:rFonts w:hint="eastAsia"/>
          <w:color w:val="auto"/>
          <w:lang w:val="en-US" w:eastAsia="zh-CN"/>
        </w:rPr>
        <w:t>3</w:t>
      </w:r>
      <w:r>
        <w:rPr>
          <w:color w:val="auto"/>
        </w:rPr>
        <w:t>-</w:t>
      </w:r>
      <w:r>
        <w:rPr>
          <w:rFonts w:hint="eastAsia"/>
          <w:color w:val="auto"/>
          <w:lang w:val="en-US" w:eastAsia="zh-CN"/>
        </w:rPr>
        <w:t xml:space="preserve">2  </w:t>
      </w:r>
      <w:r>
        <w:rPr>
          <w:color w:val="auto"/>
        </w:rPr>
        <w:t>监测点位气象条件</w:t>
      </w:r>
    </w:p>
    <w:tbl>
      <w:tblPr>
        <w:tblStyle w:val="26"/>
        <w:tblW w:w="8517" w:type="dxa"/>
        <w:jc w:val="center"/>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1705"/>
        <w:gridCol w:w="1698"/>
        <w:gridCol w:w="1702"/>
        <w:gridCol w:w="1706"/>
        <w:gridCol w:w="1706"/>
      </w:tblGrid>
      <w:tr w14:paraId="477203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6" w:hRule="atLeast"/>
          <w:jc w:val="center"/>
        </w:trPr>
        <w:tc>
          <w:tcPr>
            <w:tcW w:w="1705" w:type="dxa"/>
            <w:tcBorders>
              <w:tl2br w:val="nil"/>
              <w:tr2bl w:val="nil"/>
            </w:tcBorders>
            <w:noWrap w:val="0"/>
            <w:vAlign w:val="center"/>
          </w:tcPr>
          <w:p w14:paraId="5F5B05A0">
            <w:pPr>
              <w:pStyle w:val="37"/>
              <w:bidi w:val="0"/>
            </w:pPr>
            <w:r>
              <w:t>监测日期</w:t>
            </w:r>
          </w:p>
        </w:tc>
        <w:tc>
          <w:tcPr>
            <w:tcW w:w="1698" w:type="dxa"/>
            <w:tcBorders>
              <w:tl2br w:val="nil"/>
              <w:tr2bl w:val="nil"/>
            </w:tcBorders>
            <w:noWrap w:val="0"/>
            <w:vAlign w:val="center"/>
          </w:tcPr>
          <w:p w14:paraId="6113D6BB">
            <w:pPr>
              <w:pStyle w:val="37"/>
              <w:bidi w:val="0"/>
            </w:pPr>
            <w:r>
              <w:t>天气</w:t>
            </w:r>
          </w:p>
        </w:tc>
        <w:tc>
          <w:tcPr>
            <w:tcW w:w="1702" w:type="dxa"/>
            <w:tcBorders>
              <w:tl2br w:val="nil"/>
              <w:tr2bl w:val="nil"/>
            </w:tcBorders>
            <w:noWrap w:val="0"/>
            <w:vAlign w:val="center"/>
          </w:tcPr>
          <w:p w14:paraId="5F784C02">
            <w:pPr>
              <w:pStyle w:val="37"/>
              <w:bidi w:val="0"/>
              <w:rPr>
                <w:rFonts w:hint="eastAsia"/>
                <w:lang w:eastAsia="zh-CN"/>
              </w:rPr>
            </w:pPr>
            <w:r>
              <w:t>温度</w:t>
            </w:r>
            <w:r>
              <w:rPr>
                <w:rFonts w:hint="eastAsia"/>
                <w:lang w:eastAsia="zh-CN"/>
              </w:rPr>
              <w:t>（</w:t>
            </w:r>
            <w:r>
              <w:t>℃</w:t>
            </w:r>
            <w:r>
              <w:rPr>
                <w:rFonts w:hint="eastAsia"/>
                <w:lang w:eastAsia="zh-CN"/>
              </w:rPr>
              <w:t>）</w:t>
            </w:r>
          </w:p>
        </w:tc>
        <w:tc>
          <w:tcPr>
            <w:tcW w:w="1706" w:type="dxa"/>
            <w:tcBorders>
              <w:tl2br w:val="nil"/>
              <w:tr2bl w:val="nil"/>
            </w:tcBorders>
            <w:noWrap w:val="0"/>
            <w:vAlign w:val="center"/>
          </w:tcPr>
          <w:p w14:paraId="66B71381">
            <w:pPr>
              <w:pStyle w:val="37"/>
              <w:bidi w:val="0"/>
            </w:pPr>
            <w:r>
              <w:t>湿度（RH%）</w:t>
            </w:r>
          </w:p>
        </w:tc>
        <w:tc>
          <w:tcPr>
            <w:tcW w:w="1706" w:type="dxa"/>
            <w:tcBorders>
              <w:tl2br w:val="nil"/>
              <w:tr2bl w:val="nil"/>
            </w:tcBorders>
            <w:noWrap w:val="0"/>
            <w:vAlign w:val="center"/>
          </w:tcPr>
          <w:p w14:paraId="2F0A1864">
            <w:pPr>
              <w:pStyle w:val="37"/>
              <w:bidi w:val="0"/>
              <w:rPr>
                <w:rFonts w:hint="eastAsia"/>
                <w:lang w:val="en-US" w:eastAsia="zh-CN"/>
              </w:rPr>
            </w:pPr>
            <w:r>
              <w:rPr>
                <w:rFonts w:hint="eastAsia"/>
                <w:lang w:val="en-US" w:eastAsia="zh-CN"/>
              </w:rPr>
              <w:t>大气压</w:t>
            </w:r>
          </w:p>
        </w:tc>
      </w:tr>
      <w:tr w14:paraId="1B4452F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425" w:hRule="atLeast"/>
          <w:jc w:val="center"/>
        </w:trPr>
        <w:tc>
          <w:tcPr>
            <w:tcW w:w="1705" w:type="dxa"/>
            <w:tcBorders>
              <w:tl2br w:val="nil"/>
              <w:tr2bl w:val="nil"/>
            </w:tcBorders>
            <w:noWrap w:val="0"/>
            <w:vAlign w:val="center"/>
          </w:tcPr>
          <w:p w14:paraId="259F6CDB">
            <w:pPr>
              <w:pStyle w:val="37"/>
              <w:bidi w:val="0"/>
              <w:rPr>
                <w:rFonts w:hint="default"/>
                <w:lang w:val="en-US" w:eastAsia="zh-CN"/>
              </w:rPr>
            </w:pPr>
            <w:r>
              <w:rPr>
                <w:rFonts w:hint="eastAsia"/>
                <w:lang w:val="en-US" w:eastAsia="zh-CN"/>
              </w:rPr>
              <w:t>2025.3.21</w:t>
            </w:r>
          </w:p>
        </w:tc>
        <w:tc>
          <w:tcPr>
            <w:tcW w:w="1698" w:type="dxa"/>
            <w:tcBorders>
              <w:tl2br w:val="nil"/>
              <w:tr2bl w:val="nil"/>
            </w:tcBorders>
            <w:noWrap w:val="0"/>
            <w:vAlign w:val="center"/>
          </w:tcPr>
          <w:p w14:paraId="1334EEB2">
            <w:pPr>
              <w:pStyle w:val="37"/>
              <w:bidi w:val="0"/>
              <w:rPr>
                <w:rFonts w:hint="eastAsia"/>
                <w:lang w:eastAsia="zh-CN"/>
              </w:rPr>
            </w:pPr>
            <w:r>
              <w:rPr>
                <w:rFonts w:hint="eastAsia"/>
                <w:lang w:val="en-US" w:eastAsia="zh-CN"/>
              </w:rPr>
              <w:t>阴</w:t>
            </w:r>
          </w:p>
        </w:tc>
        <w:tc>
          <w:tcPr>
            <w:tcW w:w="1702" w:type="dxa"/>
            <w:tcBorders>
              <w:tl2br w:val="nil"/>
              <w:tr2bl w:val="nil"/>
            </w:tcBorders>
            <w:noWrap w:val="0"/>
            <w:vAlign w:val="center"/>
          </w:tcPr>
          <w:p w14:paraId="5B72E681">
            <w:pPr>
              <w:pStyle w:val="37"/>
              <w:bidi w:val="0"/>
            </w:pPr>
            <w:r>
              <w:rPr>
                <w:rFonts w:hint="eastAsia"/>
                <w:lang w:val="en-US" w:eastAsia="zh-CN"/>
              </w:rPr>
              <w:t>7.9-12.2</w:t>
            </w:r>
            <w:r>
              <w:t>℃</w:t>
            </w:r>
          </w:p>
        </w:tc>
        <w:tc>
          <w:tcPr>
            <w:tcW w:w="1706" w:type="dxa"/>
            <w:tcBorders>
              <w:tl2br w:val="nil"/>
              <w:tr2bl w:val="nil"/>
            </w:tcBorders>
            <w:noWrap w:val="0"/>
            <w:vAlign w:val="center"/>
          </w:tcPr>
          <w:p w14:paraId="07A0FDDA">
            <w:pPr>
              <w:pStyle w:val="37"/>
              <w:bidi w:val="0"/>
            </w:pPr>
            <w:r>
              <w:rPr>
                <w:rFonts w:hint="eastAsia"/>
                <w:lang w:val="en-US" w:eastAsia="zh-CN"/>
              </w:rPr>
              <w:t>40%—59%</w:t>
            </w:r>
          </w:p>
        </w:tc>
        <w:tc>
          <w:tcPr>
            <w:tcW w:w="1706" w:type="dxa"/>
            <w:tcBorders>
              <w:tl2br w:val="nil"/>
              <w:tr2bl w:val="nil"/>
            </w:tcBorders>
            <w:noWrap w:val="0"/>
            <w:vAlign w:val="center"/>
          </w:tcPr>
          <w:p w14:paraId="776CFCD3">
            <w:pPr>
              <w:pStyle w:val="37"/>
              <w:bidi w:val="0"/>
              <w:rPr>
                <w:rFonts w:hint="default"/>
                <w:lang w:val="en-US" w:eastAsia="zh-CN"/>
              </w:rPr>
            </w:pPr>
            <w:r>
              <w:rPr>
                <w:rFonts w:hint="eastAsia"/>
                <w:lang w:val="en-US" w:eastAsia="zh-CN"/>
              </w:rPr>
              <w:t>76.8-79.7kPa</w:t>
            </w:r>
          </w:p>
        </w:tc>
      </w:tr>
    </w:tbl>
    <w:p w14:paraId="698A1D54">
      <w:pPr>
        <w:pStyle w:val="3"/>
        <w:bidi w:val="0"/>
        <w:rPr>
          <w:rFonts w:hint="eastAsia"/>
          <w:color w:val="auto"/>
          <w:lang w:eastAsia="zh-CN"/>
        </w:rPr>
      </w:pPr>
      <w:bookmarkStart w:id="123" w:name="_Toc21361"/>
      <w:r>
        <w:rPr>
          <w:rFonts w:hint="eastAsia"/>
          <w:color w:val="auto"/>
          <w:lang w:val="en-US" w:eastAsia="zh-CN"/>
        </w:rPr>
        <w:t>3.3</w:t>
      </w:r>
      <w:r>
        <w:rPr>
          <w:rFonts w:hint="eastAsia"/>
          <w:color w:val="auto"/>
          <w:lang w:eastAsia="zh-CN"/>
        </w:rPr>
        <w:t>检测方法</w:t>
      </w:r>
      <w:r>
        <w:rPr>
          <w:color w:val="auto"/>
        </w:rPr>
        <w:t>及</w:t>
      </w:r>
      <w:r>
        <w:rPr>
          <w:rFonts w:hint="eastAsia"/>
          <w:color w:val="auto"/>
          <w:lang w:val="en-US" w:eastAsia="zh-CN"/>
        </w:rPr>
        <w:t>仪器</w:t>
      </w:r>
      <w:bookmarkEnd w:id="123"/>
    </w:p>
    <w:p w14:paraId="50855470">
      <w:pPr>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按照《交流输变电工程电磁环境检测方法（试行）》（HJ681-2013）进行。工频电场和工频磁场测量仪器为电磁辐射分析仪。</w:t>
      </w:r>
      <w:r>
        <w:rPr>
          <w:rFonts w:hint="eastAsia" w:ascii="Times New Roman" w:hAnsi="Times New Roman" w:eastAsia="宋体" w:cs="Times New Roman"/>
          <w:b w:val="0"/>
          <w:bCs w:val="0"/>
          <w:color w:val="auto"/>
          <w:sz w:val="24"/>
          <w:szCs w:val="24"/>
          <w:lang w:val="en-US" w:eastAsia="zh-CN"/>
        </w:rPr>
        <w:t>具体信息如下表：</w:t>
      </w:r>
    </w:p>
    <w:p w14:paraId="1F7ECB3E">
      <w:pPr>
        <w:pStyle w:val="51"/>
        <w:bidi w:val="0"/>
        <w:rPr>
          <w:rFonts w:hint="default"/>
          <w:color w:val="auto"/>
          <w:lang w:val="en-US" w:eastAsia="zh-CN"/>
        </w:rPr>
      </w:pPr>
      <w:r>
        <w:rPr>
          <w:rFonts w:hint="default"/>
          <w:color w:val="auto"/>
          <w:lang w:val="en-US" w:eastAsia="zh-CN"/>
        </w:rPr>
        <w:t>表3-</w:t>
      </w:r>
      <w:r>
        <w:rPr>
          <w:rFonts w:hint="eastAsia"/>
          <w:color w:val="auto"/>
          <w:lang w:val="en-US" w:eastAsia="zh-CN"/>
        </w:rPr>
        <w:t xml:space="preserve">3 </w:t>
      </w:r>
      <w:r>
        <w:rPr>
          <w:rFonts w:hint="default"/>
          <w:color w:val="auto"/>
          <w:lang w:val="en-US" w:eastAsia="zh-CN"/>
        </w:rPr>
        <w:t xml:space="preserve"> 电磁环境</w:t>
      </w:r>
      <w:r>
        <w:rPr>
          <w:rFonts w:hint="default"/>
          <w:color w:val="auto"/>
        </w:rPr>
        <w:t>监测方法及使用仪器</w:t>
      </w:r>
    </w:p>
    <w:tbl>
      <w:tblPr>
        <w:tblStyle w:val="20"/>
        <w:tblW w:w="50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56" w:type="dxa"/>
          <w:left w:w="108" w:type="dxa"/>
          <w:bottom w:w="56" w:type="dxa"/>
          <w:right w:w="108" w:type="dxa"/>
        </w:tblCellMar>
      </w:tblPr>
      <w:tblGrid>
        <w:gridCol w:w="1018"/>
        <w:gridCol w:w="2207"/>
        <w:gridCol w:w="2067"/>
        <w:gridCol w:w="1979"/>
        <w:gridCol w:w="1191"/>
      </w:tblGrid>
      <w:tr w14:paraId="051942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108" w:type="dxa"/>
            <w:bottom w:w="56" w:type="dxa"/>
            <w:right w:w="108" w:type="dxa"/>
          </w:tblCellMar>
        </w:tblPrEx>
        <w:trPr>
          <w:cantSplit/>
          <w:trHeight w:val="0" w:hRule="atLeast"/>
        </w:trPr>
        <w:tc>
          <w:tcPr>
            <w:tcW w:w="601" w:type="pct"/>
            <w:tcBorders>
              <w:bottom w:val="single" w:color="auto" w:sz="12" w:space="0"/>
            </w:tcBorders>
            <w:noWrap w:val="0"/>
            <w:tcMar>
              <w:top w:w="0" w:type="dxa"/>
              <w:left w:w="0" w:type="dxa"/>
              <w:bottom w:w="0" w:type="dxa"/>
              <w:right w:w="0" w:type="dxa"/>
            </w:tcMar>
            <w:vAlign w:val="center"/>
          </w:tcPr>
          <w:p w14:paraId="3233D2C4">
            <w:pPr>
              <w:pStyle w:val="37"/>
              <w:bidi w:val="0"/>
              <w:rPr>
                <w:rFonts w:hint="default"/>
                <w:lang w:val="en-US" w:eastAsia="zh-CN"/>
              </w:rPr>
            </w:pPr>
            <w:r>
              <w:rPr>
                <w:rFonts w:hint="default"/>
                <w:lang w:val="en-US" w:eastAsia="zh-CN"/>
              </w:rPr>
              <w:t>监测项目</w:t>
            </w:r>
          </w:p>
        </w:tc>
        <w:tc>
          <w:tcPr>
            <w:tcW w:w="1304" w:type="pct"/>
            <w:tcBorders>
              <w:bottom w:val="single" w:color="auto" w:sz="12" w:space="0"/>
            </w:tcBorders>
            <w:noWrap w:val="0"/>
            <w:tcMar>
              <w:top w:w="0" w:type="dxa"/>
              <w:left w:w="0" w:type="dxa"/>
              <w:bottom w:w="0" w:type="dxa"/>
              <w:right w:w="0" w:type="dxa"/>
            </w:tcMar>
            <w:vAlign w:val="center"/>
          </w:tcPr>
          <w:p w14:paraId="0E8A78DC">
            <w:pPr>
              <w:pStyle w:val="37"/>
              <w:bidi w:val="0"/>
              <w:rPr>
                <w:rFonts w:hint="default"/>
                <w:lang w:val="en-US" w:eastAsia="zh-CN"/>
              </w:rPr>
            </w:pPr>
            <w:r>
              <w:rPr>
                <w:rFonts w:hint="default"/>
                <w:lang w:val="en-US" w:eastAsia="zh-CN"/>
              </w:rPr>
              <w:t>检测方法依据标准代号及名称</w:t>
            </w:r>
          </w:p>
        </w:tc>
        <w:tc>
          <w:tcPr>
            <w:tcW w:w="1221" w:type="pct"/>
            <w:tcBorders>
              <w:bottom w:val="single" w:color="auto" w:sz="12" w:space="0"/>
            </w:tcBorders>
            <w:noWrap w:val="0"/>
            <w:tcMar>
              <w:top w:w="0" w:type="dxa"/>
              <w:left w:w="0" w:type="dxa"/>
              <w:bottom w:w="0" w:type="dxa"/>
              <w:right w:w="0" w:type="dxa"/>
            </w:tcMar>
            <w:vAlign w:val="center"/>
          </w:tcPr>
          <w:p w14:paraId="74501744">
            <w:pPr>
              <w:pStyle w:val="37"/>
              <w:bidi w:val="0"/>
              <w:rPr>
                <w:rFonts w:hint="default"/>
                <w:lang w:val="en-US" w:eastAsia="zh-CN"/>
              </w:rPr>
            </w:pPr>
            <w:r>
              <w:rPr>
                <w:rFonts w:hint="default"/>
                <w:lang w:val="en-US" w:eastAsia="zh-CN"/>
              </w:rPr>
              <w:t>主要检测仪器设备型号及名称</w:t>
            </w:r>
          </w:p>
        </w:tc>
        <w:tc>
          <w:tcPr>
            <w:tcW w:w="1169" w:type="pct"/>
            <w:tcBorders>
              <w:bottom w:val="single" w:color="auto" w:sz="12" w:space="0"/>
            </w:tcBorders>
            <w:noWrap w:val="0"/>
            <w:tcMar>
              <w:top w:w="0" w:type="dxa"/>
              <w:left w:w="0" w:type="dxa"/>
              <w:bottom w:w="0" w:type="dxa"/>
              <w:right w:w="0" w:type="dxa"/>
            </w:tcMar>
            <w:vAlign w:val="center"/>
          </w:tcPr>
          <w:p w14:paraId="0880C176">
            <w:pPr>
              <w:pStyle w:val="37"/>
              <w:bidi w:val="0"/>
              <w:rPr>
                <w:rFonts w:hint="default"/>
                <w:lang w:val="en-US" w:eastAsia="zh-CN"/>
              </w:rPr>
            </w:pPr>
            <w:r>
              <w:rPr>
                <w:rFonts w:hint="default"/>
                <w:lang w:val="en-US" w:eastAsia="zh-CN"/>
              </w:rPr>
              <w:t>量程</w:t>
            </w:r>
          </w:p>
        </w:tc>
        <w:tc>
          <w:tcPr>
            <w:tcW w:w="703" w:type="pct"/>
            <w:tcBorders>
              <w:bottom w:val="single" w:color="auto" w:sz="12" w:space="0"/>
            </w:tcBorders>
            <w:noWrap w:val="0"/>
            <w:tcMar>
              <w:top w:w="0" w:type="dxa"/>
              <w:left w:w="0" w:type="dxa"/>
              <w:bottom w:w="0" w:type="dxa"/>
              <w:right w:w="0" w:type="dxa"/>
            </w:tcMar>
            <w:vAlign w:val="center"/>
          </w:tcPr>
          <w:p w14:paraId="26A84FA3">
            <w:pPr>
              <w:pStyle w:val="37"/>
              <w:bidi w:val="0"/>
              <w:rPr>
                <w:rFonts w:hint="default"/>
                <w:lang w:val="en-US" w:eastAsia="zh-CN"/>
              </w:rPr>
            </w:pPr>
            <w:r>
              <w:rPr>
                <w:rFonts w:hint="default"/>
                <w:lang w:val="en-US" w:eastAsia="zh-CN"/>
              </w:rPr>
              <w:t>检定/校准有效期</w:t>
            </w:r>
          </w:p>
        </w:tc>
      </w:tr>
      <w:tr w14:paraId="71EF0D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108" w:type="dxa"/>
            <w:bottom w:w="56" w:type="dxa"/>
            <w:right w:w="108" w:type="dxa"/>
          </w:tblCellMar>
        </w:tblPrEx>
        <w:trPr>
          <w:cantSplit/>
          <w:trHeight w:val="429" w:hRule="atLeast"/>
        </w:trPr>
        <w:tc>
          <w:tcPr>
            <w:tcW w:w="601" w:type="pct"/>
            <w:tcBorders>
              <w:top w:val="single" w:color="auto" w:sz="12" w:space="0"/>
              <w:tl2br w:val="nil"/>
              <w:tr2bl w:val="nil"/>
            </w:tcBorders>
            <w:noWrap w:val="0"/>
            <w:tcMar>
              <w:top w:w="0" w:type="dxa"/>
              <w:left w:w="0" w:type="dxa"/>
              <w:bottom w:w="0" w:type="dxa"/>
              <w:right w:w="0" w:type="dxa"/>
            </w:tcMar>
            <w:vAlign w:val="center"/>
          </w:tcPr>
          <w:p w14:paraId="138C1E50">
            <w:pPr>
              <w:pStyle w:val="37"/>
              <w:bidi w:val="0"/>
              <w:rPr>
                <w:rFonts w:hint="default"/>
                <w:lang w:val="en-US" w:eastAsia="zh-CN"/>
              </w:rPr>
            </w:pPr>
            <w:r>
              <w:rPr>
                <w:rFonts w:hint="default"/>
                <w:lang w:val="en-US" w:eastAsia="zh-CN"/>
              </w:rPr>
              <w:t>工频电场</w:t>
            </w:r>
          </w:p>
        </w:tc>
        <w:tc>
          <w:tcPr>
            <w:tcW w:w="1304" w:type="pct"/>
            <w:vMerge w:val="restart"/>
            <w:tcBorders>
              <w:top w:val="single" w:color="auto" w:sz="12" w:space="0"/>
              <w:tl2br w:val="nil"/>
              <w:tr2bl w:val="nil"/>
            </w:tcBorders>
            <w:noWrap w:val="0"/>
            <w:tcMar>
              <w:top w:w="0" w:type="dxa"/>
              <w:left w:w="0" w:type="dxa"/>
              <w:bottom w:w="0" w:type="dxa"/>
              <w:right w:w="0" w:type="dxa"/>
            </w:tcMar>
            <w:vAlign w:val="center"/>
          </w:tcPr>
          <w:p w14:paraId="3A904B41">
            <w:pPr>
              <w:pStyle w:val="37"/>
              <w:bidi w:val="0"/>
              <w:rPr>
                <w:rFonts w:hint="default"/>
                <w:lang w:val="en-US" w:eastAsia="zh-CN"/>
              </w:rPr>
            </w:pPr>
            <w:r>
              <w:rPr>
                <w:rFonts w:hint="default"/>
                <w:lang w:val="en-US" w:eastAsia="zh-CN"/>
              </w:rPr>
              <w:t>交流输变电工程电磁环境监测方法（试行）</w:t>
            </w:r>
          </w:p>
          <w:p w14:paraId="74516C44">
            <w:pPr>
              <w:pStyle w:val="37"/>
              <w:bidi w:val="0"/>
              <w:rPr>
                <w:rFonts w:hint="default"/>
                <w:lang w:val="en-US" w:eastAsia="zh-CN"/>
              </w:rPr>
            </w:pPr>
            <w:r>
              <w:rPr>
                <w:rFonts w:hint="default"/>
                <w:lang w:val="en-US" w:eastAsia="zh-CN"/>
              </w:rPr>
              <w:t>HJ 681-2013</w:t>
            </w:r>
          </w:p>
        </w:tc>
        <w:tc>
          <w:tcPr>
            <w:tcW w:w="1221" w:type="pct"/>
            <w:vMerge w:val="restart"/>
            <w:tcBorders>
              <w:top w:val="single" w:color="auto" w:sz="12" w:space="0"/>
              <w:tl2br w:val="nil"/>
              <w:tr2bl w:val="nil"/>
            </w:tcBorders>
            <w:noWrap w:val="0"/>
            <w:tcMar>
              <w:top w:w="0" w:type="dxa"/>
              <w:left w:w="0" w:type="dxa"/>
              <w:bottom w:w="0" w:type="dxa"/>
              <w:right w:w="0" w:type="dxa"/>
            </w:tcMar>
            <w:vAlign w:val="center"/>
          </w:tcPr>
          <w:p w14:paraId="6D2295A6">
            <w:pPr>
              <w:pStyle w:val="37"/>
              <w:bidi w:val="0"/>
              <w:rPr>
                <w:rFonts w:hint="default"/>
                <w:lang w:val="en-US" w:eastAsia="zh-CN"/>
              </w:rPr>
            </w:pPr>
            <w:r>
              <w:rPr>
                <w:rFonts w:hint="default"/>
                <w:lang w:val="en-US" w:eastAsia="zh-CN"/>
              </w:rPr>
              <w:t>电磁辐射分析仪</w:t>
            </w:r>
            <w:r>
              <w:rPr>
                <w:rFonts w:hint="eastAsia"/>
                <w:lang w:val="en-US" w:eastAsia="zh-CN"/>
              </w:rPr>
              <w:t>（</w:t>
            </w:r>
            <w:r>
              <w:rPr>
                <w:rFonts w:hint="default"/>
                <w:lang w:val="en-US" w:eastAsia="zh-CN"/>
              </w:rPr>
              <w:t>主机：LF-01D</w:t>
            </w:r>
            <w:r>
              <w:rPr>
                <w:rFonts w:hint="eastAsia"/>
                <w:lang w:val="en-US" w:eastAsia="zh-CN"/>
              </w:rPr>
              <w:t>＆</w:t>
            </w:r>
            <w:r>
              <w:rPr>
                <w:rFonts w:hint="default"/>
                <w:lang w:val="en-US" w:eastAsia="zh-CN"/>
              </w:rPr>
              <w:t>SEM-600；</w:t>
            </w:r>
          </w:p>
        </w:tc>
        <w:tc>
          <w:tcPr>
            <w:tcW w:w="1169" w:type="pct"/>
            <w:tcBorders>
              <w:top w:val="single" w:color="auto" w:sz="12" w:space="0"/>
              <w:tl2br w:val="nil"/>
              <w:tr2bl w:val="nil"/>
            </w:tcBorders>
            <w:noWrap w:val="0"/>
            <w:tcMar>
              <w:top w:w="0" w:type="dxa"/>
              <w:left w:w="0" w:type="dxa"/>
              <w:bottom w:w="0" w:type="dxa"/>
              <w:right w:w="0" w:type="dxa"/>
            </w:tcMar>
            <w:vAlign w:val="center"/>
          </w:tcPr>
          <w:p w14:paraId="7FDEA3E7">
            <w:pPr>
              <w:pStyle w:val="37"/>
              <w:bidi w:val="0"/>
              <w:rPr>
                <w:rFonts w:hint="default"/>
                <w:lang w:val="en-US" w:eastAsia="zh-CN"/>
              </w:rPr>
            </w:pPr>
            <w:r>
              <w:rPr>
                <w:rFonts w:hint="eastAsia"/>
                <w:lang w:val="en-US" w:eastAsia="zh-CN"/>
              </w:rPr>
              <w:t>0.01V/m-100kW/m</w:t>
            </w:r>
          </w:p>
        </w:tc>
        <w:tc>
          <w:tcPr>
            <w:tcW w:w="703" w:type="pct"/>
            <w:vMerge w:val="restart"/>
            <w:tcBorders>
              <w:top w:val="single" w:color="auto" w:sz="12" w:space="0"/>
              <w:tl2br w:val="nil"/>
              <w:tr2bl w:val="nil"/>
            </w:tcBorders>
            <w:noWrap w:val="0"/>
            <w:tcMar>
              <w:top w:w="0" w:type="dxa"/>
              <w:left w:w="0" w:type="dxa"/>
              <w:bottom w:w="0" w:type="dxa"/>
              <w:right w:w="0" w:type="dxa"/>
            </w:tcMar>
            <w:vAlign w:val="center"/>
          </w:tcPr>
          <w:p w14:paraId="27D5C681">
            <w:pPr>
              <w:pStyle w:val="37"/>
              <w:bidi w:val="0"/>
              <w:rPr>
                <w:rFonts w:hint="default"/>
                <w:lang w:val="en-US" w:eastAsia="zh-CN"/>
              </w:rPr>
            </w:pPr>
            <w:r>
              <w:rPr>
                <w:rFonts w:hint="eastAsia"/>
                <w:lang w:val="en-US" w:eastAsia="zh-CN"/>
              </w:rPr>
              <w:t>2025年6月5日</w:t>
            </w:r>
          </w:p>
        </w:tc>
      </w:tr>
      <w:tr w14:paraId="4432B3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108" w:type="dxa"/>
            <w:bottom w:w="56" w:type="dxa"/>
            <w:right w:w="108" w:type="dxa"/>
          </w:tblCellMar>
        </w:tblPrEx>
        <w:trPr>
          <w:cantSplit/>
          <w:trHeight w:val="280" w:hRule="atLeast"/>
        </w:trPr>
        <w:tc>
          <w:tcPr>
            <w:tcW w:w="601" w:type="pct"/>
            <w:tcBorders>
              <w:tl2br w:val="nil"/>
              <w:tr2bl w:val="nil"/>
            </w:tcBorders>
            <w:noWrap w:val="0"/>
            <w:tcMar>
              <w:top w:w="0" w:type="dxa"/>
              <w:left w:w="0" w:type="dxa"/>
              <w:bottom w:w="0" w:type="dxa"/>
              <w:right w:w="0" w:type="dxa"/>
            </w:tcMar>
            <w:vAlign w:val="center"/>
          </w:tcPr>
          <w:p w14:paraId="50EF6B13">
            <w:pPr>
              <w:pStyle w:val="37"/>
              <w:bidi w:val="0"/>
              <w:rPr>
                <w:rFonts w:hint="default"/>
                <w:lang w:val="en-US" w:eastAsia="zh-CN"/>
              </w:rPr>
            </w:pPr>
            <w:r>
              <w:rPr>
                <w:rFonts w:hint="default"/>
                <w:lang w:val="en-US" w:eastAsia="zh-CN"/>
              </w:rPr>
              <w:t>工频磁场</w:t>
            </w:r>
          </w:p>
        </w:tc>
        <w:tc>
          <w:tcPr>
            <w:tcW w:w="1304" w:type="pct"/>
            <w:vMerge w:val="continue"/>
            <w:tcBorders>
              <w:tl2br w:val="nil"/>
              <w:tr2bl w:val="nil"/>
            </w:tcBorders>
            <w:noWrap w:val="0"/>
            <w:tcMar>
              <w:top w:w="0" w:type="dxa"/>
              <w:left w:w="0" w:type="dxa"/>
              <w:bottom w:w="0" w:type="dxa"/>
              <w:right w:w="0" w:type="dxa"/>
            </w:tcMar>
            <w:vAlign w:val="center"/>
          </w:tcPr>
          <w:p w14:paraId="6E4CA1AA">
            <w:pPr>
              <w:pStyle w:val="37"/>
              <w:bidi w:val="0"/>
              <w:rPr>
                <w:rFonts w:hint="default"/>
                <w:lang w:val="en-US" w:eastAsia="zh-CN"/>
              </w:rPr>
            </w:pPr>
          </w:p>
        </w:tc>
        <w:tc>
          <w:tcPr>
            <w:tcW w:w="1221" w:type="pct"/>
            <w:vMerge w:val="continue"/>
            <w:tcBorders>
              <w:tl2br w:val="nil"/>
              <w:tr2bl w:val="nil"/>
            </w:tcBorders>
            <w:noWrap w:val="0"/>
            <w:tcMar>
              <w:top w:w="0" w:type="dxa"/>
              <w:left w:w="0" w:type="dxa"/>
              <w:bottom w:w="0" w:type="dxa"/>
              <w:right w:w="0" w:type="dxa"/>
            </w:tcMar>
            <w:vAlign w:val="center"/>
          </w:tcPr>
          <w:p w14:paraId="34B9161F">
            <w:pPr>
              <w:pStyle w:val="37"/>
              <w:bidi w:val="0"/>
              <w:rPr>
                <w:rFonts w:hint="default"/>
                <w:lang w:val="en-US" w:eastAsia="zh-CN"/>
              </w:rPr>
            </w:pPr>
          </w:p>
        </w:tc>
        <w:tc>
          <w:tcPr>
            <w:tcW w:w="1169" w:type="pct"/>
            <w:tcBorders>
              <w:tl2br w:val="nil"/>
              <w:tr2bl w:val="nil"/>
            </w:tcBorders>
            <w:noWrap w:val="0"/>
            <w:tcMar>
              <w:top w:w="0" w:type="dxa"/>
              <w:left w:w="0" w:type="dxa"/>
              <w:bottom w:w="0" w:type="dxa"/>
              <w:right w:w="0" w:type="dxa"/>
            </w:tcMar>
            <w:vAlign w:val="center"/>
          </w:tcPr>
          <w:p w14:paraId="2A630FD7">
            <w:pPr>
              <w:pStyle w:val="37"/>
              <w:bidi w:val="0"/>
              <w:rPr>
                <w:rFonts w:hint="default"/>
                <w:lang w:val="en-US" w:eastAsia="zh-CN"/>
              </w:rPr>
            </w:pPr>
            <w:r>
              <w:rPr>
                <w:rFonts w:hint="eastAsia"/>
                <w:lang w:val="en-US" w:eastAsia="zh-CN"/>
              </w:rPr>
              <w:t>1nT-10mT</w:t>
            </w:r>
          </w:p>
        </w:tc>
        <w:tc>
          <w:tcPr>
            <w:tcW w:w="703" w:type="pct"/>
            <w:vMerge w:val="continue"/>
            <w:tcBorders>
              <w:tl2br w:val="nil"/>
              <w:tr2bl w:val="nil"/>
            </w:tcBorders>
            <w:noWrap w:val="0"/>
            <w:tcMar>
              <w:top w:w="0" w:type="dxa"/>
              <w:left w:w="0" w:type="dxa"/>
              <w:bottom w:w="0" w:type="dxa"/>
              <w:right w:w="0" w:type="dxa"/>
            </w:tcMar>
            <w:vAlign w:val="center"/>
          </w:tcPr>
          <w:p w14:paraId="575EB867">
            <w:pPr>
              <w:pStyle w:val="37"/>
              <w:bidi w:val="0"/>
              <w:rPr>
                <w:rFonts w:hint="default"/>
                <w:lang w:val="en-US" w:eastAsia="zh-CN"/>
              </w:rPr>
            </w:pPr>
          </w:p>
        </w:tc>
      </w:tr>
      <w:tr w14:paraId="6A868C6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108" w:type="dxa"/>
            <w:bottom w:w="56" w:type="dxa"/>
            <w:right w:w="108" w:type="dxa"/>
          </w:tblCellMar>
        </w:tblPrEx>
        <w:trPr>
          <w:cantSplit/>
          <w:trHeight w:val="307" w:hRule="atLeast"/>
        </w:trPr>
        <w:tc>
          <w:tcPr>
            <w:tcW w:w="601" w:type="pct"/>
            <w:tcBorders>
              <w:tl2br w:val="nil"/>
              <w:tr2bl w:val="nil"/>
            </w:tcBorders>
            <w:noWrap w:val="0"/>
            <w:tcMar>
              <w:top w:w="0" w:type="dxa"/>
              <w:left w:w="0" w:type="dxa"/>
              <w:bottom w:w="0" w:type="dxa"/>
              <w:right w:w="0" w:type="dxa"/>
            </w:tcMar>
            <w:vAlign w:val="center"/>
          </w:tcPr>
          <w:p w14:paraId="1F62B64C">
            <w:pPr>
              <w:pStyle w:val="37"/>
              <w:bidi w:val="0"/>
              <w:rPr>
                <w:rFonts w:hint="default"/>
                <w:lang w:val="en-US" w:eastAsia="zh-CN"/>
              </w:rPr>
            </w:pPr>
            <w:r>
              <w:rPr>
                <w:rFonts w:hint="default"/>
                <w:lang w:val="en-US" w:eastAsia="zh-CN"/>
              </w:rPr>
              <w:t>校准单位</w:t>
            </w:r>
          </w:p>
        </w:tc>
        <w:tc>
          <w:tcPr>
            <w:tcW w:w="4398" w:type="pct"/>
            <w:gridSpan w:val="4"/>
            <w:tcBorders>
              <w:tl2br w:val="nil"/>
              <w:tr2bl w:val="nil"/>
            </w:tcBorders>
            <w:noWrap w:val="0"/>
            <w:tcMar>
              <w:top w:w="0" w:type="dxa"/>
              <w:left w:w="0" w:type="dxa"/>
              <w:bottom w:w="0" w:type="dxa"/>
              <w:right w:w="0" w:type="dxa"/>
            </w:tcMar>
            <w:vAlign w:val="center"/>
          </w:tcPr>
          <w:p w14:paraId="7DB4F8D6">
            <w:pPr>
              <w:pStyle w:val="37"/>
              <w:bidi w:val="0"/>
              <w:rPr>
                <w:rFonts w:hint="default"/>
                <w:lang w:val="en-US" w:eastAsia="zh-CN"/>
              </w:rPr>
            </w:pPr>
            <w:r>
              <w:rPr>
                <w:rFonts w:hint="eastAsia"/>
                <w:lang w:val="en-US" w:eastAsia="zh-CN"/>
              </w:rPr>
              <w:t>深圳市计量质量检测研究院</w:t>
            </w:r>
          </w:p>
        </w:tc>
      </w:tr>
      <w:tr w14:paraId="340F01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108" w:type="dxa"/>
            <w:bottom w:w="56" w:type="dxa"/>
            <w:right w:w="108" w:type="dxa"/>
          </w:tblCellMar>
        </w:tblPrEx>
        <w:trPr>
          <w:cantSplit/>
          <w:trHeight w:val="207" w:hRule="atLeast"/>
        </w:trPr>
        <w:tc>
          <w:tcPr>
            <w:tcW w:w="601" w:type="pct"/>
            <w:tcBorders>
              <w:tl2br w:val="nil"/>
              <w:tr2bl w:val="nil"/>
            </w:tcBorders>
            <w:noWrap w:val="0"/>
            <w:tcMar>
              <w:top w:w="0" w:type="dxa"/>
              <w:left w:w="0" w:type="dxa"/>
              <w:bottom w:w="0" w:type="dxa"/>
              <w:right w:w="0" w:type="dxa"/>
            </w:tcMar>
            <w:vAlign w:val="center"/>
          </w:tcPr>
          <w:p w14:paraId="52AC9224">
            <w:pPr>
              <w:pStyle w:val="37"/>
              <w:bidi w:val="0"/>
              <w:rPr>
                <w:rFonts w:hint="default"/>
                <w:lang w:val="en-US" w:eastAsia="zh-CN"/>
              </w:rPr>
            </w:pPr>
            <w:bookmarkStart w:id="124" w:name="_Toc30600"/>
            <w:r>
              <w:rPr>
                <w:rFonts w:hint="default"/>
                <w:lang w:val="en-US" w:eastAsia="zh-CN"/>
              </w:rPr>
              <w:t>监测单位</w:t>
            </w:r>
          </w:p>
        </w:tc>
        <w:tc>
          <w:tcPr>
            <w:tcW w:w="4398" w:type="pct"/>
            <w:gridSpan w:val="4"/>
            <w:tcBorders>
              <w:tl2br w:val="nil"/>
              <w:tr2bl w:val="nil"/>
            </w:tcBorders>
            <w:noWrap w:val="0"/>
            <w:tcMar>
              <w:top w:w="0" w:type="dxa"/>
              <w:left w:w="0" w:type="dxa"/>
              <w:bottom w:w="0" w:type="dxa"/>
              <w:right w:w="0" w:type="dxa"/>
            </w:tcMar>
            <w:vAlign w:val="center"/>
          </w:tcPr>
          <w:p w14:paraId="534BF23A">
            <w:pPr>
              <w:pStyle w:val="37"/>
              <w:bidi w:val="0"/>
              <w:rPr>
                <w:rFonts w:hint="default"/>
                <w:lang w:val="en-US" w:eastAsia="zh-CN"/>
              </w:rPr>
            </w:pPr>
            <w:r>
              <w:rPr>
                <w:rFonts w:hint="default"/>
                <w:lang w:val="en-US" w:eastAsia="zh-CN"/>
              </w:rPr>
              <w:t>云南科环环境工程咨询有限公司</w:t>
            </w:r>
          </w:p>
        </w:tc>
      </w:tr>
      <w:bookmarkEnd w:id="124"/>
    </w:tbl>
    <w:p w14:paraId="2BE97B04">
      <w:pPr>
        <w:pStyle w:val="3"/>
        <w:bidi w:val="0"/>
        <w:rPr>
          <w:color w:val="auto"/>
        </w:rPr>
      </w:pPr>
      <w:bookmarkStart w:id="125" w:name="_Toc1830"/>
      <w:r>
        <w:rPr>
          <w:rFonts w:hint="eastAsia"/>
          <w:color w:val="auto"/>
          <w:lang w:val="en-US" w:eastAsia="zh-CN"/>
        </w:rPr>
        <w:t>3.4</w:t>
      </w:r>
      <w:r>
        <w:rPr>
          <w:color w:val="auto"/>
        </w:rPr>
        <w:t>监测结果</w:t>
      </w:r>
      <w:bookmarkEnd w:id="125"/>
    </w:p>
    <w:p w14:paraId="7CD0DFA5">
      <w:pPr>
        <w:widowControl/>
        <w:spacing w:line="360" w:lineRule="auto"/>
        <w:ind w:firstLine="480" w:firstLineChars="200"/>
        <w:jc w:val="left"/>
        <w:rPr>
          <w:color w:val="auto"/>
          <w:sz w:val="24"/>
        </w:rPr>
      </w:pPr>
      <w:r>
        <w:rPr>
          <w:rFonts w:hint="eastAsia"/>
          <w:color w:val="auto"/>
          <w:sz w:val="24"/>
          <w:lang w:val="en-US" w:eastAsia="zh-CN"/>
        </w:rPr>
        <w:t>电磁环境</w:t>
      </w:r>
      <w:r>
        <w:rPr>
          <w:color w:val="auto"/>
          <w:sz w:val="24"/>
        </w:rPr>
        <w:t>监测结果</w:t>
      </w:r>
      <w:r>
        <w:rPr>
          <w:rFonts w:hint="eastAsia"/>
          <w:color w:val="auto"/>
          <w:sz w:val="24"/>
          <w:lang w:eastAsia="zh-CN"/>
        </w:rPr>
        <w:t>详见</w:t>
      </w:r>
      <w:r>
        <w:rPr>
          <w:color w:val="auto"/>
          <w:sz w:val="24"/>
        </w:rPr>
        <w:t>表</w:t>
      </w:r>
      <w:r>
        <w:rPr>
          <w:rFonts w:hint="eastAsia"/>
          <w:color w:val="auto"/>
          <w:sz w:val="24"/>
          <w:lang w:val="en-US" w:eastAsia="zh-CN"/>
        </w:rPr>
        <w:t>3-3</w:t>
      </w:r>
      <w:r>
        <w:rPr>
          <w:color w:val="auto"/>
          <w:sz w:val="24"/>
        </w:rPr>
        <w:t>。</w:t>
      </w:r>
    </w:p>
    <w:p w14:paraId="2127EB9C">
      <w:pPr>
        <w:pStyle w:val="51"/>
        <w:bidi w:val="0"/>
        <w:rPr>
          <w:color w:val="auto"/>
        </w:rPr>
      </w:pPr>
      <w:r>
        <w:rPr>
          <w:color w:val="auto"/>
        </w:rPr>
        <w:t>表</w:t>
      </w:r>
      <w:r>
        <w:rPr>
          <w:rFonts w:hint="eastAsia"/>
          <w:color w:val="auto"/>
          <w:lang w:val="en-US" w:eastAsia="zh-CN"/>
        </w:rPr>
        <w:t>3-3</w:t>
      </w:r>
      <w:r>
        <w:rPr>
          <w:color w:val="auto"/>
        </w:rPr>
        <w:t xml:space="preserve">  环境电磁辐射检测结果一览表</w:t>
      </w:r>
    </w:p>
    <w:tbl>
      <w:tblPr>
        <w:tblStyle w:val="21"/>
        <w:tblW w:w="859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3158"/>
        <w:gridCol w:w="1639"/>
        <w:gridCol w:w="1546"/>
        <w:gridCol w:w="1439"/>
      </w:tblGrid>
      <w:tr w14:paraId="7145362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6" w:hRule="atLeast"/>
          <w:tblHeader/>
        </w:trPr>
        <w:tc>
          <w:tcPr>
            <w:tcW w:w="816" w:type="dxa"/>
            <w:vMerge w:val="restart"/>
            <w:tcBorders>
              <w:tl2br w:val="nil"/>
              <w:tr2bl w:val="nil"/>
            </w:tcBorders>
            <w:vAlign w:val="center"/>
          </w:tcPr>
          <w:p w14:paraId="7787C40F">
            <w:pPr>
              <w:pStyle w:val="37"/>
              <w:keepNext w:val="0"/>
              <w:keepLines w:val="0"/>
              <w:suppressLineNumbers w:val="0"/>
              <w:bidi w:val="0"/>
              <w:spacing w:before="0" w:beforeAutospacing="0" w:after="0" w:afterAutospacing="0"/>
              <w:ind w:left="0" w:right="0"/>
              <w:rPr>
                <w:rFonts w:hint="default"/>
                <w:b/>
                <w:bCs/>
                <w:color w:val="auto"/>
                <w:szCs w:val="20"/>
              </w:rPr>
            </w:pPr>
            <w:r>
              <w:rPr>
                <w:rFonts w:hint="eastAsia"/>
                <w:color w:val="auto"/>
                <w:szCs w:val="20"/>
              </w:rPr>
              <w:t>序号</w:t>
            </w:r>
          </w:p>
        </w:tc>
        <w:tc>
          <w:tcPr>
            <w:tcW w:w="3158" w:type="dxa"/>
            <w:vMerge w:val="restart"/>
            <w:tcBorders>
              <w:tl2br w:val="nil"/>
              <w:tr2bl w:val="nil"/>
            </w:tcBorders>
            <w:vAlign w:val="center"/>
          </w:tcPr>
          <w:p w14:paraId="0FE64D51">
            <w:pPr>
              <w:pStyle w:val="37"/>
              <w:keepNext w:val="0"/>
              <w:keepLines w:val="0"/>
              <w:suppressLineNumbers w:val="0"/>
              <w:bidi w:val="0"/>
              <w:spacing w:before="0" w:beforeAutospacing="0" w:after="0" w:afterAutospacing="0"/>
              <w:ind w:left="0" w:right="0"/>
              <w:rPr>
                <w:rFonts w:hint="default"/>
                <w:b/>
                <w:bCs/>
                <w:color w:val="auto"/>
                <w:szCs w:val="20"/>
              </w:rPr>
            </w:pPr>
            <w:r>
              <w:rPr>
                <w:rFonts w:hint="eastAsia"/>
                <w:color w:val="auto"/>
                <w:szCs w:val="20"/>
              </w:rPr>
              <w:t>检测点位</w:t>
            </w:r>
          </w:p>
        </w:tc>
        <w:tc>
          <w:tcPr>
            <w:tcW w:w="1639" w:type="dxa"/>
            <w:vMerge w:val="restart"/>
            <w:tcBorders>
              <w:tl2br w:val="nil"/>
              <w:tr2bl w:val="nil"/>
            </w:tcBorders>
            <w:vAlign w:val="center"/>
          </w:tcPr>
          <w:p w14:paraId="368E2080">
            <w:pPr>
              <w:pStyle w:val="37"/>
              <w:keepNext w:val="0"/>
              <w:keepLines w:val="0"/>
              <w:suppressLineNumbers w:val="0"/>
              <w:bidi w:val="0"/>
              <w:spacing w:before="0" w:beforeAutospacing="0" w:after="0" w:afterAutospacing="0"/>
              <w:ind w:left="0" w:right="0"/>
              <w:rPr>
                <w:rFonts w:hint="default"/>
                <w:b/>
                <w:bCs/>
                <w:color w:val="auto"/>
                <w:szCs w:val="20"/>
              </w:rPr>
            </w:pPr>
            <w:r>
              <w:rPr>
                <w:rFonts w:hint="default"/>
                <w:color w:val="auto"/>
                <w:szCs w:val="20"/>
              </w:rPr>
              <w:t>检测日期</w:t>
            </w:r>
          </w:p>
        </w:tc>
        <w:tc>
          <w:tcPr>
            <w:tcW w:w="2985" w:type="dxa"/>
            <w:gridSpan w:val="2"/>
            <w:tcBorders>
              <w:tl2br w:val="nil"/>
              <w:tr2bl w:val="nil"/>
            </w:tcBorders>
            <w:vAlign w:val="center"/>
          </w:tcPr>
          <w:p w14:paraId="55C2C5ED">
            <w:pPr>
              <w:pStyle w:val="37"/>
              <w:keepNext w:val="0"/>
              <w:keepLines w:val="0"/>
              <w:suppressLineNumbers w:val="0"/>
              <w:bidi w:val="0"/>
              <w:spacing w:before="0" w:beforeAutospacing="0" w:after="0" w:afterAutospacing="0"/>
              <w:ind w:left="0" w:right="0"/>
              <w:rPr>
                <w:rFonts w:hint="default"/>
                <w:b/>
                <w:bCs/>
                <w:color w:val="auto"/>
                <w:szCs w:val="20"/>
              </w:rPr>
            </w:pPr>
            <w:r>
              <w:rPr>
                <w:rFonts w:hint="eastAsia"/>
                <w:color w:val="auto"/>
                <w:szCs w:val="20"/>
                <w:lang w:eastAsia="zh-CN"/>
              </w:rPr>
              <w:t>检</w:t>
            </w:r>
            <w:r>
              <w:rPr>
                <w:rFonts w:hint="eastAsia"/>
                <w:color w:val="auto"/>
                <w:szCs w:val="20"/>
              </w:rPr>
              <w:t>测结果</w:t>
            </w:r>
          </w:p>
        </w:tc>
      </w:tr>
      <w:tr w14:paraId="5C7FA79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44" w:hRule="atLeast"/>
          <w:tblHeader/>
        </w:trPr>
        <w:tc>
          <w:tcPr>
            <w:tcW w:w="816" w:type="dxa"/>
            <w:vMerge w:val="continue"/>
            <w:tcBorders>
              <w:tl2br w:val="nil"/>
              <w:tr2bl w:val="nil"/>
            </w:tcBorders>
            <w:vAlign w:val="center"/>
          </w:tcPr>
          <w:p w14:paraId="1E370435">
            <w:pPr>
              <w:keepNext w:val="0"/>
              <w:keepLines w:val="0"/>
              <w:suppressLineNumbers w:val="0"/>
              <w:bidi w:val="0"/>
              <w:spacing w:before="0" w:beforeAutospacing="0" w:after="0" w:afterAutospacing="0"/>
              <w:ind w:left="0" w:right="0"/>
              <w:rPr>
                <w:rFonts w:hint="default"/>
                <w:b/>
                <w:bCs/>
                <w:color w:val="auto"/>
              </w:rPr>
            </w:pPr>
          </w:p>
        </w:tc>
        <w:tc>
          <w:tcPr>
            <w:tcW w:w="3158" w:type="dxa"/>
            <w:vMerge w:val="continue"/>
            <w:tcBorders>
              <w:tl2br w:val="nil"/>
              <w:tr2bl w:val="nil"/>
            </w:tcBorders>
            <w:vAlign w:val="center"/>
          </w:tcPr>
          <w:p w14:paraId="288A0590">
            <w:pPr>
              <w:keepNext w:val="0"/>
              <w:keepLines w:val="0"/>
              <w:suppressLineNumbers w:val="0"/>
              <w:bidi w:val="0"/>
              <w:spacing w:before="0" w:beforeAutospacing="0" w:after="0" w:afterAutospacing="0"/>
              <w:ind w:left="0" w:right="0"/>
              <w:rPr>
                <w:rFonts w:hint="default"/>
                <w:b/>
                <w:bCs/>
                <w:color w:val="auto"/>
              </w:rPr>
            </w:pPr>
          </w:p>
        </w:tc>
        <w:tc>
          <w:tcPr>
            <w:tcW w:w="1639" w:type="dxa"/>
            <w:vMerge w:val="continue"/>
            <w:tcBorders>
              <w:tl2br w:val="nil"/>
              <w:tr2bl w:val="nil"/>
            </w:tcBorders>
            <w:vAlign w:val="center"/>
          </w:tcPr>
          <w:p w14:paraId="706033AF">
            <w:pPr>
              <w:keepNext w:val="0"/>
              <w:keepLines w:val="0"/>
              <w:suppressLineNumbers w:val="0"/>
              <w:bidi w:val="0"/>
              <w:spacing w:before="0" w:beforeAutospacing="0" w:after="0" w:afterAutospacing="0"/>
              <w:ind w:left="0" w:right="0"/>
              <w:rPr>
                <w:rFonts w:hint="default"/>
                <w:b/>
                <w:bCs/>
                <w:color w:val="auto"/>
              </w:rPr>
            </w:pPr>
          </w:p>
        </w:tc>
        <w:tc>
          <w:tcPr>
            <w:tcW w:w="1546" w:type="dxa"/>
            <w:tcBorders>
              <w:tl2br w:val="nil"/>
              <w:tr2bl w:val="nil"/>
            </w:tcBorders>
            <w:vAlign w:val="center"/>
          </w:tcPr>
          <w:p w14:paraId="37F41BA5">
            <w:pPr>
              <w:pStyle w:val="37"/>
              <w:keepNext w:val="0"/>
              <w:keepLines w:val="0"/>
              <w:suppressLineNumbers w:val="0"/>
              <w:bidi w:val="0"/>
              <w:spacing w:before="0" w:beforeAutospacing="0" w:after="0" w:afterAutospacing="0"/>
              <w:ind w:left="0" w:right="0"/>
              <w:rPr>
                <w:rFonts w:hint="default"/>
                <w:b/>
                <w:bCs/>
                <w:color w:val="auto"/>
                <w:szCs w:val="20"/>
              </w:rPr>
            </w:pPr>
            <w:r>
              <w:rPr>
                <w:rFonts w:hint="eastAsia"/>
                <w:color w:val="auto"/>
                <w:szCs w:val="20"/>
              </w:rPr>
              <w:t>工频电场强度（</w:t>
            </w:r>
            <w:r>
              <w:rPr>
                <w:rFonts w:hint="default"/>
                <w:color w:val="auto"/>
                <w:szCs w:val="20"/>
              </w:rPr>
              <w:t>V/m</w:t>
            </w:r>
            <w:r>
              <w:rPr>
                <w:rFonts w:hint="eastAsia"/>
                <w:color w:val="auto"/>
                <w:szCs w:val="20"/>
              </w:rPr>
              <w:t>）</w:t>
            </w:r>
          </w:p>
        </w:tc>
        <w:tc>
          <w:tcPr>
            <w:tcW w:w="1439" w:type="dxa"/>
            <w:tcBorders>
              <w:tl2br w:val="nil"/>
              <w:tr2bl w:val="nil"/>
            </w:tcBorders>
            <w:vAlign w:val="center"/>
          </w:tcPr>
          <w:p w14:paraId="646269D6">
            <w:pPr>
              <w:pStyle w:val="37"/>
              <w:keepNext w:val="0"/>
              <w:keepLines w:val="0"/>
              <w:suppressLineNumbers w:val="0"/>
              <w:bidi w:val="0"/>
              <w:spacing w:before="0" w:beforeAutospacing="0" w:after="0" w:afterAutospacing="0"/>
              <w:ind w:left="0" w:right="0"/>
              <w:rPr>
                <w:rFonts w:hint="default"/>
                <w:b/>
                <w:bCs/>
                <w:color w:val="auto"/>
                <w:szCs w:val="20"/>
              </w:rPr>
            </w:pPr>
            <w:r>
              <w:rPr>
                <w:rFonts w:hint="eastAsia"/>
                <w:color w:val="auto"/>
                <w:szCs w:val="20"/>
              </w:rPr>
              <w:t>工频磁感应强度（</w:t>
            </w:r>
            <w:r>
              <w:rPr>
                <w:rFonts w:hint="default"/>
                <w:color w:val="auto"/>
                <w:szCs w:val="20"/>
              </w:rPr>
              <w:t>μT</w:t>
            </w:r>
            <w:r>
              <w:rPr>
                <w:rFonts w:hint="eastAsia"/>
                <w:color w:val="auto"/>
                <w:szCs w:val="20"/>
              </w:rPr>
              <w:t>）</w:t>
            </w:r>
          </w:p>
        </w:tc>
      </w:tr>
      <w:tr w14:paraId="0E2BBFA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816" w:type="dxa"/>
            <w:tcBorders>
              <w:tl2br w:val="nil"/>
              <w:tr2bl w:val="nil"/>
            </w:tcBorders>
            <w:shd w:val="clear" w:color="auto" w:fill="auto"/>
            <w:vAlign w:val="center"/>
          </w:tcPr>
          <w:p w14:paraId="512FEC02">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1</w:t>
            </w:r>
          </w:p>
        </w:tc>
        <w:tc>
          <w:tcPr>
            <w:tcW w:w="3158" w:type="dxa"/>
            <w:tcBorders>
              <w:tl2br w:val="nil"/>
              <w:tr2bl w:val="nil"/>
            </w:tcBorders>
            <w:shd w:val="clear" w:color="auto" w:fill="auto"/>
            <w:vAlign w:val="center"/>
          </w:tcPr>
          <w:p w14:paraId="588991F4">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升压站站址南侧</w:t>
            </w:r>
          </w:p>
        </w:tc>
        <w:tc>
          <w:tcPr>
            <w:tcW w:w="1639" w:type="dxa"/>
            <w:tcBorders>
              <w:tl2br w:val="nil"/>
              <w:tr2bl w:val="nil"/>
            </w:tcBorders>
            <w:shd w:val="clear" w:color="auto" w:fill="auto"/>
            <w:vAlign w:val="center"/>
          </w:tcPr>
          <w:p w14:paraId="005FD884">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2025.3.21</w:t>
            </w:r>
          </w:p>
        </w:tc>
        <w:tc>
          <w:tcPr>
            <w:tcW w:w="1546" w:type="dxa"/>
            <w:tcBorders>
              <w:tl2br w:val="nil"/>
              <w:tr2bl w:val="nil"/>
            </w:tcBorders>
            <w:vAlign w:val="center"/>
          </w:tcPr>
          <w:p w14:paraId="63BC8B3C">
            <w:pPr>
              <w:pStyle w:val="55"/>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highlight w:val="none"/>
                <w:lang w:val="en-US" w:eastAsia="zh-CN"/>
              </w:rPr>
              <w:t>19.30</w:t>
            </w:r>
          </w:p>
        </w:tc>
        <w:tc>
          <w:tcPr>
            <w:tcW w:w="1439" w:type="dxa"/>
            <w:tcBorders>
              <w:tl2br w:val="nil"/>
              <w:tr2bl w:val="nil"/>
            </w:tcBorders>
            <w:vAlign w:val="center"/>
          </w:tcPr>
          <w:p w14:paraId="2B7B737D">
            <w:pPr>
              <w:pStyle w:val="55"/>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highlight w:val="none"/>
                <w:lang w:val="en-US" w:eastAsia="zh-CN"/>
              </w:rPr>
              <w:t>0.0912</w:t>
            </w:r>
          </w:p>
        </w:tc>
      </w:tr>
      <w:tr w14:paraId="79619C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816" w:type="dxa"/>
            <w:tcBorders>
              <w:tl2br w:val="nil"/>
              <w:tr2bl w:val="nil"/>
            </w:tcBorders>
            <w:shd w:val="clear" w:color="auto" w:fill="auto"/>
            <w:vAlign w:val="center"/>
          </w:tcPr>
          <w:p w14:paraId="6282F631">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2</w:t>
            </w:r>
          </w:p>
        </w:tc>
        <w:tc>
          <w:tcPr>
            <w:tcW w:w="3158" w:type="dxa"/>
            <w:tcBorders>
              <w:tl2br w:val="nil"/>
              <w:tr2bl w:val="nil"/>
            </w:tcBorders>
            <w:shd w:val="clear" w:color="auto" w:fill="auto"/>
            <w:vAlign w:val="center"/>
          </w:tcPr>
          <w:p w14:paraId="6A32EA96">
            <w:pPr>
              <w:pStyle w:val="37"/>
              <w:keepNext w:val="0"/>
              <w:keepLines w:val="0"/>
              <w:suppressLineNumbers w:val="0"/>
              <w:bidi w:val="0"/>
              <w:spacing w:before="0" w:beforeAutospacing="0" w:after="0" w:afterAutospacing="0"/>
              <w:ind w:left="0" w:right="0"/>
              <w:rPr>
                <w:rFonts w:hint="eastAsia"/>
                <w:color w:val="auto"/>
                <w:szCs w:val="20"/>
                <w:lang w:val="en-US" w:eastAsia="zh-CN"/>
              </w:rPr>
            </w:pPr>
            <w:r>
              <w:rPr>
                <w:rFonts w:hint="eastAsia"/>
                <w:color w:val="auto"/>
                <w:szCs w:val="20"/>
                <w:lang w:val="en-US" w:eastAsia="zh-CN"/>
              </w:rPr>
              <w:t>升压站站址西侧</w:t>
            </w:r>
          </w:p>
        </w:tc>
        <w:tc>
          <w:tcPr>
            <w:tcW w:w="1639" w:type="dxa"/>
            <w:tcBorders>
              <w:tl2br w:val="nil"/>
              <w:tr2bl w:val="nil"/>
            </w:tcBorders>
            <w:shd w:val="clear" w:color="auto" w:fill="auto"/>
            <w:vAlign w:val="center"/>
          </w:tcPr>
          <w:p w14:paraId="77249B45">
            <w:pPr>
              <w:pStyle w:val="37"/>
              <w:keepNext w:val="0"/>
              <w:keepLines w:val="0"/>
              <w:suppressLineNumbers w:val="0"/>
              <w:bidi w:val="0"/>
              <w:spacing w:before="0" w:beforeAutospacing="0" w:after="0" w:afterAutospacing="0"/>
              <w:ind w:left="0" w:right="0"/>
              <w:rPr>
                <w:rFonts w:hint="eastAsia"/>
                <w:color w:val="auto"/>
                <w:szCs w:val="20"/>
                <w:lang w:val="en-US" w:eastAsia="zh-CN"/>
              </w:rPr>
            </w:pPr>
            <w:r>
              <w:rPr>
                <w:rFonts w:hint="eastAsia"/>
                <w:color w:val="auto"/>
                <w:szCs w:val="20"/>
                <w:lang w:val="en-US" w:eastAsia="zh-CN"/>
              </w:rPr>
              <w:t>2025.3.21</w:t>
            </w:r>
          </w:p>
        </w:tc>
        <w:tc>
          <w:tcPr>
            <w:tcW w:w="1546" w:type="dxa"/>
            <w:tcBorders>
              <w:tl2br w:val="nil"/>
              <w:tr2bl w:val="nil"/>
            </w:tcBorders>
            <w:vAlign w:val="center"/>
          </w:tcPr>
          <w:p w14:paraId="75A9060E">
            <w:pPr>
              <w:pStyle w:val="55"/>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highlight w:val="none"/>
                <w:lang w:val="en-US" w:eastAsia="zh-CN"/>
              </w:rPr>
              <w:t>1119.1</w:t>
            </w:r>
          </w:p>
        </w:tc>
        <w:tc>
          <w:tcPr>
            <w:tcW w:w="1439" w:type="dxa"/>
            <w:tcBorders>
              <w:tl2br w:val="nil"/>
              <w:tr2bl w:val="nil"/>
            </w:tcBorders>
            <w:vAlign w:val="center"/>
          </w:tcPr>
          <w:p w14:paraId="21F9AE3B">
            <w:pPr>
              <w:pStyle w:val="55"/>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highlight w:val="none"/>
                <w:lang w:val="en-US" w:eastAsia="zh-CN"/>
              </w:rPr>
              <w:t>0.7362</w:t>
            </w:r>
          </w:p>
        </w:tc>
      </w:tr>
      <w:tr w14:paraId="0D67B0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816" w:type="dxa"/>
            <w:tcBorders>
              <w:tl2br w:val="nil"/>
              <w:tr2bl w:val="nil"/>
            </w:tcBorders>
            <w:shd w:val="clear" w:color="auto" w:fill="auto"/>
            <w:vAlign w:val="center"/>
          </w:tcPr>
          <w:p w14:paraId="682C6987">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3</w:t>
            </w:r>
          </w:p>
        </w:tc>
        <w:tc>
          <w:tcPr>
            <w:tcW w:w="3158" w:type="dxa"/>
            <w:tcBorders>
              <w:tl2br w:val="nil"/>
              <w:tr2bl w:val="nil"/>
            </w:tcBorders>
            <w:shd w:val="clear" w:color="auto" w:fill="auto"/>
            <w:vAlign w:val="center"/>
          </w:tcPr>
          <w:p w14:paraId="5DC4F096">
            <w:pPr>
              <w:pStyle w:val="37"/>
              <w:keepNext w:val="0"/>
              <w:keepLines w:val="0"/>
              <w:suppressLineNumbers w:val="0"/>
              <w:bidi w:val="0"/>
              <w:spacing w:before="0" w:beforeAutospacing="0" w:after="0" w:afterAutospacing="0"/>
              <w:ind w:left="0" w:right="0"/>
              <w:rPr>
                <w:rFonts w:hint="eastAsia"/>
                <w:color w:val="auto"/>
                <w:szCs w:val="20"/>
                <w:lang w:val="en-US" w:eastAsia="zh-CN"/>
              </w:rPr>
            </w:pPr>
            <w:r>
              <w:rPr>
                <w:rFonts w:hint="eastAsia"/>
                <w:color w:val="auto"/>
                <w:szCs w:val="20"/>
                <w:lang w:val="en-US" w:eastAsia="zh-CN"/>
              </w:rPr>
              <w:t>升压站站址北侧</w:t>
            </w:r>
          </w:p>
        </w:tc>
        <w:tc>
          <w:tcPr>
            <w:tcW w:w="1639" w:type="dxa"/>
            <w:tcBorders>
              <w:tl2br w:val="nil"/>
              <w:tr2bl w:val="nil"/>
            </w:tcBorders>
            <w:shd w:val="clear" w:color="auto" w:fill="auto"/>
            <w:vAlign w:val="center"/>
          </w:tcPr>
          <w:p w14:paraId="1CA2258B">
            <w:pPr>
              <w:pStyle w:val="37"/>
              <w:keepNext w:val="0"/>
              <w:keepLines w:val="0"/>
              <w:suppressLineNumbers w:val="0"/>
              <w:bidi w:val="0"/>
              <w:spacing w:before="0" w:beforeAutospacing="0" w:after="0" w:afterAutospacing="0"/>
              <w:ind w:left="0" w:right="0"/>
              <w:rPr>
                <w:rFonts w:hint="eastAsia"/>
                <w:color w:val="auto"/>
                <w:szCs w:val="20"/>
                <w:lang w:val="en-US" w:eastAsia="zh-CN"/>
              </w:rPr>
            </w:pPr>
            <w:r>
              <w:rPr>
                <w:rFonts w:hint="eastAsia"/>
                <w:color w:val="auto"/>
                <w:szCs w:val="20"/>
                <w:lang w:val="en-US" w:eastAsia="zh-CN"/>
              </w:rPr>
              <w:t>2025.3.21</w:t>
            </w:r>
          </w:p>
        </w:tc>
        <w:tc>
          <w:tcPr>
            <w:tcW w:w="1546" w:type="dxa"/>
            <w:tcBorders>
              <w:tl2br w:val="nil"/>
              <w:tr2bl w:val="nil"/>
            </w:tcBorders>
            <w:vAlign w:val="center"/>
          </w:tcPr>
          <w:p w14:paraId="072C48C4">
            <w:pPr>
              <w:pStyle w:val="55"/>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highlight w:val="none"/>
                <w:lang w:val="en-US" w:eastAsia="zh-CN"/>
              </w:rPr>
              <w:t>35.46</w:t>
            </w:r>
          </w:p>
        </w:tc>
        <w:tc>
          <w:tcPr>
            <w:tcW w:w="1439" w:type="dxa"/>
            <w:tcBorders>
              <w:tl2br w:val="nil"/>
              <w:tr2bl w:val="nil"/>
            </w:tcBorders>
            <w:vAlign w:val="center"/>
          </w:tcPr>
          <w:p w14:paraId="7CE041FF">
            <w:pPr>
              <w:pStyle w:val="55"/>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highlight w:val="none"/>
                <w:lang w:val="en-US" w:eastAsia="zh-CN"/>
              </w:rPr>
              <w:t>0.3003</w:t>
            </w:r>
          </w:p>
        </w:tc>
      </w:tr>
      <w:tr w14:paraId="24DEF7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816" w:type="dxa"/>
            <w:tcBorders>
              <w:tl2br w:val="nil"/>
              <w:tr2bl w:val="nil"/>
            </w:tcBorders>
            <w:shd w:val="clear" w:color="auto" w:fill="auto"/>
            <w:vAlign w:val="center"/>
          </w:tcPr>
          <w:p w14:paraId="5380FFF9">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4</w:t>
            </w:r>
          </w:p>
        </w:tc>
        <w:tc>
          <w:tcPr>
            <w:tcW w:w="3158" w:type="dxa"/>
            <w:tcBorders>
              <w:tl2br w:val="nil"/>
              <w:tr2bl w:val="nil"/>
            </w:tcBorders>
            <w:shd w:val="clear" w:color="auto" w:fill="auto"/>
            <w:vAlign w:val="center"/>
          </w:tcPr>
          <w:p w14:paraId="0B4F7212">
            <w:pPr>
              <w:pStyle w:val="37"/>
              <w:keepNext w:val="0"/>
              <w:keepLines w:val="0"/>
              <w:suppressLineNumbers w:val="0"/>
              <w:bidi w:val="0"/>
              <w:spacing w:before="0" w:beforeAutospacing="0" w:after="0" w:afterAutospacing="0"/>
              <w:ind w:left="0" w:right="0"/>
              <w:rPr>
                <w:rFonts w:hint="eastAsia"/>
                <w:color w:val="auto"/>
                <w:szCs w:val="20"/>
                <w:lang w:val="en-US" w:eastAsia="zh-CN"/>
              </w:rPr>
            </w:pPr>
            <w:r>
              <w:rPr>
                <w:rFonts w:hint="eastAsia"/>
                <w:color w:val="auto"/>
                <w:szCs w:val="20"/>
                <w:lang w:val="en-US" w:eastAsia="zh-CN"/>
              </w:rPr>
              <w:t>升压站站址东侧</w:t>
            </w:r>
          </w:p>
        </w:tc>
        <w:tc>
          <w:tcPr>
            <w:tcW w:w="1639" w:type="dxa"/>
            <w:tcBorders>
              <w:tl2br w:val="nil"/>
              <w:tr2bl w:val="nil"/>
            </w:tcBorders>
            <w:shd w:val="clear" w:color="auto" w:fill="auto"/>
            <w:vAlign w:val="center"/>
          </w:tcPr>
          <w:p w14:paraId="771C0282">
            <w:pPr>
              <w:pStyle w:val="37"/>
              <w:keepNext w:val="0"/>
              <w:keepLines w:val="0"/>
              <w:suppressLineNumbers w:val="0"/>
              <w:bidi w:val="0"/>
              <w:spacing w:before="0" w:beforeAutospacing="0" w:after="0" w:afterAutospacing="0"/>
              <w:ind w:left="0" w:right="0"/>
              <w:rPr>
                <w:rFonts w:hint="eastAsia"/>
                <w:color w:val="auto"/>
                <w:szCs w:val="20"/>
                <w:lang w:val="en-US" w:eastAsia="zh-CN"/>
              </w:rPr>
            </w:pPr>
            <w:r>
              <w:rPr>
                <w:rFonts w:hint="eastAsia"/>
                <w:color w:val="auto"/>
                <w:szCs w:val="20"/>
                <w:lang w:val="en-US" w:eastAsia="zh-CN"/>
              </w:rPr>
              <w:t>2025.3.21</w:t>
            </w:r>
          </w:p>
        </w:tc>
        <w:tc>
          <w:tcPr>
            <w:tcW w:w="1546" w:type="dxa"/>
            <w:tcBorders>
              <w:tl2br w:val="nil"/>
              <w:tr2bl w:val="nil"/>
            </w:tcBorders>
            <w:vAlign w:val="center"/>
          </w:tcPr>
          <w:p w14:paraId="32E487D5">
            <w:pPr>
              <w:pStyle w:val="55"/>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highlight w:val="none"/>
                <w:lang w:val="en-US" w:eastAsia="zh-CN"/>
              </w:rPr>
              <w:t>1.894</w:t>
            </w:r>
          </w:p>
        </w:tc>
        <w:tc>
          <w:tcPr>
            <w:tcW w:w="1439" w:type="dxa"/>
            <w:tcBorders>
              <w:tl2br w:val="nil"/>
              <w:tr2bl w:val="nil"/>
            </w:tcBorders>
            <w:vAlign w:val="center"/>
          </w:tcPr>
          <w:p w14:paraId="29D64F98">
            <w:pPr>
              <w:pStyle w:val="55"/>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highlight w:val="none"/>
                <w:lang w:val="en-US" w:eastAsia="zh-CN"/>
              </w:rPr>
              <w:t>0.6331</w:t>
            </w:r>
          </w:p>
        </w:tc>
      </w:tr>
    </w:tbl>
    <w:p w14:paraId="54620A0D">
      <w:pPr>
        <w:pStyle w:val="19"/>
        <w:bidi w:val="0"/>
        <w:rPr>
          <w:color w:val="auto"/>
          <w:highlight w:val="none"/>
        </w:rPr>
      </w:pPr>
      <w:r>
        <w:rPr>
          <w:rFonts w:hint="default"/>
          <w:color w:val="auto"/>
        </w:rPr>
        <w:t>由监测结果可知，升压站</w:t>
      </w:r>
      <w:r>
        <w:rPr>
          <w:rFonts w:hint="eastAsia"/>
          <w:color w:val="auto"/>
          <w:lang w:val="en-US" w:eastAsia="zh-CN"/>
        </w:rPr>
        <w:t>西</w:t>
      </w:r>
      <w:r>
        <w:rPr>
          <w:rFonts w:hint="eastAsia"/>
          <w:color w:val="auto"/>
        </w:rPr>
        <w:t>厂界外</w:t>
      </w:r>
      <w:r>
        <w:rPr>
          <w:rFonts w:hint="default"/>
          <w:color w:val="auto"/>
        </w:rPr>
        <w:t>的工频电场强度为</w:t>
      </w:r>
      <w:r>
        <w:rPr>
          <w:rFonts w:hint="eastAsia"/>
          <w:color w:val="auto"/>
          <w:lang w:val="en-US" w:eastAsia="zh-CN"/>
        </w:rPr>
        <w:t>1.894</w:t>
      </w:r>
      <w:r>
        <w:rPr>
          <w:color w:val="auto"/>
        </w:rPr>
        <w:t>V/m</w:t>
      </w:r>
      <w:r>
        <w:rPr>
          <w:rFonts w:hint="eastAsia"/>
          <w:color w:val="auto"/>
          <w:lang w:val="en-US" w:eastAsia="zh-CN"/>
        </w:rPr>
        <w:t>~1119.1</w:t>
      </w:r>
      <w:r>
        <w:rPr>
          <w:color w:val="auto"/>
        </w:rPr>
        <w:t>V/m，</w:t>
      </w:r>
      <w:r>
        <w:rPr>
          <w:rFonts w:hint="default"/>
          <w:color w:val="auto"/>
        </w:rPr>
        <w:t>升压站站址</w:t>
      </w:r>
      <w:r>
        <w:rPr>
          <w:rFonts w:hint="eastAsia"/>
          <w:color w:val="auto"/>
          <w:lang w:val="en-US" w:eastAsia="zh-CN"/>
        </w:rPr>
        <w:t>西侧</w:t>
      </w:r>
      <w:r>
        <w:rPr>
          <w:color w:val="auto"/>
        </w:rPr>
        <w:t>工频磁感应强度为</w:t>
      </w:r>
      <w:r>
        <w:rPr>
          <w:rFonts w:hint="eastAsia"/>
          <w:color w:val="auto"/>
          <w:lang w:val="en-US" w:eastAsia="zh-CN"/>
        </w:rPr>
        <w:t>0.0912</w:t>
      </w:r>
      <w:r>
        <w:rPr>
          <w:color w:val="auto"/>
        </w:rPr>
        <w:t>μT</w:t>
      </w:r>
      <w:r>
        <w:rPr>
          <w:rFonts w:hint="eastAsia"/>
          <w:color w:val="auto"/>
          <w:lang w:val="en-US" w:eastAsia="zh-CN"/>
        </w:rPr>
        <w:t>~0.7362</w:t>
      </w:r>
      <w:r>
        <w:rPr>
          <w:color w:val="auto"/>
        </w:rPr>
        <w:t>μT，能满足《电磁环境控制限值》（GB870</w:t>
      </w:r>
      <w:r>
        <w:rPr>
          <w:rFonts w:hint="eastAsia"/>
          <w:color w:val="auto"/>
        </w:rPr>
        <w:t>2</w:t>
      </w:r>
      <w:r>
        <w:rPr>
          <w:color w:val="auto"/>
        </w:rPr>
        <w:t>-</w:t>
      </w:r>
      <w:r>
        <w:rPr>
          <w:rFonts w:hint="eastAsia"/>
          <w:color w:val="auto"/>
        </w:rPr>
        <w:t>2</w:t>
      </w:r>
      <w:r>
        <w:rPr>
          <w:color w:val="auto"/>
        </w:rPr>
        <w:t>014）公众曝露控制限值标准（工频电场4000V/m、工频磁感应强度100μT）的要求。</w:t>
      </w:r>
    </w:p>
    <w:p w14:paraId="053F66A1">
      <w:pPr>
        <w:pStyle w:val="3"/>
        <w:bidi w:val="0"/>
        <w:rPr>
          <w:rFonts w:hint="default"/>
          <w:color w:val="auto"/>
          <w:lang w:val="en-US" w:eastAsia="zh-CN"/>
        </w:rPr>
      </w:pPr>
      <w:r>
        <w:rPr>
          <w:rFonts w:hint="eastAsia"/>
          <w:color w:val="auto"/>
          <w:lang w:val="en-US" w:eastAsia="zh-CN"/>
        </w:rPr>
        <w:t>3.5监测数据引用</w:t>
      </w:r>
    </w:p>
    <w:p w14:paraId="554F686C">
      <w:pPr>
        <w:widowControl/>
        <w:spacing w:line="360" w:lineRule="auto"/>
        <w:ind w:firstLine="480" w:firstLineChars="200"/>
        <w:jc w:val="left"/>
        <w:rPr>
          <w:rFonts w:hint="eastAsia"/>
          <w:color w:val="auto"/>
          <w:sz w:val="24"/>
          <w:lang w:val="en-US" w:eastAsia="zh-CN"/>
        </w:rPr>
      </w:pPr>
      <w:r>
        <w:rPr>
          <w:rFonts w:hint="eastAsia"/>
          <w:color w:val="auto"/>
          <w:sz w:val="24"/>
          <w:lang w:val="en-US" w:eastAsia="zh-CN"/>
        </w:rPr>
        <w:t>升压站站址西侧的工频电场强度较其他点位偏高，分析原因为现场检测时监测点位上方存在升压站220kV出线的干扰，引用西泽风电场一期2024年11月验收监测结果进一步说明升压站现状电磁环境质量现状。</w:t>
      </w:r>
    </w:p>
    <w:p w14:paraId="074F9FA5">
      <w:pPr>
        <w:pStyle w:val="27"/>
        <w:bidi w:val="0"/>
        <w:rPr>
          <w:rFonts w:hint="default"/>
          <w:color w:val="auto"/>
          <w:lang w:val="en-US" w:eastAsia="zh-CN"/>
        </w:rPr>
      </w:pPr>
      <w:r>
        <w:rPr>
          <w:color w:val="auto"/>
        </w:rPr>
        <w:t>表</w:t>
      </w:r>
      <w:r>
        <w:rPr>
          <w:rFonts w:hint="eastAsia"/>
          <w:color w:val="auto"/>
          <w:lang w:val="en-US" w:eastAsia="zh-CN"/>
        </w:rPr>
        <w:t>3-3</w:t>
      </w:r>
      <w:r>
        <w:rPr>
          <w:color w:val="auto"/>
        </w:rPr>
        <w:t xml:space="preserve">  </w:t>
      </w:r>
      <w:r>
        <w:rPr>
          <w:rFonts w:hint="eastAsia"/>
          <w:color w:val="auto"/>
        </w:rPr>
        <w:t>西泽风电场一期</w:t>
      </w:r>
      <w:r>
        <w:rPr>
          <w:rFonts w:hint="eastAsia"/>
          <w:color w:val="auto"/>
          <w:lang w:val="en-US" w:eastAsia="zh-CN"/>
        </w:rPr>
        <w:t>验收</w:t>
      </w:r>
      <w:r>
        <w:rPr>
          <w:color w:val="auto"/>
        </w:rPr>
        <w:t>电磁辐射检测结果一览表</w:t>
      </w:r>
    </w:p>
    <w:tbl>
      <w:tblPr>
        <w:tblStyle w:val="21"/>
        <w:tblW w:w="8598"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2030"/>
        <w:gridCol w:w="1263"/>
        <w:gridCol w:w="2346"/>
        <w:gridCol w:w="2282"/>
      </w:tblGrid>
      <w:tr w14:paraId="072BC5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677" w:type="dxa"/>
            <w:vMerge w:val="restart"/>
            <w:tcBorders>
              <w:tl2br w:val="nil"/>
              <w:tr2bl w:val="nil"/>
            </w:tcBorders>
            <w:vAlign w:val="center"/>
          </w:tcPr>
          <w:p w14:paraId="6D3CAF61">
            <w:pPr>
              <w:pStyle w:val="37"/>
              <w:keepNext w:val="0"/>
              <w:keepLines w:val="0"/>
              <w:suppressLineNumbers w:val="0"/>
              <w:bidi w:val="0"/>
              <w:spacing w:before="0" w:beforeAutospacing="0" w:after="0" w:afterAutospacing="0"/>
              <w:ind w:left="0" w:right="0"/>
              <w:rPr>
                <w:rFonts w:hint="default"/>
                <w:b/>
                <w:bCs/>
                <w:color w:val="auto"/>
                <w:szCs w:val="20"/>
              </w:rPr>
            </w:pPr>
            <w:r>
              <w:rPr>
                <w:rFonts w:hint="eastAsia"/>
                <w:color w:val="auto"/>
                <w:szCs w:val="20"/>
              </w:rPr>
              <w:t>序号</w:t>
            </w:r>
          </w:p>
        </w:tc>
        <w:tc>
          <w:tcPr>
            <w:tcW w:w="2030" w:type="dxa"/>
            <w:vMerge w:val="restart"/>
            <w:tcBorders>
              <w:tl2br w:val="nil"/>
              <w:tr2bl w:val="nil"/>
            </w:tcBorders>
            <w:vAlign w:val="center"/>
          </w:tcPr>
          <w:p w14:paraId="1BB816EE">
            <w:pPr>
              <w:pStyle w:val="37"/>
              <w:keepNext w:val="0"/>
              <w:keepLines w:val="0"/>
              <w:suppressLineNumbers w:val="0"/>
              <w:bidi w:val="0"/>
              <w:spacing w:before="0" w:beforeAutospacing="0" w:after="0" w:afterAutospacing="0"/>
              <w:ind w:left="0" w:right="0"/>
              <w:rPr>
                <w:rFonts w:hint="default"/>
                <w:b/>
                <w:bCs/>
                <w:color w:val="auto"/>
                <w:szCs w:val="20"/>
              </w:rPr>
            </w:pPr>
            <w:r>
              <w:rPr>
                <w:rFonts w:hint="eastAsia"/>
                <w:color w:val="auto"/>
                <w:szCs w:val="20"/>
              </w:rPr>
              <w:t>检测点位</w:t>
            </w:r>
          </w:p>
        </w:tc>
        <w:tc>
          <w:tcPr>
            <w:tcW w:w="1263" w:type="dxa"/>
            <w:vMerge w:val="restart"/>
            <w:tcBorders>
              <w:tl2br w:val="nil"/>
              <w:tr2bl w:val="nil"/>
            </w:tcBorders>
            <w:vAlign w:val="center"/>
          </w:tcPr>
          <w:p w14:paraId="2C70DDA3">
            <w:pPr>
              <w:pStyle w:val="37"/>
              <w:keepNext w:val="0"/>
              <w:keepLines w:val="0"/>
              <w:suppressLineNumbers w:val="0"/>
              <w:bidi w:val="0"/>
              <w:spacing w:before="0" w:beforeAutospacing="0" w:after="0" w:afterAutospacing="0"/>
              <w:ind w:left="0" w:right="0"/>
              <w:rPr>
                <w:rFonts w:hint="default"/>
                <w:b/>
                <w:bCs/>
                <w:color w:val="auto"/>
                <w:szCs w:val="20"/>
              </w:rPr>
            </w:pPr>
            <w:r>
              <w:rPr>
                <w:rFonts w:hint="default"/>
                <w:color w:val="auto"/>
                <w:szCs w:val="20"/>
              </w:rPr>
              <w:t>检测日期</w:t>
            </w:r>
          </w:p>
        </w:tc>
        <w:tc>
          <w:tcPr>
            <w:tcW w:w="4628" w:type="dxa"/>
            <w:gridSpan w:val="2"/>
            <w:tcBorders>
              <w:tl2br w:val="nil"/>
              <w:tr2bl w:val="nil"/>
            </w:tcBorders>
            <w:vAlign w:val="center"/>
          </w:tcPr>
          <w:p w14:paraId="202F4940">
            <w:pPr>
              <w:pStyle w:val="37"/>
              <w:keepNext w:val="0"/>
              <w:keepLines w:val="0"/>
              <w:suppressLineNumbers w:val="0"/>
              <w:bidi w:val="0"/>
              <w:spacing w:before="0" w:beforeAutospacing="0" w:after="0" w:afterAutospacing="0"/>
              <w:ind w:left="0" w:right="0"/>
              <w:rPr>
                <w:rFonts w:hint="default"/>
                <w:b/>
                <w:bCs/>
                <w:color w:val="auto"/>
                <w:szCs w:val="20"/>
              </w:rPr>
            </w:pPr>
            <w:r>
              <w:rPr>
                <w:rFonts w:hint="eastAsia"/>
                <w:color w:val="auto"/>
                <w:szCs w:val="20"/>
                <w:lang w:eastAsia="zh-CN"/>
              </w:rPr>
              <w:t>检</w:t>
            </w:r>
            <w:r>
              <w:rPr>
                <w:rFonts w:hint="eastAsia"/>
                <w:color w:val="auto"/>
                <w:szCs w:val="20"/>
              </w:rPr>
              <w:t>测结果</w:t>
            </w:r>
          </w:p>
        </w:tc>
      </w:tr>
      <w:tr w14:paraId="4B821D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677" w:type="dxa"/>
            <w:vMerge w:val="continue"/>
            <w:tcBorders>
              <w:tl2br w:val="nil"/>
              <w:tr2bl w:val="nil"/>
            </w:tcBorders>
            <w:vAlign w:val="center"/>
          </w:tcPr>
          <w:p w14:paraId="4E7315F5">
            <w:pPr>
              <w:keepNext w:val="0"/>
              <w:keepLines w:val="0"/>
              <w:suppressLineNumbers w:val="0"/>
              <w:bidi w:val="0"/>
              <w:spacing w:before="0" w:beforeAutospacing="0" w:after="0" w:afterAutospacing="0"/>
              <w:ind w:left="0" w:right="0"/>
              <w:rPr>
                <w:rFonts w:hint="default"/>
                <w:b/>
                <w:bCs/>
                <w:color w:val="auto"/>
              </w:rPr>
            </w:pPr>
          </w:p>
        </w:tc>
        <w:tc>
          <w:tcPr>
            <w:tcW w:w="2030" w:type="dxa"/>
            <w:vMerge w:val="continue"/>
            <w:tcBorders>
              <w:tl2br w:val="nil"/>
              <w:tr2bl w:val="nil"/>
            </w:tcBorders>
            <w:vAlign w:val="center"/>
          </w:tcPr>
          <w:p w14:paraId="76B2A21E">
            <w:pPr>
              <w:keepNext w:val="0"/>
              <w:keepLines w:val="0"/>
              <w:suppressLineNumbers w:val="0"/>
              <w:bidi w:val="0"/>
              <w:spacing w:before="0" w:beforeAutospacing="0" w:after="0" w:afterAutospacing="0"/>
              <w:ind w:left="0" w:right="0"/>
              <w:rPr>
                <w:rFonts w:hint="default"/>
                <w:b/>
                <w:bCs/>
                <w:color w:val="auto"/>
              </w:rPr>
            </w:pPr>
          </w:p>
        </w:tc>
        <w:tc>
          <w:tcPr>
            <w:tcW w:w="1263" w:type="dxa"/>
            <w:vMerge w:val="continue"/>
            <w:tcBorders>
              <w:tl2br w:val="nil"/>
              <w:tr2bl w:val="nil"/>
            </w:tcBorders>
            <w:vAlign w:val="center"/>
          </w:tcPr>
          <w:p w14:paraId="7319A30C">
            <w:pPr>
              <w:keepNext w:val="0"/>
              <w:keepLines w:val="0"/>
              <w:suppressLineNumbers w:val="0"/>
              <w:bidi w:val="0"/>
              <w:spacing w:before="0" w:beforeAutospacing="0" w:after="0" w:afterAutospacing="0"/>
              <w:ind w:left="0" w:right="0"/>
              <w:rPr>
                <w:rFonts w:hint="default"/>
                <w:b/>
                <w:bCs/>
                <w:color w:val="auto"/>
              </w:rPr>
            </w:pPr>
          </w:p>
        </w:tc>
        <w:tc>
          <w:tcPr>
            <w:tcW w:w="2346" w:type="dxa"/>
            <w:tcBorders>
              <w:tl2br w:val="nil"/>
              <w:tr2bl w:val="nil"/>
            </w:tcBorders>
            <w:vAlign w:val="center"/>
          </w:tcPr>
          <w:p w14:paraId="28D60B9A">
            <w:pPr>
              <w:pStyle w:val="37"/>
              <w:keepNext w:val="0"/>
              <w:keepLines w:val="0"/>
              <w:suppressLineNumbers w:val="0"/>
              <w:bidi w:val="0"/>
              <w:spacing w:before="0" w:beforeAutospacing="0" w:after="0" w:afterAutospacing="0"/>
              <w:ind w:left="0" w:right="0"/>
              <w:rPr>
                <w:rFonts w:hint="default"/>
                <w:b/>
                <w:bCs/>
                <w:color w:val="auto"/>
                <w:szCs w:val="20"/>
              </w:rPr>
            </w:pPr>
            <w:r>
              <w:rPr>
                <w:rFonts w:hint="eastAsia"/>
                <w:color w:val="auto"/>
                <w:szCs w:val="20"/>
              </w:rPr>
              <w:t>工频电场强度（</w:t>
            </w:r>
            <w:r>
              <w:rPr>
                <w:rFonts w:hint="default"/>
                <w:color w:val="auto"/>
                <w:szCs w:val="20"/>
              </w:rPr>
              <w:t>V/m</w:t>
            </w:r>
            <w:r>
              <w:rPr>
                <w:rFonts w:hint="eastAsia"/>
                <w:color w:val="auto"/>
                <w:szCs w:val="20"/>
              </w:rPr>
              <w:t>）</w:t>
            </w:r>
          </w:p>
        </w:tc>
        <w:tc>
          <w:tcPr>
            <w:tcW w:w="2282" w:type="dxa"/>
            <w:tcBorders>
              <w:tl2br w:val="nil"/>
              <w:tr2bl w:val="nil"/>
            </w:tcBorders>
            <w:vAlign w:val="center"/>
          </w:tcPr>
          <w:p w14:paraId="6377B694">
            <w:pPr>
              <w:pStyle w:val="37"/>
              <w:keepNext w:val="0"/>
              <w:keepLines w:val="0"/>
              <w:suppressLineNumbers w:val="0"/>
              <w:bidi w:val="0"/>
              <w:spacing w:before="0" w:beforeAutospacing="0" w:after="0" w:afterAutospacing="0"/>
              <w:ind w:left="0" w:right="0"/>
              <w:rPr>
                <w:rFonts w:hint="default"/>
                <w:b/>
                <w:bCs/>
                <w:color w:val="auto"/>
                <w:szCs w:val="20"/>
              </w:rPr>
            </w:pPr>
            <w:r>
              <w:rPr>
                <w:rFonts w:hint="eastAsia"/>
                <w:color w:val="auto"/>
                <w:szCs w:val="20"/>
              </w:rPr>
              <w:t>工频磁感应强度（</w:t>
            </w:r>
            <w:r>
              <w:rPr>
                <w:rFonts w:hint="default"/>
                <w:color w:val="auto"/>
                <w:szCs w:val="20"/>
              </w:rPr>
              <w:t>μT</w:t>
            </w:r>
            <w:r>
              <w:rPr>
                <w:rFonts w:hint="eastAsia"/>
                <w:color w:val="auto"/>
                <w:szCs w:val="20"/>
              </w:rPr>
              <w:t>）</w:t>
            </w:r>
          </w:p>
        </w:tc>
      </w:tr>
      <w:tr w14:paraId="3C9982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677" w:type="dxa"/>
            <w:tcBorders>
              <w:tl2br w:val="nil"/>
              <w:tr2bl w:val="nil"/>
            </w:tcBorders>
            <w:shd w:val="clear" w:color="auto" w:fill="auto"/>
            <w:vAlign w:val="center"/>
          </w:tcPr>
          <w:p w14:paraId="54BCDA72">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1</w:t>
            </w:r>
          </w:p>
        </w:tc>
        <w:tc>
          <w:tcPr>
            <w:tcW w:w="2030" w:type="dxa"/>
            <w:tcBorders>
              <w:tl2br w:val="nil"/>
              <w:tr2bl w:val="nil"/>
            </w:tcBorders>
            <w:shd w:val="clear" w:color="auto" w:fill="auto"/>
            <w:vAlign w:val="center"/>
          </w:tcPr>
          <w:p w14:paraId="2D6F261D">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升压站站址东侧</w:t>
            </w:r>
          </w:p>
        </w:tc>
        <w:tc>
          <w:tcPr>
            <w:tcW w:w="1263" w:type="dxa"/>
            <w:tcBorders>
              <w:tl2br w:val="nil"/>
              <w:tr2bl w:val="nil"/>
            </w:tcBorders>
            <w:shd w:val="clear" w:color="auto" w:fill="auto"/>
            <w:vAlign w:val="center"/>
          </w:tcPr>
          <w:p w14:paraId="30773FD1">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204.8.20</w:t>
            </w:r>
          </w:p>
        </w:tc>
        <w:tc>
          <w:tcPr>
            <w:tcW w:w="2346" w:type="dxa"/>
            <w:tcBorders>
              <w:tl2br w:val="nil"/>
              <w:tr2bl w:val="nil"/>
            </w:tcBorders>
            <w:vAlign w:val="center"/>
          </w:tcPr>
          <w:p w14:paraId="629707E7">
            <w:pPr>
              <w:pStyle w:val="55"/>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20.43</w:t>
            </w:r>
          </w:p>
        </w:tc>
        <w:tc>
          <w:tcPr>
            <w:tcW w:w="2282" w:type="dxa"/>
            <w:tcBorders>
              <w:tl2br w:val="nil"/>
              <w:tr2bl w:val="nil"/>
            </w:tcBorders>
            <w:vAlign w:val="center"/>
          </w:tcPr>
          <w:p w14:paraId="4FF47F8A">
            <w:pPr>
              <w:pStyle w:val="55"/>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0.1096</w:t>
            </w:r>
          </w:p>
        </w:tc>
      </w:tr>
      <w:tr w14:paraId="771F46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677" w:type="dxa"/>
            <w:tcBorders>
              <w:tl2br w:val="nil"/>
              <w:tr2bl w:val="nil"/>
            </w:tcBorders>
            <w:shd w:val="clear" w:color="auto" w:fill="auto"/>
            <w:vAlign w:val="center"/>
          </w:tcPr>
          <w:p w14:paraId="12A371A1">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2</w:t>
            </w:r>
          </w:p>
        </w:tc>
        <w:tc>
          <w:tcPr>
            <w:tcW w:w="2030" w:type="dxa"/>
            <w:tcBorders>
              <w:tl2br w:val="nil"/>
              <w:tr2bl w:val="nil"/>
            </w:tcBorders>
            <w:shd w:val="clear" w:color="auto" w:fill="auto"/>
            <w:vAlign w:val="center"/>
          </w:tcPr>
          <w:p w14:paraId="277EDE4C">
            <w:pPr>
              <w:pStyle w:val="37"/>
              <w:keepNext w:val="0"/>
              <w:keepLines w:val="0"/>
              <w:suppressLineNumbers w:val="0"/>
              <w:bidi w:val="0"/>
              <w:spacing w:before="0" w:beforeAutospacing="0" w:after="0" w:afterAutospacing="0"/>
              <w:ind w:left="0" w:right="0"/>
              <w:rPr>
                <w:rFonts w:hint="eastAsia"/>
                <w:color w:val="auto"/>
                <w:szCs w:val="20"/>
                <w:lang w:val="en-US" w:eastAsia="zh-CN"/>
              </w:rPr>
            </w:pPr>
            <w:r>
              <w:rPr>
                <w:rFonts w:hint="eastAsia"/>
                <w:color w:val="auto"/>
                <w:szCs w:val="20"/>
                <w:lang w:val="en-US" w:eastAsia="zh-CN"/>
              </w:rPr>
              <w:t>升压站站址南侧</w:t>
            </w:r>
          </w:p>
        </w:tc>
        <w:tc>
          <w:tcPr>
            <w:tcW w:w="1263" w:type="dxa"/>
            <w:tcBorders>
              <w:tl2br w:val="nil"/>
              <w:tr2bl w:val="nil"/>
            </w:tcBorders>
            <w:shd w:val="clear" w:color="auto" w:fill="auto"/>
            <w:vAlign w:val="center"/>
          </w:tcPr>
          <w:p w14:paraId="3FDF3C76">
            <w:pPr>
              <w:pStyle w:val="37"/>
              <w:keepNext w:val="0"/>
              <w:keepLines w:val="0"/>
              <w:suppressLineNumbers w:val="0"/>
              <w:bidi w:val="0"/>
              <w:spacing w:before="0" w:beforeAutospacing="0" w:after="0" w:afterAutospacing="0"/>
              <w:ind w:left="0" w:right="0"/>
              <w:rPr>
                <w:rFonts w:hint="eastAsia"/>
                <w:color w:val="auto"/>
                <w:szCs w:val="20"/>
                <w:lang w:val="en-US" w:eastAsia="zh-CN"/>
              </w:rPr>
            </w:pPr>
            <w:r>
              <w:rPr>
                <w:rFonts w:hint="eastAsia"/>
                <w:color w:val="auto"/>
                <w:szCs w:val="20"/>
                <w:lang w:val="en-US" w:eastAsia="zh-CN"/>
              </w:rPr>
              <w:t>204.8.20</w:t>
            </w:r>
          </w:p>
        </w:tc>
        <w:tc>
          <w:tcPr>
            <w:tcW w:w="2346" w:type="dxa"/>
            <w:tcBorders>
              <w:tl2br w:val="nil"/>
              <w:tr2bl w:val="nil"/>
            </w:tcBorders>
            <w:vAlign w:val="center"/>
          </w:tcPr>
          <w:p w14:paraId="2F4C8FAF">
            <w:pPr>
              <w:pStyle w:val="55"/>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33.27</w:t>
            </w:r>
          </w:p>
        </w:tc>
        <w:tc>
          <w:tcPr>
            <w:tcW w:w="2282" w:type="dxa"/>
            <w:tcBorders>
              <w:tl2br w:val="nil"/>
              <w:tr2bl w:val="nil"/>
            </w:tcBorders>
            <w:vAlign w:val="center"/>
          </w:tcPr>
          <w:p w14:paraId="73057FD4">
            <w:pPr>
              <w:pStyle w:val="55"/>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0.1455</w:t>
            </w:r>
          </w:p>
        </w:tc>
      </w:tr>
      <w:tr w14:paraId="46E92F6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677" w:type="dxa"/>
            <w:tcBorders>
              <w:tl2br w:val="nil"/>
              <w:tr2bl w:val="nil"/>
            </w:tcBorders>
            <w:shd w:val="clear" w:color="auto" w:fill="auto"/>
            <w:vAlign w:val="center"/>
          </w:tcPr>
          <w:p w14:paraId="1C5C5149">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3</w:t>
            </w:r>
          </w:p>
        </w:tc>
        <w:tc>
          <w:tcPr>
            <w:tcW w:w="2030" w:type="dxa"/>
            <w:tcBorders>
              <w:tl2br w:val="nil"/>
              <w:tr2bl w:val="nil"/>
            </w:tcBorders>
            <w:shd w:val="clear" w:color="auto" w:fill="auto"/>
            <w:vAlign w:val="center"/>
          </w:tcPr>
          <w:p w14:paraId="0667E827">
            <w:pPr>
              <w:pStyle w:val="37"/>
              <w:keepNext w:val="0"/>
              <w:keepLines w:val="0"/>
              <w:suppressLineNumbers w:val="0"/>
              <w:bidi w:val="0"/>
              <w:spacing w:before="0" w:beforeAutospacing="0" w:after="0" w:afterAutospacing="0"/>
              <w:ind w:left="0" w:right="0"/>
              <w:rPr>
                <w:rFonts w:hint="eastAsia"/>
                <w:color w:val="auto"/>
                <w:szCs w:val="20"/>
                <w:lang w:val="en-US" w:eastAsia="zh-CN"/>
              </w:rPr>
            </w:pPr>
            <w:r>
              <w:rPr>
                <w:rFonts w:hint="eastAsia"/>
                <w:color w:val="auto"/>
                <w:szCs w:val="20"/>
                <w:lang w:val="en-US" w:eastAsia="zh-CN"/>
              </w:rPr>
              <w:t>升压站站址西侧</w:t>
            </w:r>
          </w:p>
        </w:tc>
        <w:tc>
          <w:tcPr>
            <w:tcW w:w="1263" w:type="dxa"/>
            <w:tcBorders>
              <w:tl2br w:val="nil"/>
              <w:tr2bl w:val="nil"/>
            </w:tcBorders>
            <w:shd w:val="clear" w:color="auto" w:fill="auto"/>
            <w:vAlign w:val="center"/>
          </w:tcPr>
          <w:p w14:paraId="5D8251F6">
            <w:pPr>
              <w:pStyle w:val="37"/>
              <w:keepNext w:val="0"/>
              <w:keepLines w:val="0"/>
              <w:suppressLineNumbers w:val="0"/>
              <w:bidi w:val="0"/>
              <w:spacing w:before="0" w:beforeAutospacing="0" w:after="0" w:afterAutospacing="0"/>
              <w:ind w:left="0" w:right="0"/>
              <w:rPr>
                <w:rFonts w:hint="eastAsia"/>
                <w:color w:val="auto"/>
                <w:szCs w:val="20"/>
                <w:lang w:val="en-US" w:eastAsia="zh-CN"/>
              </w:rPr>
            </w:pPr>
            <w:r>
              <w:rPr>
                <w:rFonts w:hint="eastAsia"/>
                <w:color w:val="auto"/>
                <w:szCs w:val="20"/>
                <w:lang w:val="en-US" w:eastAsia="zh-CN"/>
              </w:rPr>
              <w:t>204.8.20</w:t>
            </w:r>
          </w:p>
        </w:tc>
        <w:tc>
          <w:tcPr>
            <w:tcW w:w="2346" w:type="dxa"/>
            <w:tcBorders>
              <w:tl2br w:val="nil"/>
              <w:tr2bl w:val="nil"/>
            </w:tcBorders>
            <w:vAlign w:val="center"/>
          </w:tcPr>
          <w:p w14:paraId="26B3B7E4">
            <w:pPr>
              <w:pStyle w:val="55"/>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40.16</w:t>
            </w:r>
          </w:p>
        </w:tc>
        <w:tc>
          <w:tcPr>
            <w:tcW w:w="2282" w:type="dxa"/>
            <w:tcBorders>
              <w:tl2br w:val="nil"/>
              <w:tr2bl w:val="nil"/>
            </w:tcBorders>
            <w:vAlign w:val="center"/>
          </w:tcPr>
          <w:p w14:paraId="1780AB9A">
            <w:pPr>
              <w:pStyle w:val="55"/>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0.1188</w:t>
            </w:r>
          </w:p>
        </w:tc>
      </w:tr>
      <w:tr w14:paraId="38968E5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677" w:type="dxa"/>
            <w:tcBorders>
              <w:tl2br w:val="nil"/>
              <w:tr2bl w:val="nil"/>
            </w:tcBorders>
            <w:shd w:val="clear" w:color="auto" w:fill="auto"/>
            <w:vAlign w:val="center"/>
          </w:tcPr>
          <w:p w14:paraId="2B63604D">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4</w:t>
            </w:r>
          </w:p>
        </w:tc>
        <w:tc>
          <w:tcPr>
            <w:tcW w:w="2030" w:type="dxa"/>
            <w:tcBorders>
              <w:tl2br w:val="nil"/>
              <w:tr2bl w:val="nil"/>
            </w:tcBorders>
            <w:shd w:val="clear" w:color="auto" w:fill="auto"/>
            <w:vAlign w:val="center"/>
          </w:tcPr>
          <w:p w14:paraId="692D8758">
            <w:pPr>
              <w:pStyle w:val="37"/>
              <w:keepNext w:val="0"/>
              <w:keepLines w:val="0"/>
              <w:suppressLineNumbers w:val="0"/>
              <w:bidi w:val="0"/>
              <w:spacing w:before="0" w:beforeAutospacing="0" w:after="0" w:afterAutospacing="0"/>
              <w:ind w:left="0" w:right="0"/>
              <w:rPr>
                <w:rFonts w:hint="eastAsia"/>
                <w:color w:val="auto"/>
                <w:szCs w:val="20"/>
                <w:lang w:val="en-US" w:eastAsia="zh-CN"/>
              </w:rPr>
            </w:pPr>
            <w:r>
              <w:rPr>
                <w:rFonts w:hint="eastAsia"/>
                <w:color w:val="auto"/>
                <w:szCs w:val="20"/>
                <w:lang w:val="en-US" w:eastAsia="zh-CN"/>
              </w:rPr>
              <w:t>升压站站址北侧</w:t>
            </w:r>
          </w:p>
        </w:tc>
        <w:tc>
          <w:tcPr>
            <w:tcW w:w="1263" w:type="dxa"/>
            <w:tcBorders>
              <w:tl2br w:val="nil"/>
              <w:tr2bl w:val="nil"/>
            </w:tcBorders>
            <w:shd w:val="clear" w:color="auto" w:fill="auto"/>
            <w:vAlign w:val="center"/>
          </w:tcPr>
          <w:p w14:paraId="58043E1C">
            <w:pPr>
              <w:pStyle w:val="37"/>
              <w:keepNext w:val="0"/>
              <w:keepLines w:val="0"/>
              <w:suppressLineNumbers w:val="0"/>
              <w:bidi w:val="0"/>
              <w:spacing w:before="0" w:beforeAutospacing="0" w:after="0" w:afterAutospacing="0"/>
              <w:ind w:left="0" w:right="0"/>
              <w:rPr>
                <w:rFonts w:hint="eastAsia"/>
                <w:color w:val="auto"/>
                <w:szCs w:val="20"/>
                <w:lang w:val="en-US" w:eastAsia="zh-CN"/>
              </w:rPr>
            </w:pPr>
            <w:r>
              <w:rPr>
                <w:rFonts w:hint="eastAsia"/>
                <w:color w:val="auto"/>
                <w:szCs w:val="20"/>
                <w:lang w:val="en-US" w:eastAsia="zh-CN"/>
              </w:rPr>
              <w:t>204.8.20</w:t>
            </w:r>
          </w:p>
        </w:tc>
        <w:tc>
          <w:tcPr>
            <w:tcW w:w="2346" w:type="dxa"/>
            <w:tcBorders>
              <w:tl2br w:val="nil"/>
              <w:tr2bl w:val="nil"/>
            </w:tcBorders>
            <w:vAlign w:val="center"/>
          </w:tcPr>
          <w:p w14:paraId="0BFD1884">
            <w:pPr>
              <w:pStyle w:val="55"/>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164</w:t>
            </w:r>
          </w:p>
        </w:tc>
        <w:tc>
          <w:tcPr>
            <w:tcW w:w="2282" w:type="dxa"/>
            <w:tcBorders>
              <w:tl2br w:val="nil"/>
              <w:tr2bl w:val="nil"/>
            </w:tcBorders>
            <w:vAlign w:val="center"/>
          </w:tcPr>
          <w:p w14:paraId="3DE4E2B4">
            <w:pPr>
              <w:pStyle w:val="55"/>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0.1803</w:t>
            </w:r>
          </w:p>
        </w:tc>
      </w:tr>
      <w:tr w14:paraId="3B9122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677" w:type="dxa"/>
            <w:tcBorders>
              <w:tl2br w:val="nil"/>
              <w:tr2bl w:val="nil"/>
            </w:tcBorders>
            <w:shd w:val="clear" w:color="auto" w:fill="auto"/>
            <w:vAlign w:val="center"/>
          </w:tcPr>
          <w:p w14:paraId="69807371">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5</w:t>
            </w:r>
          </w:p>
        </w:tc>
        <w:tc>
          <w:tcPr>
            <w:tcW w:w="2030" w:type="dxa"/>
            <w:tcBorders>
              <w:tl2br w:val="nil"/>
              <w:tr2bl w:val="nil"/>
            </w:tcBorders>
            <w:shd w:val="clear" w:color="auto" w:fill="auto"/>
            <w:vAlign w:val="center"/>
          </w:tcPr>
          <w:p w14:paraId="27CE52F7">
            <w:pPr>
              <w:pStyle w:val="37"/>
              <w:keepNext w:val="0"/>
              <w:keepLines w:val="0"/>
              <w:suppressLineNumbers w:val="0"/>
              <w:bidi w:val="0"/>
              <w:spacing w:before="0" w:beforeAutospacing="0" w:after="0" w:afterAutospacing="0"/>
              <w:ind w:left="0" w:leftChars="0" w:right="0" w:rightChars="0"/>
              <w:rPr>
                <w:rFonts w:hint="eastAsia"/>
                <w:color w:val="auto"/>
                <w:szCs w:val="20"/>
                <w:lang w:val="en-US" w:eastAsia="zh-CN"/>
              </w:rPr>
            </w:pPr>
            <w:r>
              <w:rPr>
                <w:rFonts w:hint="eastAsia"/>
                <w:color w:val="auto"/>
                <w:szCs w:val="20"/>
                <w:lang w:val="en-US" w:eastAsia="zh-CN"/>
              </w:rPr>
              <w:t>升压站站址东侧</w:t>
            </w:r>
          </w:p>
        </w:tc>
        <w:tc>
          <w:tcPr>
            <w:tcW w:w="1263" w:type="dxa"/>
            <w:tcBorders>
              <w:tl2br w:val="nil"/>
              <w:tr2bl w:val="nil"/>
            </w:tcBorders>
            <w:shd w:val="clear" w:color="auto" w:fill="auto"/>
            <w:vAlign w:val="center"/>
          </w:tcPr>
          <w:p w14:paraId="21D57B69">
            <w:pPr>
              <w:pStyle w:val="37"/>
              <w:keepNext w:val="0"/>
              <w:keepLines w:val="0"/>
              <w:suppressLineNumbers w:val="0"/>
              <w:bidi w:val="0"/>
              <w:spacing w:before="0" w:beforeAutospacing="0" w:after="0" w:afterAutospacing="0"/>
              <w:ind w:left="0" w:leftChars="0" w:right="0" w:rightChars="0"/>
              <w:rPr>
                <w:rFonts w:hint="eastAsia"/>
                <w:color w:val="auto"/>
                <w:szCs w:val="20"/>
                <w:lang w:val="en-US" w:eastAsia="zh-CN"/>
              </w:rPr>
            </w:pPr>
            <w:r>
              <w:rPr>
                <w:rFonts w:hint="eastAsia"/>
                <w:color w:val="auto"/>
                <w:szCs w:val="20"/>
                <w:lang w:val="en-US" w:eastAsia="zh-CN"/>
              </w:rPr>
              <w:t>204.8.21</w:t>
            </w:r>
          </w:p>
        </w:tc>
        <w:tc>
          <w:tcPr>
            <w:tcW w:w="2346" w:type="dxa"/>
            <w:tcBorders>
              <w:tl2br w:val="nil"/>
              <w:tr2bl w:val="nil"/>
            </w:tcBorders>
            <w:vAlign w:val="center"/>
          </w:tcPr>
          <w:p w14:paraId="643AAF30">
            <w:pPr>
              <w:pStyle w:val="55"/>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14.71</w:t>
            </w:r>
          </w:p>
        </w:tc>
        <w:tc>
          <w:tcPr>
            <w:tcW w:w="2282" w:type="dxa"/>
            <w:tcBorders>
              <w:tl2br w:val="nil"/>
              <w:tr2bl w:val="nil"/>
            </w:tcBorders>
            <w:vAlign w:val="center"/>
          </w:tcPr>
          <w:p w14:paraId="1DA6A0B2">
            <w:pPr>
              <w:pStyle w:val="55"/>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0.0391</w:t>
            </w:r>
          </w:p>
        </w:tc>
      </w:tr>
      <w:tr w14:paraId="417044D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677" w:type="dxa"/>
            <w:tcBorders>
              <w:tl2br w:val="nil"/>
              <w:tr2bl w:val="nil"/>
            </w:tcBorders>
            <w:shd w:val="clear" w:color="auto" w:fill="auto"/>
            <w:vAlign w:val="center"/>
          </w:tcPr>
          <w:p w14:paraId="36D099FD">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6</w:t>
            </w:r>
          </w:p>
        </w:tc>
        <w:tc>
          <w:tcPr>
            <w:tcW w:w="2030" w:type="dxa"/>
            <w:tcBorders>
              <w:tl2br w:val="nil"/>
              <w:tr2bl w:val="nil"/>
            </w:tcBorders>
            <w:shd w:val="clear" w:color="auto" w:fill="auto"/>
            <w:vAlign w:val="center"/>
          </w:tcPr>
          <w:p w14:paraId="025EFE63">
            <w:pPr>
              <w:pStyle w:val="37"/>
              <w:keepNext w:val="0"/>
              <w:keepLines w:val="0"/>
              <w:suppressLineNumbers w:val="0"/>
              <w:bidi w:val="0"/>
              <w:spacing w:before="0" w:beforeAutospacing="0" w:after="0" w:afterAutospacing="0"/>
              <w:ind w:left="0" w:leftChars="0" w:right="0" w:rightChars="0"/>
              <w:rPr>
                <w:rFonts w:hint="eastAsia"/>
                <w:color w:val="auto"/>
                <w:szCs w:val="20"/>
                <w:lang w:val="en-US" w:eastAsia="zh-CN"/>
              </w:rPr>
            </w:pPr>
            <w:r>
              <w:rPr>
                <w:rFonts w:hint="eastAsia"/>
                <w:color w:val="auto"/>
                <w:szCs w:val="20"/>
                <w:lang w:val="en-US" w:eastAsia="zh-CN"/>
              </w:rPr>
              <w:t>升压站站址南侧</w:t>
            </w:r>
          </w:p>
        </w:tc>
        <w:tc>
          <w:tcPr>
            <w:tcW w:w="1263" w:type="dxa"/>
            <w:tcBorders>
              <w:tl2br w:val="nil"/>
              <w:tr2bl w:val="nil"/>
            </w:tcBorders>
            <w:shd w:val="clear" w:color="auto" w:fill="auto"/>
            <w:vAlign w:val="center"/>
          </w:tcPr>
          <w:p w14:paraId="5CB71281">
            <w:pPr>
              <w:pStyle w:val="37"/>
              <w:keepNext w:val="0"/>
              <w:keepLines w:val="0"/>
              <w:suppressLineNumbers w:val="0"/>
              <w:bidi w:val="0"/>
              <w:spacing w:before="0" w:beforeAutospacing="0" w:after="0" w:afterAutospacing="0"/>
              <w:ind w:left="0" w:leftChars="0" w:right="0" w:rightChars="0"/>
              <w:rPr>
                <w:rFonts w:hint="eastAsia"/>
                <w:color w:val="auto"/>
                <w:szCs w:val="20"/>
                <w:lang w:val="en-US" w:eastAsia="zh-CN"/>
              </w:rPr>
            </w:pPr>
            <w:r>
              <w:rPr>
                <w:rFonts w:hint="eastAsia"/>
                <w:color w:val="auto"/>
                <w:szCs w:val="20"/>
                <w:lang w:val="en-US" w:eastAsia="zh-CN"/>
              </w:rPr>
              <w:t>204.8.21</w:t>
            </w:r>
          </w:p>
        </w:tc>
        <w:tc>
          <w:tcPr>
            <w:tcW w:w="2346" w:type="dxa"/>
            <w:tcBorders>
              <w:tl2br w:val="nil"/>
              <w:tr2bl w:val="nil"/>
            </w:tcBorders>
            <w:vAlign w:val="center"/>
          </w:tcPr>
          <w:p w14:paraId="51277A60">
            <w:pPr>
              <w:pStyle w:val="55"/>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22.75</w:t>
            </w:r>
          </w:p>
        </w:tc>
        <w:tc>
          <w:tcPr>
            <w:tcW w:w="2282" w:type="dxa"/>
            <w:tcBorders>
              <w:tl2br w:val="nil"/>
              <w:tr2bl w:val="nil"/>
            </w:tcBorders>
            <w:vAlign w:val="center"/>
          </w:tcPr>
          <w:p w14:paraId="514BFD04">
            <w:pPr>
              <w:pStyle w:val="55"/>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0.1158</w:t>
            </w:r>
          </w:p>
        </w:tc>
      </w:tr>
      <w:tr w14:paraId="647CB9F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677" w:type="dxa"/>
            <w:tcBorders>
              <w:tl2br w:val="nil"/>
              <w:tr2bl w:val="nil"/>
            </w:tcBorders>
            <w:shd w:val="clear" w:color="auto" w:fill="auto"/>
            <w:vAlign w:val="center"/>
          </w:tcPr>
          <w:p w14:paraId="6E6E1CE3">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7</w:t>
            </w:r>
          </w:p>
        </w:tc>
        <w:tc>
          <w:tcPr>
            <w:tcW w:w="2030" w:type="dxa"/>
            <w:tcBorders>
              <w:tl2br w:val="nil"/>
              <w:tr2bl w:val="nil"/>
            </w:tcBorders>
            <w:shd w:val="clear" w:color="auto" w:fill="auto"/>
            <w:vAlign w:val="center"/>
          </w:tcPr>
          <w:p w14:paraId="42124CE0">
            <w:pPr>
              <w:pStyle w:val="37"/>
              <w:keepNext w:val="0"/>
              <w:keepLines w:val="0"/>
              <w:suppressLineNumbers w:val="0"/>
              <w:bidi w:val="0"/>
              <w:spacing w:before="0" w:beforeAutospacing="0" w:after="0" w:afterAutospacing="0"/>
              <w:ind w:left="0" w:leftChars="0" w:right="0" w:rightChars="0"/>
              <w:rPr>
                <w:rFonts w:hint="eastAsia"/>
                <w:color w:val="auto"/>
                <w:szCs w:val="20"/>
                <w:lang w:val="en-US" w:eastAsia="zh-CN"/>
              </w:rPr>
            </w:pPr>
            <w:r>
              <w:rPr>
                <w:rFonts w:hint="eastAsia"/>
                <w:color w:val="auto"/>
                <w:szCs w:val="20"/>
                <w:lang w:val="en-US" w:eastAsia="zh-CN"/>
              </w:rPr>
              <w:t>升压站站址西侧</w:t>
            </w:r>
          </w:p>
        </w:tc>
        <w:tc>
          <w:tcPr>
            <w:tcW w:w="1263" w:type="dxa"/>
            <w:tcBorders>
              <w:tl2br w:val="nil"/>
              <w:tr2bl w:val="nil"/>
            </w:tcBorders>
            <w:shd w:val="clear" w:color="auto" w:fill="auto"/>
            <w:vAlign w:val="center"/>
          </w:tcPr>
          <w:p w14:paraId="582EB492">
            <w:pPr>
              <w:pStyle w:val="37"/>
              <w:keepNext w:val="0"/>
              <w:keepLines w:val="0"/>
              <w:suppressLineNumbers w:val="0"/>
              <w:bidi w:val="0"/>
              <w:spacing w:before="0" w:beforeAutospacing="0" w:after="0" w:afterAutospacing="0"/>
              <w:ind w:left="0" w:leftChars="0" w:right="0" w:rightChars="0"/>
              <w:rPr>
                <w:rFonts w:hint="eastAsia"/>
                <w:color w:val="auto"/>
                <w:szCs w:val="20"/>
                <w:lang w:val="en-US" w:eastAsia="zh-CN"/>
              </w:rPr>
            </w:pPr>
            <w:r>
              <w:rPr>
                <w:rFonts w:hint="eastAsia"/>
                <w:color w:val="auto"/>
                <w:szCs w:val="20"/>
                <w:lang w:val="en-US" w:eastAsia="zh-CN"/>
              </w:rPr>
              <w:t>204.8.21</w:t>
            </w:r>
          </w:p>
        </w:tc>
        <w:tc>
          <w:tcPr>
            <w:tcW w:w="2346" w:type="dxa"/>
            <w:tcBorders>
              <w:tl2br w:val="nil"/>
              <w:tr2bl w:val="nil"/>
            </w:tcBorders>
            <w:vAlign w:val="center"/>
          </w:tcPr>
          <w:p w14:paraId="6D847573">
            <w:pPr>
              <w:pStyle w:val="55"/>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50.31</w:t>
            </w:r>
          </w:p>
        </w:tc>
        <w:tc>
          <w:tcPr>
            <w:tcW w:w="2282" w:type="dxa"/>
            <w:tcBorders>
              <w:tl2br w:val="nil"/>
              <w:tr2bl w:val="nil"/>
            </w:tcBorders>
            <w:vAlign w:val="center"/>
          </w:tcPr>
          <w:p w14:paraId="5A896BBA">
            <w:pPr>
              <w:pStyle w:val="55"/>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0.1666</w:t>
            </w:r>
          </w:p>
        </w:tc>
      </w:tr>
      <w:tr w14:paraId="2643A1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677" w:type="dxa"/>
            <w:tcBorders>
              <w:tl2br w:val="nil"/>
              <w:tr2bl w:val="nil"/>
            </w:tcBorders>
            <w:shd w:val="clear" w:color="auto" w:fill="auto"/>
            <w:vAlign w:val="center"/>
          </w:tcPr>
          <w:p w14:paraId="2E39D265">
            <w:pPr>
              <w:pStyle w:val="37"/>
              <w:keepNext w:val="0"/>
              <w:keepLines w:val="0"/>
              <w:suppressLineNumbers w:val="0"/>
              <w:bidi w:val="0"/>
              <w:spacing w:before="0" w:beforeAutospacing="0" w:after="0" w:afterAutospacing="0"/>
              <w:ind w:left="0" w:right="0"/>
              <w:rPr>
                <w:rFonts w:hint="default"/>
                <w:color w:val="auto"/>
                <w:szCs w:val="20"/>
                <w:lang w:val="en-US" w:eastAsia="zh-CN"/>
              </w:rPr>
            </w:pPr>
            <w:r>
              <w:rPr>
                <w:rFonts w:hint="eastAsia"/>
                <w:color w:val="auto"/>
                <w:szCs w:val="20"/>
                <w:lang w:val="en-US" w:eastAsia="zh-CN"/>
              </w:rPr>
              <w:t>8</w:t>
            </w:r>
          </w:p>
        </w:tc>
        <w:tc>
          <w:tcPr>
            <w:tcW w:w="2030" w:type="dxa"/>
            <w:tcBorders>
              <w:tl2br w:val="nil"/>
              <w:tr2bl w:val="nil"/>
            </w:tcBorders>
            <w:shd w:val="clear" w:color="auto" w:fill="auto"/>
            <w:vAlign w:val="center"/>
          </w:tcPr>
          <w:p w14:paraId="1B5BFA3A">
            <w:pPr>
              <w:pStyle w:val="37"/>
              <w:keepNext w:val="0"/>
              <w:keepLines w:val="0"/>
              <w:suppressLineNumbers w:val="0"/>
              <w:bidi w:val="0"/>
              <w:spacing w:before="0" w:beforeAutospacing="0" w:after="0" w:afterAutospacing="0"/>
              <w:ind w:left="0" w:leftChars="0" w:right="0" w:rightChars="0"/>
              <w:rPr>
                <w:rFonts w:hint="eastAsia"/>
                <w:color w:val="auto"/>
                <w:szCs w:val="20"/>
                <w:lang w:val="en-US" w:eastAsia="zh-CN"/>
              </w:rPr>
            </w:pPr>
            <w:r>
              <w:rPr>
                <w:rFonts w:hint="eastAsia"/>
                <w:color w:val="auto"/>
                <w:szCs w:val="20"/>
                <w:lang w:val="en-US" w:eastAsia="zh-CN"/>
              </w:rPr>
              <w:t>升压站站址北侧</w:t>
            </w:r>
          </w:p>
        </w:tc>
        <w:tc>
          <w:tcPr>
            <w:tcW w:w="1263" w:type="dxa"/>
            <w:tcBorders>
              <w:tl2br w:val="nil"/>
              <w:tr2bl w:val="nil"/>
            </w:tcBorders>
            <w:shd w:val="clear" w:color="auto" w:fill="auto"/>
            <w:vAlign w:val="center"/>
          </w:tcPr>
          <w:p w14:paraId="3B187713">
            <w:pPr>
              <w:pStyle w:val="37"/>
              <w:keepNext w:val="0"/>
              <w:keepLines w:val="0"/>
              <w:suppressLineNumbers w:val="0"/>
              <w:bidi w:val="0"/>
              <w:spacing w:before="0" w:beforeAutospacing="0" w:after="0" w:afterAutospacing="0"/>
              <w:ind w:left="0" w:leftChars="0" w:right="0" w:rightChars="0"/>
              <w:rPr>
                <w:rFonts w:hint="eastAsia"/>
                <w:color w:val="auto"/>
                <w:szCs w:val="20"/>
                <w:lang w:val="en-US" w:eastAsia="zh-CN"/>
              </w:rPr>
            </w:pPr>
            <w:r>
              <w:rPr>
                <w:rFonts w:hint="eastAsia"/>
                <w:color w:val="auto"/>
                <w:szCs w:val="20"/>
                <w:lang w:val="en-US" w:eastAsia="zh-CN"/>
              </w:rPr>
              <w:t>204.8.21</w:t>
            </w:r>
          </w:p>
        </w:tc>
        <w:tc>
          <w:tcPr>
            <w:tcW w:w="2346" w:type="dxa"/>
            <w:tcBorders>
              <w:tl2br w:val="nil"/>
              <w:tr2bl w:val="nil"/>
            </w:tcBorders>
            <w:vAlign w:val="center"/>
          </w:tcPr>
          <w:p w14:paraId="6E9986CD">
            <w:pPr>
              <w:pStyle w:val="55"/>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153.45</w:t>
            </w:r>
          </w:p>
        </w:tc>
        <w:tc>
          <w:tcPr>
            <w:tcW w:w="2282" w:type="dxa"/>
            <w:tcBorders>
              <w:tl2br w:val="nil"/>
              <w:tr2bl w:val="nil"/>
            </w:tcBorders>
            <w:vAlign w:val="center"/>
          </w:tcPr>
          <w:p w14:paraId="2AE41799">
            <w:pPr>
              <w:pStyle w:val="55"/>
              <w:keepNext w:val="0"/>
              <w:keepLines w:val="0"/>
              <w:suppressLineNumbers w:val="0"/>
              <w:bidi w:val="0"/>
              <w:spacing w:before="0" w:beforeAutospacing="0" w:after="0" w:afterAutospacing="0"/>
              <w:ind w:left="0" w:right="0"/>
              <w:rPr>
                <w:rFonts w:hint="eastAsia"/>
                <w:color w:val="auto"/>
                <w:lang w:val="en-US" w:eastAsia="zh-CN"/>
              </w:rPr>
            </w:pPr>
            <w:r>
              <w:rPr>
                <w:rFonts w:hint="eastAsia"/>
                <w:color w:val="auto"/>
                <w:lang w:val="en-US" w:eastAsia="zh-CN"/>
              </w:rPr>
              <w:t>0.1901</w:t>
            </w:r>
          </w:p>
        </w:tc>
      </w:tr>
    </w:tbl>
    <w:p w14:paraId="75BEC657">
      <w:pPr>
        <w:pStyle w:val="19"/>
        <w:bidi w:val="0"/>
        <w:rPr>
          <w:rFonts w:hint="eastAsia"/>
          <w:color w:val="auto"/>
          <w:lang w:val="en-US" w:eastAsia="zh-CN"/>
        </w:rPr>
      </w:pPr>
      <w:r>
        <w:rPr>
          <w:rFonts w:hint="eastAsia"/>
          <w:color w:val="auto"/>
          <w:lang w:val="en-US" w:eastAsia="zh-CN"/>
        </w:rPr>
        <w:t>依据西泽风电场一期验收电磁辐射检测结果，</w:t>
      </w:r>
      <w:r>
        <w:rPr>
          <w:rFonts w:hint="default"/>
          <w:color w:val="auto"/>
        </w:rPr>
        <w:t>升压站</w:t>
      </w:r>
      <w:r>
        <w:rPr>
          <w:rFonts w:hint="eastAsia"/>
          <w:color w:val="auto"/>
          <w:lang w:val="en-US" w:eastAsia="zh-CN"/>
        </w:rPr>
        <w:t>西</w:t>
      </w:r>
      <w:r>
        <w:rPr>
          <w:rFonts w:hint="eastAsia"/>
          <w:color w:val="auto"/>
        </w:rPr>
        <w:t>厂界外</w:t>
      </w:r>
      <w:r>
        <w:rPr>
          <w:rFonts w:hint="default"/>
          <w:color w:val="auto"/>
        </w:rPr>
        <w:t>的工频电场强度为</w:t>
      </w:r>
      <w:r>
        <w:rPr>
          <w:rFonts w:hint="eastAsia"/>
          <w:color w:val="auto"/>
          <w:lang w:val="en-US" w:eastAsia="zh-CN"/>
        </w:rPr>
        <w:t>20.43</w:t>
      </w:r>
      <w:r>
        <w:rPr>
          <w:color w:val="auto"/>
        </w:rPr>
        <w:t>V/m</w:t>
      </w:r>
      <w:r>
        <w:rPr>
          <w:rFonts w:hint="eastAsia"/>
          <w:color w:val="auto"/>
          <w:lang w:val="en-US" w:eastAsia="zh-CN"/>
        </w:rPr>
        <w:t>~164</w:t>
      </w:r>
      <w:r>
        <w:rPr>
          <w:color w:val="auto"/>
        </w:rPr>
        <w:t>V/m，</w:t>
      </w:r>
      <w:r>
        <w:rPr>
          <w:rFonts w:hint="default"/>
          <w:color w:val="auto"/>
        </w:rPr>
        <w:t>升压站站址</w:t>
      </w:r>
      <w:r>
        <w:rPr>
          <w:rFonts w:hint="eastAsia"/>
          <w:color w:val="auto"/>
          <w:lang w:val="en-US" w:eastAsia="zh-CN"/>
        </w:rPr>
        <w:t>西侧</w:t>
      </w:r>
      <w:r>
        <w:rPr>
          <w:color w:val="auto"/>
        </w:rPr>
        <w:t>工频磁感应强度为</w:t>
      </w:r>
      <w:r>
        <w:rPr>
          <w:rFonts w:hint="eastAsia"/>
          <w:color w:val="auto"/>
          <w:lang w:val="en-US" w:eastAsia="zh-CN"/>
        </w:rPr>
        <w:t>0.0391</w:t>
      </w:r>
      <w:r>
        <w:rPr>
          <w:color w:val="auto"/>
        </w:rPr>
        <w:t>μT</w:t>
      </w:r>
      <w:r>
        <w:rPr>
          <w:rFonts w:hint="eastAsia"/>
          <w:color w:val="auto"/>
          <w:lang w:val="en-US" w:eastAsia="zh-CN"/>
        </w:rPr>
        <w:t>~0.1901</w:t>
      </w:r>
      <w:r>
        <w:rPr>
          <w:color w:val="auto"/>
        </w:rPr>
        <w:t>μT，能满足《电磁环境控制限值》（GB870</w:t>
      </w:r>
      <w:r>
        <w:rPr>
          <w:rFonts w:hint="eastAsia"/>
          <w:color w:val="auto"/>
        </w:rPr>
        <w:t>2</w:t>
      </w:r>
      <w:r>
        <w:rPr>
          <w:color w:val="auto"/>
        </w:rPr>
        <w:t>-</w:t>
      </w:r>
      <w:r>
        <w:rPr>
          <w:rFonts w:hint="eastAsia"/>
          <w:color w:val="auto"/>
        </w:rPr>
        <w:t>2</w:t>
      </w:r>
      <w:r>
        <w:rPr>
          <w:color w:val="auto"/>
        </w:rPr>
        <w:t>014）公众曝露控制限值标准（工频电场4000V/m、工频磁感应强度100μT）的要求。</w:t>
      </w:r>
    </w:p>
    <w:p w14:paraId="46F206F2">
      <w:pPr>
        <w:widowControl/>
        <w:spacing w:line="360" w:lineRule="auto"/>
        <w:ind w:firstLine="480" w:firstLineChars="200"/>
        <w:jc w:val="left"/>
        <w:rPr>
          <w:rFonts w:hint="eastAsia"/>
          <w:color w:val="auto"/>
          <w:sz w:val="24"/>
          <w:lang w:val="en-US" w:eastAsia="zh-CN"/>
        </w:rPr>
      </w:pPr>
    </w:p>
    <w:p w14:paraId="7691002B">
      <w:pPr>
        <w:widowControl/>
        <w:spacing w:line="360" w:lineRule="auto"/>
        <w:jc w:val="left"/>
        <w:outlineLvl w:val="0"/>
        <w:rPr>
          <w:b/>
          <w:bCs/>
          <w:color w:val="auto"/>
          <w:sz w:val="32"/>
          <w:szCs w:val="32"/>
        </w:rPr>
        <w:sectPr>
          <w:pgSz w:w="11905" w:h="16838"/>
          <w:pgMar w:top="1440" w:right="1803" w:bottom="1440" w:left="1803" w:header="851" w:footer="1077" w:gutter="0"/>
          <w:pgBorders>
            <w:top w:val="none" w:sz="0" w:space="0"/>
            <w:left w:val="none" w:sz="0" w:space="0"/>
            <w:bottom w:val="none" w:sz="0" w:space="0"/>
            <w:right w:val="none" w:sz="0" w:space="0"/>
          </w:pgBorders>
          <w:pgNumType w:fmt="decimal"/>
          <w:cols w:space="720" w:num="1"/>
          <w:docGrid w:linePitch="312" w:charSpace="0"/>
        </w:sectPr>
      </w:pPr>
      <w:bookmarkStart w:id="126" w:name="_Toc12983"/>
      <w:bookmarkStart w:id="127" w:name="_Toc1146"/>
    </w:p>
    <w:p w14:paraId="4494D973">
      <w:pPr>
        <w:pStyle w:val="3"/>
        <w:bidi w:val="0"/>
        <w:rPr>
          <w:sz w:val="32"/>
          <w:szCs w:val="32"/>
        </w:rPr>
      </w:pPr>
      <w:bookmarkStart w:id="128" w:name="_Toc31835"/>
      <w:bookmarkStart w:id="129" w:name="_Toc21770"/>
      <w:r>
        <w:rPr>
          <w:rFonts w:hint="eastAsia"/>
          <w:sz w:val="32"/>
          <w:szCs w:val="32"/>
          <w:lang w:val="en-US" w:eastAsia="zh-CN"/>
        </w:rPr>
        <w:t>4.</w:t>
      </w:r>
      <w:r>
        <w:rPr>
          <w:sz w:val="32"/>
          <w:szCs w:val="32"/>
        </w:rPr>
        <w:t>电磁环境影响预测与评价</w:t>
      </w:r>
      <w:bookmarkEnd w:id="126"/>
      <w:bookmarkEnd w:id="127"/>
      <w:bookmarkEnd w:id="128"/>
      <w:bookmarkEnd w:id="129"/>
    </w:p>
    <w:p w14:paraId="77383408">
      <w:pPr>
        <w:pStyle w:val="3"/>
        <w:bidi w:val="0"/>
        <w:rPr>
          <w:color w:val="auto"/>
        </w:rPr>
      </w:pPr>
      <w:bookmarkStart w:id="130" w:name="_Toc14640"/>
      <w:r>
        <w:rPr>
          <w:rFonts w:hint="eastAsia"/>
          <w:color w:val="auto"/>
          <w:lang w:val="en-US" w:eastAsia="zh-CN"/>
        </w:rPr>
        <w:t>4.1</w:t>
      </w:r>
      <w:r>
        <w:rPr>
          <w:rFonts w:hint="eastAsia"/>
          <w:color w:val="auto"/>
        </w:rPr>
        <w:t>影响预测方法</w:t>
      </w:r>
      <w:bookmarkEnd w:id="130"/>
    </w:p>
    <w:p w14:paraId="0F039DF6">
      <w:pPr>
        <w:widowControl/>
        <w:spacing w:line="360" w:lineRule="auto"/>
        <w:ind w:firstLine="480" w:firstLineChars="200"/>
        <w:jc w:val="left"/>
        <w:rPr>
          <w:color w:val="auto"/>
          <w:sz w:val="24"/>
        </w:rPr>
      </w:pPr>
      <w:r>
        <w:rPr>
          <w:color w:val="auto"/>
          <w:sz w:val="24"/>
        </w:rPr>
        <w:t>本次电磁环境影响评价等级为二级，根据《环境影响评价技术导则 输变电》</w:t>
      </w:r>
    </w:p>
    <w:p w14:paraId="69A826EA">
      <w:pPr>
        <w:widowControl/>
        <w:spacing w:line="360" w:lineRule="auto"/>
        <w:jc w:val="left"/>
        <w:rPr>
          <w:color w:val="auto"/>
          <w:sz w:val="24"/>
        </w:rPr>
      </w:pPr>
      <w:r>
        <w:rPr>
          <w:color w:val="auto"/>
          <w:sz w:val="24"/>
        </w:rPr>
        <w:t>（HJ24-2020）中二级评价的基本要求，升压站电磁环境影响预测应采用类比监测的方式，因此本项目</w:t>
      </w:r>
      <w:r>
        <w:rPr>
          <w:rFonts w:hint="default" w:ascii="Times New Roman" w:hAnsi="Times New Roman" w:eastAsia="宋体" w:cs="Times New Roman"/>
          <w:b w:val="0"/>
          <w:bCs w:val="0"/>
          <w:color w:val="auto"/>
          <w:sz w:val="24"/>
          <w:szCs w:val="24"/>
          <w:lang w:val="en-US" w:eastAsia="zh-CN"/>
        </w:rPr>
        <w:t>采用</w:t>
      </w:r>
      <w:r>
        <w:rPr>
          <w:color w:val="auto"/>
          <w:sz w:val="24"/>
        </w:rPr>
        <w:t>类比同类项目电磁环境监测结果进行评价。</w:t>
      </w:r>
    </w:p>
    <w:p w14:paraId="3BD25A51">
      <w:pPr>
        <w:pStyle w:val="3"/>
        <w:bidi w:val="0"/>
        <w:rPr>
          <w:rFonts w:hint="default"/>
          <w:color w:val="auto"/>
          <w:lang w:val="en-US" w:eastAsia="zh-CN"/>
        </w:rPr>
      </w:pPr>
      <w:bookmarkStart w:id="131" w:name="_Toc1289"/>
      <w:r>
        <w:rPr>
          <w:rFonts w:hint="eastAsia"/>
          <w:color w:val="auto"/>
          <w:lang w:val="en-US" w:eastAsia="zh-CN"/>
        </w:rPr>
        <w:t>4.2</w:t>
      </w:r>
      <w:r>
        <w:rPr>
          <w:color w:val="auto"/>
        </w:rPr>
        <w:t>类比对象</w:t>
      </w:r>
      <w:r>
        <w:rPr>
          <w:rFonts w:hint="eastAsia"/>
          <w:color w:val="auto"/>
          <w:lang w:val="en-US" w:eastAsia="zh-CN"/>
        </w:rPr>
        <w:t>选择的原则</w:t>
      </w:r>
      <w:bookmarkEnd w:id="131"/>
    </w:p>
    <w:p w14:paraId="2DD5C1A8">
      <w:pPr>
        <w:widowControl/>
        <w:spacing w:line="360" w:lineRule="auto"/>
        <w:ind w:firstLine="480" w:firstLineChars="200"/>
        <w:jc w:val="left"/>
        <w:rPr>
          <w:rFonts w:hint="eastAsia"/>
          <w:color w:val="auto"/>
          <w:sz w:val="24"/>
        </w:rPr>
      </w:pPr>
      <w:r>
        <w:rPr>
          <w:rFonts w:hint="eastAsia"/>
          <w:color w:val="auto"/>
          <w:sz w:val="24"/>
        </w:rPr>
        <w:t>工频电场主要取决于电压等级及关心点与源的距离，并与环境湿度、植被及地理地形因子等屏蔽条件相关；工频磁场主要取决于电流及关心点与源的距离。</w:t>
      </w:r>
    </w:p>
    <w:p w14:paraId="438D7027">
      <w:pPr>
        <w:widowControl/>
        <w:spacing w:line="360" w:lineRule="auto"/>
        <w:ind w:firstLine="480" w:firstLineChars="200"/>
        <w:jc w:val="left"/>
        <w:rPr>
          <w:rFonts w:hint="eastAsia"/>
          <w:color w:val="auto"/>
          <w:sz w:val="24"/>
        </w:rPr>
      </w:pPr>
      <w:r>
        <w:rPr>
          <w:rFonts w:hint="eastAsia"/>
          <w:color w:val="auto"/>
          <w:sz w:val="24"/>
        </w:rPr>
        <w:t>变电站电磁环境类比测量，从严格意</w:t>
      </w:r>
      <w:r>
        <w:rPr>
          <w:rFonts w:hint="eastAsia"/>
          <w:color w:val="auto"/>
          <w:sz w:val="24"/>
          <w:lang w:eastAsia="zh-CN"/>
        </w:rPr>
        <w:t>义上</w:t>
      </w:r>
      <w:r>
        <w:rPr>
          <w:rFonts w:hint="eastAsia"/>
          <w:color w:val="auto"/>
          <w:sz w:val="24"/>
        </w:rPr>
        <w:t>讲，具有相同的变电站型式、完全相同的设备型号（决定了电压等级及额定功率、额定电流等）、布置情况（决定了距离因子）和环境条件是最理想的，即：不仅有相同变电站型式、主变压器数量和容量，而且一次主接线也相同，布置情况及环境条件也相同。但是要满足这样的条件是很困难的，要解决这一实际困难，可以在关键部分相同，而达到进行类比的条件。所谓关键部分，就是主要的工频电场、工频磁场产生源。</w:t>
      </w:r>
    </w:p>
    <w:p w14:paraId="65CBF70E">
      <w:pPr>
        <w:widowControl/>
        <w:spacing w:line="360" w:lineRule="auto"/>
        <w:ind w:firstLine="480" w:firstLineChars="200"/>
        <w:jc w:val="left"/>
        <w:rPr>
          <w:rFonts w:hint="eastAsia"/>
          <w:color w:val="auto"/>
          <w:sz w:val="24"/>
        </w:rPr>
      </w:pPr>
      <w:r>
        <w:rPr>
          <w:rFonts w:hint="eastAsia"/>
          <w:color w:val="auto"/>
          <w:sz w:val="24"/>
        </w:rPr>
        <w:t>根据电磁场理论：</w:t>
      </w:r>
    </w:p>
    <w:p w14:paraId="5B4C3AC8">
      <w:pPr>
        <w:widowControl/>
        <w:spacing w:line="360" w:lineRule="auto"/>
        <w:ind w:firstLine="480" w:firstLineChars="200"/>
        <w:jc w:val="left"/>
        <w:rPr>
          <w:rFonts w:hint="eastAsia"/>
          <w:color w:val="auto"/>
          <w:sz w:val="24"/>
        </w:rPr>
      </w:pPr>
      <w:r>
        <w:rPr>
          <w:rFonts w:hint="eastAsia"/>
          <w:color w:val="auto"/>
          <w:sz w:val="24"/>
        </w:rPr>
        <w:t>（1）电荷或者带电导体周围存在着电场；有规则地运动的电荷或者流过导体的电流周围存在着磁场。亦即电压产生电场而电流则产生磁场。</w:t>
      </w:r>
    </w:p>
    <w:p w14:paraId="420872F4">
      <w:pPr>
        <w:widowControl/>
        <w:spacing w:line="360" w:lineRule="auto"/>
        <w:ind w:firstLine="480" w:firstLineChars="200"/>
        <w:jc w:val="left"/>
        <w:rPr>
          <w:rFonts w:hint="eastAsia"/>
          <w:color w:val="auto"/>
          <w:sz w:val="24"/>
        </w:rPr>
      </w:pPr>
      <w:r>
        <w:rPr>
          <w:rFonts w:hint="eastAsia"/>
          <w:color w:val="auto"/>
          <w:sz w:val="24"/>
        </w:rPr>
        <w:t>（2）工频电场和工频磁场随距离衰减很快。对于变电站外的工频电场，要求距离围墙最近的高压带电构架或电气设备布置一致、电压相同，此时就可以认为具有可比性；同样对于变电站外的工频磁场，也要求最近的通流导体的布置和电流相同才具有可比性。实际情况是，工频电场的类比条件相对容易实现，因为变电站主设备和母线电压是基本稳定的，不会随时间和负荷的变化而产生大的变化。</w:t>
      </w:r>
      <w:r>
        <w:rPr>
          <w:rFonts w:hint="eastAsia"/>
          <w:color w:val="auto"/>
          <w:sz w:val="24"/>
          <w:lang w:val="en-US" w:eastAsia="zh-CN"/>
        </w:rPr>
        <w:t>而</w:t>
      </w:r>
      <w:r>
        <w:rPr>
          <w:rFonts w:hint="eastAsia"/>
          <w:color w:val="auto"/>
          <w:sz w:val="24"/>
        </w:rPr>
        <w:t>产生工频磁场的电流</w:t>
      </w:r>
      <w:r>
        <w:rPr>
          <w:rFonts w:hint="eastAsia"/>
          <w:color w:val="auto"/>
          <w:sz w:val="24"/>
          <w:lang w:eastAsia="zh-CN"/>
        </w:rPr>
        <w:t>却</w:t>
      </w:r>
      <w:r>
        <w:rPr>
          <w:rFonts w:hint="eastAsia"/>
          <w:color w:val="auto"/>
          <w:sz w:val="24"/>
        </w:rPr>
        <w:t>随负荷变化而有较大的变化。</w:t>
      </w:r>
    </w:p>
    <w:p w14:paraId="04232FB4">
      <w:pPr>
        <w:pStyle w:val="3"/>
        <w:bidi w:val="0"/>
        <w:rPr>
          <w:rFonts w:hint="default"/>
          <w:color w:val="auto"/>
          <w:lang w:val="en-US" w:eastAsia="zh-CN"/>
        </w:rPr>
      </w:pPr>
      <w:bookmarkStart w:id="132" w:name="_Toc21345"/>
      <w:r>
        <w:rPr>
          <w:rFonts w:hint="eastAsia"/>
          <w:color w:val="auto"/>
          <w:lang w:val="en-US" w:eastAsia="zh-CN"/>
        </w:rPr>
        <w:t>4.3</w:t>
      </w:r>
      <w:r>
        <w:rPr>
          <w:color w:val="auto"/>
        </w:rPr>
        <w:t>类比对象</w:t>
      </w:r>
      <w:bookmarkEnd w:id="132"/>
    </w:p>
    <w:p w14:paraId="0F8BD11A">
      <w:pPr>
        <w:pStyle w:val="19"/>
        <w:bidi w:val="0"/>
        <w:rPr>
          <w:color w:val="auto"/>
        </w:rPr>
      </w:pPr>
      <w:r>
        <w:rPr>
          <w:color w:val="auto"/>
        </w:rPr>
        <w:t>根据上述类比原则以及本</w:t>
      </w:r>
      <w:r>
        <w:rPr>
          <w:rFonts w:hint="eastAsia"/>
          <w:color w:val="auto"/>
          <w:lang w:val="en-US" w:eastAsia="zh-CN"/>
        </w:rPr>
        <w:t>项目</w:t>
      </w:r>
      <w:r>
        <w:rPr>
          <w:color w:val="auto"/>
        </w:rPr>
        <w:t>的规模、电压等级、主变容量、平面布置等因素，本次评价以已建成投运的</w:t>
      </w:r>
      <w:r>
        <w:rPr>
          <w:rFonts w:hint="eastAsia"/>
          <w:color w:val="auto"/>
          <w:highlight w:val="none"/>
        </w:rPr>
        <w:t>清水朗山风电场220kV升压站</w:t>
      </w:r>
      <w:r>
        <w:rPr>
          <w:color w:val="auto"/>
        </w:rPr>
        <w:t>作类比进行电磁场环境影响预测及评价。</w:t>
      </w:r>
    </w:p>
    <w:p w14:paraId="7D604CA5">
      <w:pPr>
        <w:pStyle w:val="19"/>
        <w:bidi w:val="0"/>
        <w:rPr>
          <w:rFonts w:hint="default"/>
          <w:color w:val="auto"/>
          <w:lang w:val="en-US" w:eastAsia="zh-CN"/>
        </w:rPr>
      </w:pPr>
      <w:r>
        <w:rPr>
          <w:rFonts w:hint="default"/>
          <w:color w:val="auto"/>
        </w:rPr>
        <w:t>类比对象电磁环境数据来源于《凤代</w:t>
      </w:r>
      <w:r>
        <w:rPr>
          <w:rFonts w:hint="eastAsia"/>
          <w:color w:val="auto"/>
          <w:lang w:eastAsia="zh-CN"/>
        </w:rPr>
        <w:t>（</w:t>
      </w:r>
      <w:r>
        <w:rPr>
          <w:rFonts w:hint="default"/>
          <w:color w:val="auto"/>
        </w:rPr>
        <w:t>清水朗山光伏发电项目</w:t>
      </w:r>
      <w:r>
        <w:rPr>
          <w:rFonts w:hint="eastAsia"/>
          <w:color w:val="auto"/>
          <w:lang w:eastAsia="zh-CN"/>
        </w:rPr>
        <w:t>）</w:t>
      </w:r>
      <w:r>
        <w:rPr>
          <w:rFonts w:hint="eastAsia"/>
          <w:color w:val="auto"/>
          <w:lang w:val="en-US" w:eastAsia="zh-CN"/>
        </w:rPr>
        <w:t>验收监测报告</w:t>
      </w:r>
      <w:r>
        <w:rPr>
          <w:rFonts w:hint="default"/>
          <w:color w:val="auto"/>
        </w:rPr>
        <w:t>》。</w:t>
      </w:r>
      <w:r>
        <w:rPr>
          <w:rFonts w:hint="eastAsia"/>
          <w:color w:val="auto"/>
          <w:lang w:val="en-US" w:eastAsia="zh-CN"/>
        </w:rPr>
        <w:t>类比对象</w:t>
      </w:r>
      <w:r>
        <w:rPr>
          <w:rFonts w:hint="eastAsia"/>
          <w:color w:val="auto"/>
        </w:rPr>
        <w:t>清水朗山风电场220kV升压站</w:t>
      </w:r>
      <w:r>
        <w:rPr>
          <w:rFonts w:hint="eastAsia"/>
          <w:color w:val="auto"/>
          <w:lang w:val="en-US" w:eastAsia="zh-CN"/>
        </w:rPr>
        <w:t>位于云南省大理州云龙县清水朗山</w:t>
      </w:r>
      <w:r>
        <w:rPr>
          <w:rFonts w:hint="eastAsia"/>
          <w:color w:val="auto"/>
        </w:rPr>
        <w:t>风电场</w:t>
      </w:r>
      <w:r>
        <w:rPr>
          <w:rFonts w:hint="eastAsia"/>
          <w:color w:val="auto"/>
          <w:lang w:val="en-US" w:eastAsia="zh-CN"/>
        </w:rPr>
        <w:t>220kV升压站主变容量为200MVA+100MWA，变电站电压等级为220kV，采用室外布置，架空出线。</w:t>
      </w:r>
    </w:p>
    <w:p w14:paraId="759EE4FB">
      <w:pPr>
        <w:pStyle w:val="8"/>
        <w:keepNext w:val="0"/>
        <w:keepLines w:val="0"/>
        <w:pageBreakBefore w:val="0"/>
        <w:widowControl w:val="0"/>
        <w:kinsoku/>
        <w:wordWrap/>
        <w:overflowPunct/>
        <w:topLinePunct w:val="0"/>
        <w:autoSpaceDE/>
        <w:autoSpaceDN/>
        <w:bidi w:val="0"/>
        <w:adjustRightInd/>
        <w:snapToGrid/>
        <w:spacing w:after="0" w:line="360" w:lineRule="auto"/>
        <w:ind w:firstLine="480" w:firstLineChars="200"/>
        <w:textAlignment w:val="auto"/>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项目升压站与类比</w:t>
      </w:r>
      <w:r>
        <w:rPr>
          <w:rFonts w:hint="eastAsia" w:cs="Times New Roman"/>
          <w:b w:val="0"/>
          <w:bCs w:val="0"/>
          <w:color w:val="auto"/>
          <w:sz w:val="24"/>
          <w:szCs w:val="24"/>
          <w:lang w:val="en-US" w:eastAsia="zh-CN"/>
        </w:rPr>
        <w:t>变电站</w:t>
      </w:r>
      <w:r>
        <w:rPr>
          <w:rFonts w:hint="default" w:ascii="Times New Roman" w:hAnsi="Times New Roman" w:eastAsia="宋体" w:cs="Times New Roman"/>
          <w:b w:val="0"/>
          <w:bCs w:val="0"/>
          <w:color w:val="auto"/>
          <w:sz w:val="24"/>
          <w:szCs w:val="24"/>
          <w:lang w:val="en-US" w:eastAsia="zh-CN"/>
        </w:rPr>
        <w:t>类比条件对照表详见表</w:t>
      </w:r>
      <w:r>
        <w:rPr>
          <w:rFonts w:hint="eastAsia" w:ascii="Times New Roman" w:hAnsi="Times New Roman" w:eastAsia="宋体" w:cs="Times New Roman"/>
          <w:b w:val="0"/>
          <w:bCs w:val="0"/>
          <w:color w:val="auto"/>
          <w:sz w:val="24"/>
          <w:szCs w:val="24"/>
          <w:lang w:val="en-US" w:eastAsia="zh-CN"/>
        </w:rPr>
        <w:t>4</w:t>
      </w:r>
      <w:r>
        <w:rPr>
          <w:rFonts w:hint="default" w:ascii="Times New Roman" w:hAnsi="Times New Roman" w:eastAsia="宋体" w:cs="Times New Roman"/>
          <w:b w:val="0"/>
          <w:bCs w:val="0"/>
          <w:color w:val="auto"/>
          <w:sz w:val="24"/>
          <w:szCs w:val="24"/>
          <w:lang w:val="en-US" w:eastAsia="zh-CN"/>
        </w:rPr>
        <w:t>-1。</w:t>
      </w:r>
    </w:p>
    <w:p w14:paraId="1ADBA22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4"/>
          <w:szCs w:val="24"/>
          <w:lang w:val="en-US" w:eastAsia="zh-CN"/>
        </w:rPr>
      </w:pPr>
      <w:r>
        <w:rPr>
          <w:rFonts w:ascii="Times New Roman" w:hAnsi="Times New Roman"/>
          <w:b/>
          <w:bCs/>
          <w:color w:val="auto"/>
          <w:sz w:val="24"/>
          <w:szCs w:val="24"/>
        </w:rPr>
        <w:t>表</w:t>
      </w:r>
      <w:r>
        <w:rPr>
          <w:rFonts w:hint="eastAsia"/>
          <w:b/>
          <w:bCs/>
          <w:color w:val="auto"/>
          <w:sz w:val="24"/>
          <w:szCs w:val="24"/>
          <w:lang w:val="en-US" w:eastAsia="zh-CN"/>
        </w:rPr>
        <w:t>4-1</w:t>
      </w:r>
      <w:r>
        <w:rPr>
          <w:rFonts w:ascii="Times New Roman" w:hAnsi="Times New Roman"/>
          <w:b/>
          <w:bCs/>
          <w:color w:val="auto"/>
          <w:sz w:val="24"/>
          <w:szCs w:val="24"/>
        </w:rPr>
        <w:t xml:space="preserve"> </w:t>
      </w:r>
      <w:r>
        <w:rPr>
          <w:rFonts w:hint="default" w:ascii="Times New Roman" w:hAnsi="Times New Roman" w:eastAsia="宋体" w:cs="Times New Roman"/>
          <w:b/>
          <w:bCs/>
          <w:color w:val="auto"/>
          <w:sz w:val="24"/>
          <w:szCs w:val="24"/>
          <w:lang w:val="en-US" w:eastAsia="zh-CN"/>
        </w:rPr>
        <w:t xml:space="preserve"> 项目升压站与类比升压站类比条件对照表</w:t>
      </w:r>
    </w:p>
    <w:tbl>
      <w:tblPr>
        <w:tblStyle w:val="21"/>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2503"/>
        <w:gridCol w:w="2316"/>
        <w:gridCol w:w="2503"/>
      </w:tblGrid>
      <w:tr w14:paraId="29BFC4B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9" w:type="pct"/>
            <w:tcBorders>
              <w:tl2br w:val="nil"/>
              <w:tr2bl w:val="nil"/>
            </w:tcBorders>
            <w:noWrap w:val="0"/>
            <w:vAlign w:val="center"/>
          </w:tcPr>
          <w:p w14:paraId="34A4E610">
            <w:pPr>
              <w:pStyle w:val="37"/>
              <w:bidi w:val="0"/>
              <w:rPr>
                <w:rFonts w:hint="default"/>
                <w:lang w:val="en-US" w:eastAsia="zh-CN"/>
              </w:rPr>
            </w:pPr>
            <w:r>
              <w:rPr>
                <w:rFonts w:hint="default"/>
                <w:lang w:val="en-US" w:eastAsia="zh-CN"/>
              </w:rPr>
              <w:t>项目</w:t>
            </w:r>
          </w:p>
        </w:tc>
        <w:tc>
          <w:tcPr>
            <w:tcW w:w="1470" w:type="pct"/>
            <w:tcBorders>
              <w:tl2br w:val="nil"/>
              <w:tr2bl w:val="nil"/>
            </w:tcBorders>
            <w:noWrap w:val="0"/>
            <w:vAlign w:val="center"/>
          </w:tcPr>
          <w:p w14:paraId="20E4FFE2">
            <w:pPr>
              <w:pStyle w:val="37"/>
              <w:bidi w:val="0"/>
              <w:rPr>
                <w:rFonts w:hint="default"/>
                <w:lang w:val="en-US" w:eastAsia="zh-CN"/>
              </w:rPr>
            </w:pPr>
            <w:r>
              <w:rPr>
                <w:rFonts w:hint="default"/>
                <w:lang w:val="en-US" w:eastAsia="zh-CN"/>
              </w:rPr>
              <w:t>类比</w:t>
            </w:r>
            <w:r>
              <w:rPr>
                <w:rFonts w:hint="eastAsia"/>
                <w:lang w:val="en-US" w:eastAsia="zh-CN"/>
              </w:rPr>
              <w:t>变电</w:t>
            </w:r>
            <w:r>
              <w:rPr>
                <w:rFonts w:hint="default"/>
                <w:lang w:val="en-US" w:eastAsia="zh-CN"/>
              </w:rPr>
              <w:t>站</w:t>
            </w:r>
          </w:p>
        </w:tc>
        <w:tc>
          <w:tcPr>
            <w:tcW w:w="1360" w:type="pct"/>
            <w:tcBorders>
              <w:tl2br w:val="nil"/>
              <w:tr2bl w:val="nil"/>
            </w:tcBorders>
            <w:noWrap w:val="0"/>
            <w:vAlign w:val="center"/>
          </w:tcPr>
          <w:p w14:paraId="745A7675">
            <w:pPr>
              <w:pStyle w:val="37"/>
              <w:bidi w:val="0"/>
              <w:rPr>
                <w:rFonts w:hint="default"/>
                <w:lang w:val="en-US" w:eastAsia="zh-CN"/>
              </w:rPr>
            </w:pPr>
            <w:r>
              <w:rPr>
                <w:rFonts w:hint="default"/>
                <w:lang w:val="en-US" w:eastAsia="zh-CN"/>
              </w:rPr>
              <w:t>本项目升压站</w:t>
            </w:r>
          </w:p>
        </w:tc>
        <w:tc>
          <w:tcPr>
            <w:tcW w:w="1469" w:type="pct"/>
            <w:tcBorders>
              <w:tl2br w:val="nil"/>
              <w:tr2bl w:val="nil"/>
            </w:tcBorders>
            <w:noWrap w:val="0"/>
            <w:vAlign w:val="center"/>
          </w:tcPr>
          <w:p w14:paraId="5FC5F53E">
            <w:pPr>
              <w:pStyle w:val="37"/>
              <w:bidi w:val="0"/>
              <w:rPr>
                <w:rFonts w:hint="default"/>
                <w:lang w:val="en-US" w:eastAsia="zh-CN"/>
              </w:rPr>
            </w:pPr>
            <w:r>
              <w:rPr>
                <w:rFonts w:hint="default"/>
                <w:lang w:val="en-US" w:eastAsia="zh-CN"/>
              </w:rPr>
              <w:t>可比性分析</w:t>
            </w:r>
          </w:p>
        </w:tc>
      </w:tr>
      <w:tr w14:paraId="44FAD6E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699" w:type="pct"/>
            <w:tcBorders>
              <w:tl2br w:val="nil"/>
              <w:tr2bl w:val="nil"/>
            </w:tcBorders>
            <w:noWrap w:val="0"/>
            <w:vAlign w:val="center"/>
          </w:tcPr>
          <w:p w14:paraId="127B900B">
            <w:pPr>
              <w:pStyle w:val="37"/>
              <w:bidi w:val="0"/>
              <w:rPr>
                <w:rFonts w:hint="default"/>
                <w:lang w:val="en-US" w:eastAsia="zh-CN"/>
              </w:rPr>
            </w:pPr>
            <w:r>
              <w:rPr>
                <w:rFonts w:hint="default"/>
                <w:lang w:val="en-US" w:eastAsia="zh-CN"/>
              </w:rPr>
              <w:t>电压等级</w:t>
            </w:r>
          </w:p>
        </w:tc>
        <w:tc>
          <w:tcPr>
            <w:tcW w:w="1470" w:type="pct"/>
            <w:tcBorders>
              <w:tl2br w:val="nil"/>
              <w:tr2bl w:val="nil"/>
            </w:tcBorders>
            <w:noWrap w:val="0"/>
            <w:vAlign w:val="center"/>
          </w:tcPr>
          <w:p w14:paraId="5E53356C">
            <w:pPr>
              <w:pStyle w:val="37"/>
              <w:bidi w:val="0"/>
              <w:rPr>
                <w:rFonts w:hint="default"/>
                <w:lang w:val="en-US" w:eastAsia="zh-CN"/>
              </w:rPr>
            </w:pPr>
            <w:r>
              <w:rPr>
                <w:rFonts w:hint="default"/>
                <w:lang w:val="en-US" w:eastAsia="zh-CN"/>
              </w:rPr>
              <w:t>220kV</w:t>
            </w:r>
          </w:p>
        </w:tc>
        <w:tc>
          <w:tcPr>
            <w:tcW w:w="1360" w:type="pct"/>
            <w:tcBorders>
              <w:tl2br w:val="nil"/>
              <w:tr2bl w:val="nil"/>
            </w:tcBorders>
            <w:noWrap w:val="0"/>
            <w:vAlign w:val="center"/>
          </w:tcPr>
          <w:p w14:paraId="7F13928E">
            <w:pPr>
              <w:pStyle w:val="37"/>
              <w:bidi w:val="0"/>
              <w:rPr>
                <w:rFonts w:hint="default"/>
                <w:lang w:val="en-US" w:eastAsia="zh-CN"/>
              </w:rPr>
            </w:pPr>
            <w:r>
              <w:rPr>
                <w:rFonts w:hint="default"/>
                <w:lang w:val="en-US" w:eastAsia="zh-CN"/>
              </w:rPr>
              <w:t>220kV</w:t>
            </w:r>
          </w:p>
        </w:tc>
        <w:tc>
          <w:tcPr>
            <w:tcW w:w="1469" w:type="pct"/>
            <w:tcBorders>
              <w:tl2br w:val="nil"/>
              <w:tr2bl w:val="nil"/>
            </w:tcBorders>
            <w:noWrap w:val="0"/>
            <w:vAlign w:val="center"/>
          </w:tcPr>
          <w:p w14:paraId="6FDBBA11">
            <w:pPr>
              <w:pStyle w:val="37"/>
              <w:bidi w:val="0"/>
              <w:rPr>
                <w:rFonts w:hint="default"/>
                <w:lang w:val="en-US" w:eastAsia="zh-CN"/>
              </w:rPr>
            </w:pPr>
            <w:r>
              <w:rPr>
                <w:rFonts w:hint="eastAsia"/>
                <w:lang w:val="en-US" w:eastAsia="zh-CN"/>
              </w:rPr>
              <w:t>一致</w:t>
            </w:r>
          </w:p>
        </w:tc>
      </w:tr>
      <w:tr w14:paraId="55C599F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99" w:type="pct"/>
            <w:tcBorders>
              <w:tl2br w:val="nil"/>
              <w:tr2bl w:val="nil"/>
            </w:tcBorders>
            <w:noWrap w:val="0"/>
            <w:vAlign w:val="center"/>
          </w:tcPr>
          <w:p w14:paraId="212DBB8B">
            <w:pPr>
              <w:pStyle w:val="37"/>
              <w:bidi w:val="0"/>
              <w:rPr>
                <w:rFonts w:hint="default"/>
                <w:lang w:val="en-US" w:eastAsia="zh-CN"/>
              </w:rPr>
            </w:pPr>
            <w:r>
              <w:rPr>
                <w:rFonts w:hint="default"/>
                <w:lang w:val="en-US" w:eastAsia="zh-CN"/>
              </w:rPr>
              <w:t>主变容量</w:t>
            </w:r>
          </w:p>
        </w:tc>
        <w:tc>
          <w:tcPr>
            <w:tcW w:w="1470" w:type="pct"/>
            <w:tcBorders>
              <w:tl2br w:val="nil"/>
              <w:tr2bl w:val="nil"/>
            </w:tcBorders>
            <w:noWrap w:val="0"/>
            <w:vAlign w:val="center"/>
          </w:tcPr>
          <w:p w14:paraId="1D1F2C33">
            <w:pPr>
              <w:pStyle w:val="37"/>
              <w:bidi w:val="0"/>
              <w:rPr>
                <w:rFonts w:hint="eastAsia"/>
                <w:lang w:val="en-US" w:eastAsia="zh-CN"/>
              </w:rPr>
            </w:pPr>
            <w:r>
              <w:rPr>
                <w:rFonts w:hint="eastAsia"/>
                <w:lang w:val="en-US" w:eastAsia="zh-CN"/>
              </w:rPr>
              <w:t>1</w:t>
            </w:r>
            <w:r>
              <w:rPr>
                <w:rFonts w:hint="default"/>
              </w:rPr>
              <w:t>×</w:t>
            </w:r>
            <w:r>
              <w:rPr>
                <w:rFonts w:hint="eastAsia"/>
                <w:lang w:val="en-US" w:eastAsia="zh-CN"/>
              </w:rPr>
              <w:t>200MVA+1</w:t>
            </w:r>
            <w:r>
              <w:rPr>
                <w:rFonts w:hint="default"/>
              </w:rPr>
              <w:t>×</w:t>
            </w:r>
            <w:r>
              <w:rPr>
                <w:rFonts w:hint="eastAsia"/>
                <w:lang w:val="en-US" w:eastAsia="zh-CN"/>
              </w:rPr>
              <w:t>100MWA</w:t>
            </w:r>
          </w:p>
        </w:tc>
        <w:tc>
          <w:tcPr>
            <w:tcW w:w="1360" w:type="pct"/>
            <w:tcBorders>
              <w:tl2br w:val="nil"/>
              <w:tr2bl w:val="nil"/>
            </w:tcBorders>
            <w:noWrap w:val="0"/>
            <w:vAlign w:val="center"/>
          </w:tcPr>
          <w:p w14:paraId="50DFFCDE">
            <w:pPr>
              <w:pStyle w:val="37"/>
              <w:bidi w:val="0"/>
              <w:rPr>
                <w:rFonts w:hint="default"/>
                <w:lang w:val="en-US" w:eastAsia="zh-CN"/>
              </w:rPr>
            </w:pPr>
            <w:r>
              <w:rPr>
                <w:rFonts w:hint="eastAsia"/>
                <w:lang w:val="en-US" w:eastAsia="zh-CN"/>
              </w:rPr>
              <w:t>1</w:t>
            </w:r>
            <w:r>
              <w:rPr>
                <w:rFonts w:hint="default"/>
              </w:rPr>
              <w:t>×</w:t>
            </w:r>
            <w:r>
              <w:rPr>
                <w:rFonts w:hint="eastAsia"/>
                <w:lang w:val="en-US" w:eastAsia="zh-CN"/>
              </w:rPr>
              <w:t>210</w:t>
            </w:r>
            <w:r>
              <w:rPr>
                <w:rFonts w:hint="default"/>
                <w:lang w:val="en-US" w:eastAsia="zh-CN"/>
              </w:rPr>
              <w:t>MVA</w:t>
            </w:r>
            <w:r>
              <w:rPr>
                <w:rFonts w:hint="eastAsia"/>
                <w:lang w:val="en-US" w:eastAsia="zh-CN"/>
              </w:rPr>
              <w:t>，1</w:t>
            </w:r>
            <w:r>
              <w:rPr>
                <w:rFonts w:hint="default"/>
              </w:rPr>
              <w:t>×</w:t>
            </w:r>
            <w:r>
              <w:rPr>
                <w:rFonts w:hint="eastAsia"/>
                <w:lang w:val="en-US" w:eastAsia="zh-CN"/>
              </w:rPr>
              <w:t>30</w:t>
            </w:r>
            <w:r>
              <w:rPr>
                <w:rFonts w:hint="default"/>
                <w:lang w:val="en-US" w:eastAsia="zh-CN"/>
              </w:rPr>
              <w:t>MVA</w:t>
            </w:r>
          </w:p>
        </w:tc>
        <w:tc>
          <w:tcPr>
            <w:tcW w:w="1469" w:type="pct"/>
            <w:tcBorders>
              <w:tl2br w:val="nil"/>
              <w:tr2bl w:val="nil"/>
            </w:tcBorders>
            <w:noWrap w:val="0"/>
            <w:vAlign w:val="center"/>
          </w:tcPr>
          <w:p w14:paraId="267CEA98">
            <w:pPr>
              <w:pStyle w:val="37"/>
              <w:bidi w:val="0"/>
              <w:rPr>
                <w:rFonts w:hint="eastAsia"/>
                <w:lang w:val="en-US" w:eastAsia="zh-CN"/>
              </w:rPr>
            </w:pPr>
            <w:r>
              <w:rPr>
                <w:rFonts w:hint="eastAsia"/>
                <w:lang w:val="en-US" w:eastAsia="zh-CN"/>
              </w:rPr>
              <w:t>小于类比升压站</w:t>
            </w:r>
          </w:p>
        </w:tc>
      </w:tr>
      <w:tr w14:paraId="368925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2" w:hRule="atLeast"/>
        </w:trPr>
        <w:tc>
          <w:tcPr>
            <w:tcW w:w="699" w:type="pct"/>
            <w:tcBorders>
              <w:tl2br w:val="nil"/>
              <w:tr2bl w:val="nil"/>
            </w:tcBorders>
            <w:noWrap w:val="0"/>
            <w:vAlign w:val="center"/>
          </w:tcPr>
          <w:p w14:paraId="3CCD2BA2">
            <w:pPr>
              <w:pStyle w:val="37"/>
              <w:bidi w:val="0"/>
              <w:rPr>
                <w:rFonts w:hint="default"/>
                <w:lang w:val="en-US" w:eastAsia="zh-CN"/>
              </w:rPr>
            </w:pPr>
            <w:r>
              <w:rPr>
                <w:rFonts w:hint="eastAsia"/>
                <w:lang w:val="en-US" w:eastAsia="zh-CN"/>
              </w:rPr>
              <w:t>总平面布置</w:t>
            </w:r>
          </w:p>
        </w:tc>
        <w:tc>
          <w:tcPr>
            <w:tcW w:w="1470" w:type="pct"/>
            <w:tcBorders>
              <w:tl2br w:val="nil"/>
              <w:tr2bl w:val="nil"/>
            </w:tcBorders>
            <w:noWrap w:val="0"/>
            <w:vAlign w:val="center"/>
          </w:tcPr>
          <w:p w14:paraId="7A41C68B">
            <w:pPr>
              <w:pStyle w:val="37"/>
              <w:bidi w:val="0"/>
              <w:rPr>
                <w:rFonts w:hint="default"/>
                <w:lang w:val="en-US" w:eastAsia="zh-CN"/>
              </w:rPr>
            </w:pPr>
            <w:r>
              <w:rPr>
                <w:rFonts w:hint="eastAsia"/>
                <w:lang w:val="en-US" w:eastAsia="zh-CN"/>
              </w:rPr>
              <w:t>清水朗山风电场220kV升压站主变压器布置在变电站西侧，在西侧进线，东侧出线，布置2台变压器。</w:t>
            </w:r>
          </w:p>
        </w:tc>
        <w:tc>
          <w:tcPr>
            <w:tcW w:w="1360" w:type="pct"/>
            <w:tcBorders>
              <w:tl2br w:val="nil"/>
              <w:tr2bl w:val="nil"/>
            </w:tcBorders>
            <w:noWrap w:val="0"/>
            <w:vAlign w:val="center"/>
          </w:tcPr>
          <w:p w14:paraId="7B20E5BD">
            <w:pPr>
              <w:pStyle w:val="37"/>
              <w:bidi w:val="0"/>
              <w:rPr>
                <w:rFonts w:hint="default"/>
                <w:lang w:val="en-US" w:eastAsia="zh-CN"/>
              </w:rPr>
            </w:pPr>
            <w:r>
              <w:rPr>
                <w:rFonts w:hint="eastAsia"/>
                <w:lang w:val="en-US" w:eastAsia="zh-CN"/>
              </w:rPr>
              <w:t>本项目主变压器布置在升压站东北侧，北侧进线，东侧出线，本项目现有1台210</w:t>
            </w:r>
            <w:r>
              <w:rPr>
                <w:rFonts w:hint="default"/>
                <w:lang w:val="en-US" w:eastAsia="zh-CN"/>
              </w:rPr>
              <w:t>MVA</w:t>
            </w:r>
            <w:r>
              <w:rPr>
                <w:rFonts w:hint="eastAsia"/>
                <w:lang w:val="en-US" w:eastAsia="zh-CN"/>
              </w:rPr>
              <w:t>主变，拟增加1台30</w:t>
            </w:r>
            <w:r>
              <w:rPr>
                <w:rFonts w:hint="default"/>
                <w:lang w:val="en-US" w:eastAsia="zh-CN"/>
              </w:rPr>
              <w:t>MVA</w:t>
            </w:r>
            <w:r>
              <w:rPr>
                <w:rFonts w:hint="eastAsia"/>
                <w:lang w:val="en-US" w:eastAsia="zh-CN"/>
              </w:rPr>
              <w:t>主变</w:t>
            </w:r>
          </w:p>
        </w:tc>
        <w:tc>
          <w:tcPr>
            <w:tcW w:w="1469" w:type="pct"/>
            <w:tcBorders>
              <w:tl2br w:val="nil"/>
              <w:tr2bl w:val="nil"/>
            </w:tcBorders>
            <w:noWrap w:val="0"/>
            <w:vAlign w:val="center"/>
          </w:tcPr>
          <w:p w14:paraId="18FF2C7B">
            <w:pPr>
              <w:pStyle w:val="37"/>
              <w:bidi w:val="0"/>
              <w:rPr>
                <w:rFonts w:hint="default"/>
                <w:lang w:val="en-US" w:eastAsia="zh-CN"/>
              </w:rPr>
            </w:pPr>
            <w:r>
              <w:rPr>
                <w:rFonts w:hint="eastAsia"/>
                <w:lang w:val="en-US" w:eastAsia="zh-CN"/>
              </w:rPr>
              <w:t>从总平面布置来看，本项目升压站布置方式电磁环境影响小于类比升压站</w:t>
            </w:r>
          </w:p>
        </w:tc>
      </w:tr>
      <w:tr w14:paraId="4B32F8F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699" w:type="pct"/>
            <w:tcBorders>
              <w:tl2br w:val="nil"/>
              <w:tr2bl w:val="nil"/>
            </w:tcBorders>
            <w:noWrap w:val="0"/>
            <w:vAlign w:val="center"/>
          </w:tcPr>
          <w:p w14:paraId="63455252">
            <w:pPr>
              <w:pStyle w:val="37"/>
              <w:bidi w:val="0"/>
              <w:rPr>
                <w:rFonts w:hint="default"/>
                <w:lang w:val="en-US" w:eastAsia="zh-CN"/>
              </w:rPr>
            </w:pPr>
            <w:r>
              <w:rPr>
                <w:rFonts w:hint="eastAsia"/>
                <w:lang w:val="en-US" w:eastAsia="zh-CN"/>
              </w:rPr>
              <w:t>母线形式</w:t>
            </w:r>
          </w:p>
        </w:tc>
        <w:tc>
          <w:tcPr>
            <w:tcW w:w="1470" w:type="pct"/>
            <w:tcBorders>
              <w:tl2br w:val="nil"/>
              <w:tr2bl w:val="nil"/>
            </w:tcBorders>
            <w:noWrap w:val="0"/>
            <w:vAlign w:val="center"/>
          </w:tcPr>
          <w:p w14:paraId="4AADFB8E">
            <w:pPr>
              <w:pStyle w:val="37"/>
              <w:bidi w:val="0"/>
              <w:rPr>
                <w:rFonts w:hint="default"/>
                <w:lang w:val="en-US" w:eastAsia="zh-CN"/>
              </w:rPr>
            </w:pPr>
            <w:r>
              <w:rPr>
                <w:rFonts w:hint="eastAsia"/>
                <w:lang w:val="en-US" w:eastAsia="zh-CN"/>
              </w:rPr>
              <w:t>35kV进站母线，220kV出站母线</w:t>
            </w:r>
          </w:p>
        </w:tc>
        <w:tc>
          <w:tcPr>
            <w:tcW w:w="1360" w:type="pct"/>
            <w:tcBorders>
              <w:tl2br w:val="nil"/>
              <w:tr2bl w:val="nil"/>
            </w:tcBorders>
            <w:noWrap w:val="0"/>
            <w:vAlign w:val="center"/>
          </w:tcPr>
          <w:p w14:paraId="637777A6">
            <w:pPr>
              <w:pStyle w:val="37"/>
              <w:bidi w:val="0"/>
              <w:rPr>
                <w:rFonts w:hint="default"/>
                <w:lang w:val="en-US" w:eastAsia="zh-CN"/>
              </w:rPr>
            </w:pPr>
            <w:r>
              <w:rPr>
                <w:rFonts w:hint="eastAsia"/>
                <w:lang w:val="en-US" w:eastAsia="zh-CN"/>
              </w:rPr>
              <w:t>35kV进站母线，220kV出站母线</w:t>
            </w:r>
          </w:p>
        </w:tc>
        <w:tc>
          <w:tcPr>
            <w:tcW w:w="1469" w:type="pct"/>
            <w:tcBorders>
              <w:tl2br w:val="nil"/>
              <w:tr2bl w:val="nil"/>
            </w:tcBorders>
            <w:noWrap w:val="0"/>
            <w:vAlign w:val="center"/>
          </w:tcPr>
          <w:p w14:paraId="08B1172E">
            <w:pPr>
              <w:pStyle w:val="37"/>
              <w:bidi w:val="0"/>
              <w:rPr>
                <w:rFonts w:hint="eastAsia"/>
                <w:lang w:val="en-US" w:eastAsia="zh-CN"/>
              </w:rPr>
            </w:pPr>
            <w:r>
              <w:rPr>
                <w:rFonts w:hint="eastAsia"/>
                <w:lang w:val="en-US" w:eastAsia="zh-CN"/>
              </w:rPr>
              <w:t>从母线形式看，本项目升压站电磁环境影响小于类比升压站</w:t>
            </w:r>
          </w:p>
        </w:tc>
      </w:tr>
      <w:tr w14:paraId="584EDB6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699" w:type="pct"/>
            <w:tcBorders>
              <w:tl2br w:val="nil"/>
              <w:tr2bl w:val="nil"/>
            </w:tcBorders>
            <w:noWrap w:val="0"/>
            <w:vAlign w:val="center"/>
          </w:tcPr>
          <w:p w14:paraId="76AFA0FB">
            <w:pPr>
              <w:pStyle w:val="37"/>
              <w:bidi w:val="0"/>
              <w:rPr>
                <w:rFonts w:hint="default"/>
                <w:lang w:val="en-US" w:eastAsia="zh-CN"/>
              </w:rPr>
            </w:pPr>
            <w:r>
              <w:rPr>
                <w:rFonts w:hint="default"/>
                <w:lang w:val="en-US" w:eastAsia="zh-CN"/>
              </w:rPr>
              <w:t>布置方式</w:t>
            </w:r>
          </w:p>
        </w:tc>
        <w:tc>
          <w:tcPr>
            <w:tcW w:w="1470" w:type="pct"/>
            <w:tcBorders>
              <w:tl2br w:val="nil"/>
              <w:tr2bl w:val="nil"/>
            </w:tcBorders>
            <w:noWrap w:val="0"/>
            <w:vAlign w:val="center"/>
          </w:tcPr>
          <w:p w14:paraId="249100F4">
            <w:pPr>
              <w:pStyle w:val="37"/>
              <w:bidi w:val="0"/>
              <w:rPr>
                <w:rFonts w:hint="default"/>
                <w:lang w:val="en-US" w:eastAsia="zh-CN"/>
              </w:rPr>
            </w:pPr>
            <w:r>
              <w:rPr>
                <w:rFonts w:hint="default"/>
                <w:lang w:val="en-US" w:eastAsia="zh-CN"/>
              </w:rPr>
              <w:t>户外式</w:t>
            </w:r>
          </w:p>
        </w:tc>
        <w:tc>
          <w:tcPr>
            <w:tcW w:w="1360" w:type="pct"/>
            <w:tcBorders>
              <w:tl2br w:val="nil"/>
              <w:tr2bl w:val="nil"/>
            </w:tcBorders>
            <w:noWrap w:val="0"/>
            <w:vAlign w:val="center"/>
          </w:tcPr>
          <w:p w14:paraId="63350B86">
            <w:pPr>
              <w:pStyle w:val="37"/>
              <w:bidi w:val="0"/>
              <w:rPr>
                <w:rFonts w:hint="default"/>
                <w:lang w:val="en-US" w:eastAsia="zh-CN"/>
              </w:rPr>
            </w:pPr>
            <w:r>
              <w:rPr>
                <w:rFonts w:hint="default"/>
                <w:lang w:val="en-US" w:eastAsia="zh-CN"/>
              </w:rPr>
              <w:t>户外式</w:t>
            </w:r>
          </w:p>
        </w:tc>
        <w:tc>
          <w:tcPr>
            <w:tcW w:w="1469" w:type="pct"/>
            <w:tcBorders>
              <w:tl2br w:val="nil"/>
              <w:tr2bl w:val="nil"/>
            </w:tcBorders>
            <w:noWrap w:val="0"/>
            <w:vAlign w:val="center"/>
          </w:tcPr>
          <w:p w14:paraId="4CDAC728">
            <w:pPr>
              <w:pStyle w:val="37"/>
              <w:bidi w:val="0"/>
              <w:rPr>
                <w:rFonts w:hint="eastAsia"/>
                <w:lang w:val="en-US" w:eastAsia="zh-CN"/>
              </w:rPr>
            </w:pPr>
            <w:r>
              <w:rPr>
                <w:rFonts w:hint="eastAsia"/>
                <w:lang w:val="en-US" w:eastAsia="zh-CN"/>
              </w:rPr>
              <w:t>一致</w:t>
            </w:r>
          </w:p>
        </w:tc>
      </w:tr>
      <w:tr w14:paraId="17F152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699" w:type="pct"/>
            <w:tcBorders>
              <w:tl2br w:val="nil"/>
              <w:tr2bl w:val="nil"/>
            </w:tcBorders>
            <w:noWrap w:val="0"/>
            <w:vAlign w:val="center"/>
          </w:tcPr>
          <w:p w14:paraId="7B9F24A6">
            <w:pPr>
              <w:pStyle w:val="37"/>
              <w:bidi w:val="0"/>
              <w:rPr>
                <w:rFonts w:hint="default"/>
                <w:lang w:val="en-US" w:eastAsia="zh-CN"/>
              </w:rPr>
            </w:pPr>
            <w:r>
              <w:rPr>
                <w:rFonts w:hint="default"/>
                <w:lang w:val="en-US" w:eastAsia="zh-CN"/>
              </w:rPr>
              <w:t>配电装置</w:t>
            </w:r>
          </w:p>
        </w:tc>
        <w:tc>
          <w:tcPr>
            <w:tcW w:w="1470" w:type="pct"/>
            <w:tcBorders>
              <w:tl2br w:val="nil"/>
              <w:tr2bl w:val="nil"/>
            </w:tcBorders>
            <w:noWrap w:val="0"/>
            <w:vAlign w:val="center"/>
          </w:tcPr>
          <w:p w14:paraId="54A06338">
            <w:pPr>
              <w:pStyle w:val="37"/>
              <w:bidi w:val="0"/>
              <w:rPr>
                <w:rFonts w:hint="default"/>
                <w:lang w:val="en-US" w:eastAsia="zh-CN"/>
              </w:rPr>
            </w:pPr>
            <w:r>
              <w:rPr>
                <w:rFonts w:hint="default"/>
                <w:lang w:val="en-US" w:eastAsia="zh-CN"/>
              </w:rPr>
              <w:t>220kV、配电装置均采用GIS设备</w:t>
            </w:r>
          </w:p>
        </w:tc>
        <w:tc>
          <w:tcPr>
            <w:tcW w:w="1360" w:type="pct"/>
            <w:tcBorders>
              <w:tl2br w:val="nil"/>
              <w:tr2bl w:val="nil"/>
            </w:tcBorders>
            <w:noWrap w:val="0"/>
            <w:vAlign w:val="center"/>
          </w:tcPr>
          <w:p w14:paraId="482AD620">
            <w:pPr>
              <w:pStyle w:val="37"/>
              <w:bidi w:val="0"/>
              <w:rPr>
                <w:rFonts w:hint="default"/>
                <w:lang w:val="en-US" w:eastAsia="zh-CN"/>
              </w:rPr>
            </w:pPr>
            <w:r>
              <w:rPr>
                <w:rFonts w:hint="default"/>
                <w:lang w:val="en-US" w:eastAsia="zh-CN"/>
              </w:rPr>
              <w:t>220kV、配电装置均采用GIS设备</w:t>
            </w:r>
          </w:p>
        </w:tc>
        <w:tc>
          <w:tcPr>
            <w:tcW w:w="1469" w:type="pct"/>
            <w:tcBorders>
              <w:tl2br w:val="nil"/>
              <w:tr2bl w:val="nil"/>
            </w:tcBorders>
            <w:noWrap w:val="0"/>
            <w:vAlign w:val="center"/>
          </w:tcPr>
          <w:p w14:paraId="26647177">
            <w:pPr>
              <w:pStyle w:val="37"/>
              <w:bidi w:val="0"/>
              <w:rPr>
                <w:rFonts w:hint="eastAsia"/>
                <w:lang w:val="en-US" w:eastAsia="zh-CN"/>
              </w:rPr>
            </w:pPr>
            <w:r>
              <w:rPr>
                <w:rFonts w:hint="eastAsia"/>
                <w:lang w:val="en-US" w:eastAsia="zh-CN"/>
              </w:rPr>
              <w:t>一致</w:t>
            </w:r>
          </w:p>
        </w:tc>
      </w:tr>
      <w:tr w14:paraId="6F5CEB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699" w:type="pct"/>
            <w:tcBorders>
              <w:tl2br w:val="nil"/>
              <w:tr2bl w:val="nil"/>
            </w:tcBorders>
            <w:noWrap w:val="0"/>
            <w:vAlign w:val="center"/>
          </w:tcPr>
          <w:p w14:paraId="3AA1FED4">
            <w:pPr>
              <w:pStyle w:val="37"/>
              <w:bidi w:val="0"/>
              <w:rPr>
                <w:rFonts w:hint="default"/>
                <w:lang w:val="en-US" w:eastAsia="zh-CN"/>
              </w:rPr>
            </w:pPr>
            <w:r>
              <w:rPr>
                <w:rFonts w:hint="default"/>
              </w:rPr>
              <w:t>出线规模</w:t>
            </w:r>
          </w:p>
        </w:tc>
        <w:tc>
          <w:tcPr>
            <w:tcW w:w="1470" w:type="pct"/>
            <w:tcBorders>
              <w:tl2br w:val="nil"/>
              <w:tr2bl w:val="nil"/>
            </w:tcBorders>
            <w:noWrap w:val="0"/>
            <w:vAlign w:val="center"/>
          </w:tcPr>
          <w:p w14:paraId="29C3484F">
            <w:pPr>
              <w:pStyle w:val="37"/>
              <w:bidi w:val="0"/>
              <w:rPr>
                <w:rFonts w:hint="default"/>
                <w:lang w:val="en-US" w:eastAsia="zh-CN"/>
              </w:rPr>
            </w:pPr>
            <w:r>
              <w:rPr>
                <w:rFonts w:hint="eastAsia"/>
              </w:rPr>
              <w:t>220kV</w:t>
            </w:r>
            <w:r>
              <w:rPr>
                <w:rFonts w:hint="default"/>
              </w:rPr>
              <w:t>出线</w:t>
            </w:r>
            <w:r>
              <w:rPr>
                <w:rFonts w:hint="eastAsia"/>
                <w:lang w:val="en-US" w:eastAsia="zh-CN"/>
              </w:rPr>
              <w:t>2</w:t>
            </w:r>
            <w:r>
              <w:rPr>
                <w:rFonts w:hint="default"/>
              </w:rPr>
              <w:t>回</w:t>
            </w:r>
          </w:p>
        </w:tc>
        <w:tc>
          <w:tcPr>
            <w:tcW w:w="1360" w:type="pct"/>
            <w:tcBorders>
              <w:tl2br w:val="nil"/>
              <w:tr2bl w:val="nil"/>
            </w:tcBorders>
            <w:noWrap w:val="0"/>
            <w:vAlign w:val="center"/>
          </w:tcPr>
          <w:p w14:paraId="193773E4">
            <w:pPr>
              <w:pStyle w:val="37"/>
              <w:bidi w:val="0"/>
              <w:rPr>
                <w:rFonts w:hint="default"/>
                <w:lang w:val="en-US" w:eastAsia="zh-CN"/>
              </w:rPr>
            </w:pPr>
            <w:r>
              <w:rPr>
                <w:rFonts w:hint="eastAsia"/>
              </w:rPr>
              <w:t>220kV</w:t>
            </w:r>
            <w:r>
              <w:rPr>
                <w:rFonts w:hint="default"/>
              </w:rPr>
              <w:t>出线</w:t>
            </w:r>
            <w:r>
              <w:rPr>
                <w:rFonts w:hint="eastAsia"/>
                <w:lang w:val="en-US" w:eastAsia="zh-CN"/>
              </w:rPr>
              <w:t>2</w:t>
            </w:r>
            <w:r>
              <w:rPr>
                <w:rFonts w:hint="default"/>
              </w:rPr>
              <w:t>回</w:t>
            </w:r>
          </w:p>
        </w:tc>
        <w:tc>
          <w:tcPr>
            <w:tcW w:w="1469" w:type="pct"/>
            <w:tcBorders>
              <w:tl2br w:val="nil"/>
              <w:tr2bl w:val="nil"/>
            </w:tcBorders>
            <w:noWrap w:val="0"/>
            <w:vAlign w:val="center"/>
          </w:tcPr>
          <w:p w14:paraId="5E8A9BBB">
            <w:pPr>
              <w:pStyle w:val="37"/>
              <w:bidi w:val="0"/>
              <w:rPr>
                <w:rFonts w:hint="default"/>
                <w:lang w:val="en-US" w:eastAsia="zh-CN"/>
              </w:rPr>
            </w:pPr>
            <w:r>
              <w:rPr>
                <w:rFonts w:hint="eastAsia"/>
                <w:lang w:val="en-US" w:eastAsia="zh-CN"/>
              </w:rPr>
              <w:t>类比变电站出现回数与本项目相同</w:t>
            </w:r>
          </w:p>
        </w:tc>
      </w:tr>
      <w:tr w14:paraId="31309E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699" w:type="pct"/>
            <w:tcBorders>
              <w:tl2br w:val="nil"/>
              <w:tr2bl w:val="nil"/>
            </w:tcBorders>
            <w:noWrap w:val="0"/>
            <w:vAlign w:val="center"/>
          </w:tcPr>
          <w:p w14:paraId="36F65306">
            <w:pPr>
              <w:pStyle w:val="37"/>
              <w:bidi w:val="0"/>
              <w:rPr>
                <w:rFonts w:hint="default"/>
              </w:rPr>
            </w:pPr>
            <w:r>
              <w:rPr>
                <w:rFonts w:hint="default"/>
              </w:rPr>
              <w:t>出线方式</w:t>
            </w:r>
          </w:p>
        </w:tc>
        <w:tc>
          <w:tcPr>
            <w:tcW w:w="1470" w:type="pct"/>
            <w:tcBorders>
              <w:tl2br w:val="nil"/>
              <w:tr2bl w:val="nil"/>
            </w:tcBorders>
            <w:noWrap w:val="0"/>
            <w:vAlign w:val="center"/>
          </w:tcPr>
          <w:p w14:paraId="054BA78B">
            <w:pPr>
              <w:pStyle w:val="37"/>
              <w:bidi w:val="0"/>
              <w:rPr>
                <w:rFonts w:hint="eastAsia"/>
              </w:rPr>
            </w:pPr>
            <w:r>
              <w:rPr>
                <w:rFonts w:hint="eastAsia"/>
              </w:rPr>
              <w:t>架空</w:t>
            </w:r>
            <w:r>
              <w:rPr>
                <w:rFonts w:hint="default"/>
              </w:rPr>
              <w:t>出线</w:t>
            </w:r>
          </w:p>
        </w:tc>
        <w:tc>
          <w:tcPr>
            <w:tcW w:w="1360" w:type="pct"/>
            <w:tcBorders>
              <w:tl2br w:val="nil"/>
              <w:tr2bl w:val="nil"/>
            </w:tcBorders>
            <w:noWrap w:val="0"/>
            <w:vAlign w:val="center"/>
          </w:tcPr>
          <w:p w14:paraId="79E36C03">
            <w:pPr>
              <w:pStyle w:val="37"/>
              <w:bidi w:val="0"/>
              <w:rPr>
                <w:rFonts w:hint="eastAsia"/>
              </w:rPr>
            </w:pPr>
            <w:r>
              <w:rPr>
                <w:rFonts w:hint="eastAsia"/>
              </w:rPr>
              <w:t>架空</w:t>
            </w:r>
            <w:r>
              <w:rPr>
                <w:rFonts w:hint="default"/>
              </w:rPr>
              <w:t>出线</w:t>
            </w:r>
          </w:p>
        </w:tc>
        <w:tc>
          <w:tcPr>
            <w:tcW w:w="1469" w:type="pct"/>
            <w:tcBorders>
              <w:tl2br w:val="nil"/>
              <w:tr2bl w:val="nil"/>
            </w:tcBorders>
            <w:noWrap w:val="0"/>
            <w:vAlign w:val="center"/>
          </w:tcPr>
          <w:p w14:paraId="26561F29">
            <w:pPr>
              <w:pStyle w:val="37"/>
              <w:bidi w:val="0"/>
              <w:rPr>
                <w:rFonts w:hint="default"/>
              </w:rPr>
            </w:pPr>
            <w:r>
              <w:rPr>
                <w:rFonts w:hint="default"/>
              </w:rPr>
              <w:t>一致</w:t>
            </w:r>
          </w:p>
        </w:tc>
      </w:tr>
      <w:tr w14:paraId="310FC85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699" w:type="pct"/>
            <w:tcBorders>
              <w:tl2br w:val="nil"/>
              <w:tr2bl w:val="nil"/>
            </w:tcBorders>
            <w:noWrap w:val="0"/>
            <w:vAlign w:val="center"/>
          </w:tcPr>
          <w:p w14:paraId="3A6294C3">
            <w:pPr>
              <w:pStyle w:val="37"/>
              <w:bidi w:val="0"/>
              <w:rPr>
                <w:rFonts w:hint="default"/>
                <w:lang w:val="en-US" w:eastAsia="zh-CN"/>
              </w:rPr>
            </w:pPr>
            <w:r>
              <w:rPr>
                <w:rFonts w:hint="eastAsia"/>
                <w:lang w:val="en-US" w:eastAsia="zh-CN"/>
              </w:rPr>
              <w:t>占地面积</w:t>
            </w:r>
          </w:p>
        </w:tc>
        <w:tc>
          <w:tcPr>
            <w:tcW w:w="1470" w:type="pct"/>
            <w:tcBorders>
              <w:tl2br w:val="nil"/>
              <w:tr2bl w:val="nil"/>
            </w:tcBorders>
            <w:noWrap w:val="0"/>
            <w:vAlign w:val="center"/>
          </w:tcPr>
          <w:p w14:paraId="7D9A74CC">
            <w:pPr>
              <w:pStyle w:val="37"/>
              <w:bidi w:val="0"/>
              <w:rPr>
                <w:rFonts w:hint="default"/>
                <w:lang w:val="en-US" w:eastAsia="zh-CN"/>
              </w:rPr>
            </w:pPr>
            <w:r>
              <w:rPr>
                <w:rFonts w:hint="eastAsia"/>
                <w:lang w:val="en-US" w:eastAsia="zh-CN"/>
              </w:rPr>
              <w:t>站内面积约0.9hm2</w:t>
            </w:r>
          </w:p>
        </w:tc>
        <w:tc>
          <w:tcPr>
            <w:tcW w:w="1360" w:type="pct"/>
            <w:tcBorders>
              <w:tl2br w:val="nil"/>
              <w:tr2bl w:val="nil"/>
            </w:tcBorders>
            <w:noWrap w:val="0"/>
            <w:vAlign w:val="center"/>
          </w:tcPr>
          <w:p w14:paraId="29AC5FFA">
            <w:pPr>
              <w:pStyle w:val="37"/>
              <w:bidi w:val="0"/>
              <w:rPr>
                <w:rFonts w:hint="eastAsia"/>
                <w:lang w:val="en-US" w:eastAsia="zh-CN"/>
              </w:rPr>
            </w:pPr>
            <w:r>
              <w:rPr>
                <w:rFonts w:hint="eastAsia"/>
                <w:lang w:val="en-US" w:eastAsia="zh-CN"/>
              </w:rPr>
              <w:t>站内面积约1.05hm2</w:t>
            </w:r>
          </w:p>
        </w:tc>
        <w:tc>
          <w:tcPr>
            <w:tcW w:w="1469" w:type="pct"/>
            <w:tcBorders>
              <w:tl2br w:val="nil"/>
              <w:tr2bl w:val="nil"/>
            </w:tcBorders>
            <w:noWrap w:val="0"/>
            <w:vAlign w:val="center"/>
          </w:tcPr>
          <w:p w14:paraId="24E28689">
            <w:pPr>
              <w:pStyle w:val="37"/>
              <w:bidi w:val="0"/>
              <w:rPr>
                <w:rFonts w:hint="default"/>
                <w:lang w:val="en-US" w:eastAsia="zh-CN"/>
              </w:rPr>
            </w:pPr>
            <w:r>
              <w:rPr>
                <w:rFonts w:hint="eastAsia"/>
                <w:lang w:val="en-US" w:eastAsia="zh-CN"/>
              </w:rPr>
              <w:t>两个升压站站内面积接近，可类比</w:t>
            </w:r>
          </w:p>
        </w:tc>
      </w:tr>
      <w:tr w14:paraId="02F55C1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699" w:type="pct"/>
            <w:tcBorders>
              <w:tl2br w:val="nil"/>
              <w:tr2bl w:val="nil"/>
            </w:tcBorders>
            <w:noWrap w:val="0"/>
            <w:vAlign w:val="center"/>
          </w:tcPr>
          <w:p w14:paraId="29D66A37">
            <w:pPr>
              <w:pStyle w:val="37"/>
              <w:bidi w:val="0"/>
              <w:rPr>
                <w:rFonts w:hint="default"/>
                <w:lang w:val="en-US" w:eastAsia="zh-CN"/>
              </w:rPr>
            </w:pPr>
            <w:r>
              <w:rPr>
                <w:rFonts w:hint="eastAsia"/>
                <w:lang w:val="en-US" w:eastAsia="zh-CN"/>
              </w:rPr>
              <w:t>主变至围墙最小距离</w:t>
            </w:r>
          </w:p>
        </w:tc>
        <w:tc>
          <w:tcPr>
            <w:tcW w:w="1470" w:type="pct"/>
            <w:tcBorders>
              <w:tl2br w:val="nil"/>
              <w:tr2bl w:val="nil"/>
            </w:tcBorders>
            <w:noWrap w:val="0"/>
            <w:vAlign w:val="center"/>
          </w:tcPr>
          <w:p w14:paraId="689A6286">
            <w:pPr>
              <w:pStyle w:val="37"/>
              <w:bidi w:val="0"/>
              <w:rPr>
                <w:rFonts w:hint="default"/>
                <w:lang w:val="en-US" w:eastAsia="zh-CN"/>
              </w:rPr>
            </w:pPr>
            <w:r>
              <w:rPr>
                <w:rFonts w:hint="eastAsia"/>
                <w:lang w:val="en-US" w:eastAsia="zh-CN"/>
              </w:rPr>
              <w:t>主变距离东厂界52m，南厂界48m，西厂界5m，北厂界30m。</w:t>
            </w:r>
          </w:p>
        </w:tc>
        <w:tc>
          <w:tcPr>
            <w:tcW w:w="1360" w:type="pct"/>
            <w:tcBorders>
              <w:tl2br w:val="nil"/>
              <w:tr2bl w:val="nil"/>
            </w:tcBorders>
            <w:noWrap w:val="0"/>
            <w:vAlign w:val="center"/>
          </w:tcPr>
          <w:p w14:paraId="2DD363C5">
            <w:pPr>
              <w:pStyle w:val="37"/>
              <w:bidi w:val="0"/>
              <w:rPr>
                <w:rFonts w:hint="default"/>
                <w:lang w:val="en-US" w:eastAsia="zh-CN"/>
              </w:rPr>
            </w:pPr>
            <w:r>
              <w:rPr>
                <w:rFonts w:hint="eastAsia"/>
                <w:lang w:val="en-US" w:eastAsia="zh-CN"/>
              </w:rPr>
              <w:t>主变距离东厂界42m，南厂界9m，西厂界33m，北厂界95m。</w:t>
            </w:r>
          </w:p>
        </w:tc>
        <w:tc>
          <w:tcPr>
            <w:tcW w:w="1469" w:type="pct"/>
            <w:tcBorders>
              <w:tl2br w:val="nil"/>
              <w:tr2bl w:val="nil"/>
            </w:tcBorders>
            <w:noWrap w:val="0"/>
            <w:vAlign w:val="center"/>
          </w:tcPr>
          <w:p w14:paraId="362ABAE8">
            <w:pPr>
              <w:pStyle w:val="37"/>
              <w:bidi w:val="0"/>
              <w:rPr>
                <w:rFonts w:hint="default"/>
                <w:lang w:val="en-US" w:eastAsia="zh-CN"/>
              </w:rPr>
            </w:pPr>
            <w:r>
              <w:rPr>
                <w:rFonts w:hint="eastAsia"/>
                <w:lang w:val="en-US" w:eastAsia="zh-CN"/>
              </w:rPr>
              <w:t>本项目升压站电磁环境影响小于类比升压站</w:t>
            </w:r>
          </w:p>
        </w:tc>
      </w:tr>
      <w:tr w14:paraId="33294F3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699" w:type="pct"/>
            <w:tcBorders>
              <w:tl2br w:val="nil"/>
              <w:tr2bl w:val="nil"/>
            </w:tcBorders>
            <w:noWrap w:val="0"/>
            <w:vAlign w:val="center"/>
          </w:tcPr>
          <w:p w14:paraId="26E780B2">
            <w:pPr>
              <w:pStyle w:val="37"/>
              <w:bidi w:val="0"/>
              <w:rPr>
                <w:rFonts w:hint="default"/>
                <w:lang w:val="en-US" w:eastAsia="zh-CN"/>
              </w:rPr>
            </w:pPr>
            <w:r>
              <w:rPr>
                <w:rFonts w:hint="eastAsia"/>
                <w:lang w:val="en-US" w:eastAsia="zh-CN"/>
              </w:rPr>
              <w:t>周边环境</w:t>
            </w:r>
          </w:p>
        </w:tc>
        <w:tc>
          <w:tcPr>
            <w:tcW w:w="1470" w:type="pct"/>
            <w:tcBorders>
              <w:tl2br w:val="nil"/>
              <w:tr2bl w:val="nil"/>
            </w:tcBorders>
            <w:noWrap w:val="0"/>
            <w:vAlign w:val="center"/>
          </w:tcPr>
          <w:p w14:paraId="2F7EF313">
            <w:pPr>
              <w:pStyle w:val="37"/>
              <w:bidi w:val="0"/>
              <w:rPr>
                <w:rFonts w:hint="eastAsia"/>
                <w:lang w:val="en-US" w:eastAsia="zh-CN"/>
              </w:rPr>
            </w:pPr>
            <w:r>
              <w:rPr>
                <w:rFonts w:hint="eastAsia"/>
                <w:lang w:val="en-US" w:eastAsia="zh-CN"/>
              </w:rPr>
              <w:t>云南省大理白族自治州云龙县，山地地形。</w:t>
            </w:r>
          </w:p>
        </w:tc>
        <w:tc>
          <w:tcPr>
            <w:tcW w:w="1360" w:type="pct"/>
            <w:tcBorders>
              <w:tl2br w:val="nil"/>
              <w:tr2bl w:val="nil"/>
            </w:tcBorders>
            <w:noWrap w:val="0"/>
            <w:vAlign w:val="center"/>
          </w:tcPr>
          <w:p w14:paraId="0D7AC125">
            <w:pPr>
              <w:pStyle w:val="37"/>
              <w:bidi w:val="0"/>
              <w:rPr>
                <w:rFonts w:hint="default"/>
                <w:lang w:val="en-US" w:eastAsia="zh-CN"/>
              </w:rPr>
            </w:pPr>
            <w:r>
              <w:rPr>
                <w:rFonts w:hint="eastAsia"/>
                <w:lang w:val="en-US" w:eastAsia="zh-CN"/>
              </w:rPr>
              <w:t>云南省曲靖市宣威市，山地地形</w:t>
            </w:r>
            <w:r>
              <w:rPr>
                <w:rFonts w:hint="eastAsia"/>
                <w:lang w:eastAsia="zh-CN"/>
              </w:rPr>
              <w:t>。</w:t>
            </w:r>
          </w:p>
        </w:tc>
        <w:tc>
          <w:tcPr>
            <w:tcW w:w="1469" w:type="pct"/>
            <w:tcBorders>
              <w:tl2br w:val="nil"/>
              <w:tr2bl w:val="nil"/>
            </w:tcBorders>
            <w:noWrap w:val="0"/>
            <w:vAlign w:val="center"/>
          </w:tcPr>
          <w:p w14:paraId="64916DDE">
            <w:pPr>
              <w:pStyle w:val="37"/>
              <w:bidi w:val="0"/>
              <w:rPr>
                <w:rFonts w:hint="default"/>
                <w:lang w:val="en-US" w:eastAsia="zh-CN"/>
              </w:rPr>
            </w:pPr>
            <w:r>
              <w:rPr>
                <w:rFonts w:hint="eastAsia"/>
                <w:lang w:val="en-US" w:eastAsia="zh-CN"/>
              </w:rPr>
              <w:t>基本一致</w:t>
            </w:r>
          </w:p>
        </w:tc>
      </w:tr>
    </w:tbl>
    <w:p w14:paraId="2E5A9038">
      <w:pPr>
        <w:spacing w:line="360" w:lineRule="auto"/>
        <w:ind w:firstLine="480" w:firstLineChars="200"/>
        <w:rPr>
          <w:color w:val="auto"/>
          <w:sz w:val="24"/>
        </w:rPr>
      </w:pPr>
      <w:r>
        <w:rPr>
          <w:rFonts w:hint="eastAsia"/>
          <w:color w:val="auto"/>
          <w:sz w:val="24"/>
        </w:rPr>
        <w:t>升压站</w:t>
      </w:r>
      <w:r>
        <w:rPr>
          <w:color w:val="auto"/>
          <w:sz w:val="24"/>
        </w:rPr>
        <w:t>的电磁环境影响主要与</w:t>
      </w:r>
      <w:r>
        <w:rPr>
          <w:rFonts w:hint="eastAsia"/>
          <w:color w:val="auto"/>
          <w:sz w:val="24"/>
        </w:rPr>
        <w:t>升压站</w:t>
      </w:r>
      <w:r>
        <w:rPr>
          <w:color w:val="auto"/>
          <w:sz w:val="24"/>
        </w:rPr>
        <w:t>的电压等级、主变数量</w:t>
      </w:r>
      <w:r>
        <w:rPr>
          <w:bCs/>
          <w:color w:val="auto"/>
          <w:sz w:val="24"/>
        </w:rPr>
        <w:t>（与主变台数密切相关）</w:t>
      </w:r>
      <w:r>
        <w:rPr>
          <w:color w:val="auto"/>
          <w:sz w:val="24"/>
        </w:rPr>
        <w:t>、布置方式</w:t>
      </w:r>
      <w:r>
        <w:rPr>
          <w:bCs/>
          <w:color w:val="auto"/>
          <w:sz w:val="24"/>
        </w:rPr>
        <w:t>（</w:t>
      </w:r>
      <w:r>
        <w:rPr>
          <w:rFonts w:hint="eastAsia"/>
          <w:bCs/>
          <w:color w:val="auto"/>
          <w:sz w:val="24"/>
        </w:rPr>
        <w:t>全户外布置</w:t>
      </w:r>
      <w:r>
        <w:rPr>
          <w:bCs/>
          <w:color w:val="auto"/>
          <w:sz w:val="24"/>
        </w:rPr>
        <w:t>、半室内布置或全</w:t>
      </w:r>
      <w:r>
        <w:rPr>
          <w:rFonts w:hint="eastAsia"/>
          <w:bCs/>
          <w:color w:val="auto"/>
          <w:sz w:val="24"/>
        </w:rPr>
        <w:t>户</w:t>
      </w:r>
      <w:r>
        <w:rPr>
          <w:bCs/>
          <w:color w:val="auto"/>
          <w:sz w:val="24"/>
        </w:rPr>
        <w:t>内布置）</w:t>
      </w:r>
      <w:r>
        <w:rPr>
          <w:color w:val="auto"/>
          <w:sz w:val="24"/>
        </w:rPr>
        <w:t>、高压配电装置的布置方式和线路出线方式</w:t>
      </w:r>
      <w:r>
        <w:rPr>
          <w:bCs/>
          <w:color w:val="auto"/>
          <w:sz w:val="24"/>
        </w:rPr>
        <w:t>（地下电缆出线或架空出线）</w:t>
      </w:r>
      <w:r>
        <w:rPr>
          <w:color w:val="auto"/>
          <w:sz w:val="24"/>
        </w:rPr>
        <w:t>有关，而与建设地点、管理单位等其他因素无直接关系。</w:t>
      </w:r>
    </w:p>
    <w:p w14:paraId="2A2E6594">
      <w:pPr>
        <w:spacing w:line="360" w:lineRule="auto"/>
        <w:ind w:firstLine="480" w:firstLineChars="200"/>
        <w:rPr>
          <w:rFonts w:hint="eastAsia"/>
          <w:bCs/>
          <w:color w:val="auto"/>
          <w:sz w:val="24"/>
          <w:highlight w:val="none"/>
        </w:rPr>
      </w:pPr>
      <w:r>
        <w:rPr>
          <w:rFonts w:hint="eastAsia" w:ascii="Times New Roman" w:hAnsi="Times New Roman" w:eastAsia="宋体" w:cs="Times New Roman"/>
          <w:bCs/>
          <w:color w:val="auto"/>
          <w:sz w:val="24"/>
          <w:highlight w:val="none"/>
        </w:rPr>
        <w:t>从表</w:t>
      </w:r>
      <w:r>
        <w:rPr>
          <w:rFonts w:hint="eastAsia" w:ascii="Times New Roman" w:hAnsi="Times New Roman" w:eastAsia="宋体" w:cs="Times New Roman"/>
          <w:bCs/>
          <w:color w:val="auto"/>
          <w:sz w:val="24"/>
          <w:highlight w:val="none"/>
          <w:lang w:val="en-US" w:eastAsia="zh-CN"/>
        </w:rPr>
        <w:t>4-1</w:t>
      </w:r>
      <w:r>
        <w:rPr>
          <w:rFonts w:hint="eastAsia" w:ascii="Times New Roman" w:hAnsi="Times New Roman" w:eastAsia="宋体" w:cs="Times New Roman"/>
          <w:bCs/>
          <w:color w:val="auto"/>
          <w:sz w:val="24"/>
          <w:highlight w:val="none"/>
        </w:rPr>
        <w:t>可以看出，</w:t>
      </w:r>
      <w:r>
        <w:rPr>
          <w:rFonts w:hint="eastAsia" w:ascii="Times New Roman" w:hAnsi="Times New Roman" w:eastAsia="宋体" w:cs="Times New Roman"/>
          <w:bCs/>
          <w:color w:val="auto"/>
          <w:sz w:val="24"/>
          <w:highlight w:val="none"/>
          <w:lang w:val="en-US" w:eastAsia="zh-CN"/>
        </w:rPr>
        <w:t>本项目储能升压站</w:t>
      </w:r>
      <w:r>
        <w:rPr>
          <w:rFonts w:hint="eastAsia" w:ascii="Times New Roman" w:hAnsi="Times New Roman" w:eastAsia="宋体" w:cs="Times New Roman"/>
          <w:bCs/>
          <w:color w:val="auto"/>
          <w:sz w:val="24"/>
          <w:highlight w:val="none"/>
        </w:rPr>
        <w:t>与</w:t>
      </w:r>
      <w:r>
        <w:rPr>
          <w:rFonts w:hint="default" w:ascii="Times New Roman" w:hAnsi="Times New Roman" w:eastAsia="宋体" w:cs="Times New Roman"/>
          <w:bCs/>
          <w:color w:val="auto"/>
          <w:sz w:val="24"/>
          <w:highlight w:val="none"/>
          <w:lang w:val="en-US" w:eastAsia="zh-CN"/>
        </w:rPr>
        <w:t>清水朗山风电场220kV升压站</w:t>
      </w:r>
      <w:r>
        <w:rPr>
          <w:rFonts w:hint="eastAsia" w:ascii="Times New Roman" w:hAnsi="Times New Roman" w:eastAsia="宋体" w:cs="Times New Roman"/>
          <w:bCs/>
          <w:color w:val="auto"/>
          <w:sz w:val="24"/>
          <w:highlight w:val="none"/>
        </w:rPr>
        <w:t>相比，影响工频电磁场分布的布置方式均为全户外布置，出线方式相同（本</w:t>
      </w:r>
      <w:r>
        <w:rPr>
          <w:rFonts w:hint="eastAsia" w:ascii="Times New Roman" w:hAnsi="Times New Roman" w:eastAsia="宋体" w:cs="Times New Roman"/>
          <w:bCs/>
          <w:color w:val="auto"/>
          <w:sz w:val="24"/>
          <w:highlight w:val="none"/>
          <w:lang w:val="en-US" w:eastAsia="zh-CN"/>
        </w:rPr>
        <w:t>项目</w:t>
      </w:r>
      <w:r>
        <w:rPr>
          <w:rFonts w:hint="eastAsia" w:ascii="Times New Roman" w:hAnsi="Times New Roman" w:eastAsia="宋体" w:cs="Times New Roman"/>
          <w:bCs/>
          <w:color w:val="auto"/>
          <w:sz w:val="24"/>
          <w:highlight w:val="none"/>
        </w:rPr>
        <w:t>与类比</w:t>
      </w:r>
      <w:r>
        <w:rPr>
          <w:rFonts w:hint="eastAsia" w:ascii="Times New Roman" w:hAnsi="Times New Roman" w:eastAsia="宋体" w:cs="Times New Roman"/>
          <w:bCs/>
          <w:color w:val="auto"/>
          <w:sz w:val="24"/>
          <w:highlight w:val="none"/>
          <w:lang w:val="en-US" w:eastAsia="zh-CN"/>
        </w:rPr>
        <w:t>项目</w:t>
      </w:r>
      <w:r>
        <w:rPr>
          <w:rFonts w:hint="eastAsia" w:ascii="Times New Roman" w:hAnsi="Times New Roman" w:eastAsia="宋体" w:cs="Times New Roman"/>
          <w:bCs/>
          <w:color w:val="auto"/>
          <w:sz w:val="24"/>
          <w:highlight w:val="none"/>
        </w:rPr>
        <w:t>220kV线路均为架空出线）；影响工频电场的电压等级相同；影响工频磁场的主变容量（即运行电流）中，本期工程主变容量（</w:t>
      </w:r>
      <w:r>
        <w:rPr>
          <w:rFonts w:hint="eastAsia" w:ascii="Times New Roman" w:hAnsi="Times New Roman" w:eastAsia="宋体" w:cs="Times New Roman"/>
          <w:bCs/>
          <w:color w:val="auto"/>
          <w:sz w:val="24"/>
          <w:highlight w:val="none"/>
          <w:lang w:val="en-US" w:eastAsia="zh-CN"/>
        </w:rPr>
        <w:t>1×2</w:t>
      </w:r>
      <w:r>
        <w:rPr>
          <w:rFonts w:hint="eastAsia" w:cs="Times New Roman"/>
          <w:bCs/>
          <w:color w:val="auto"/>
          <w:sz w:val="24"/>
          <w:highlight w:val="none"/>
          <w:lang w:val="en-US" w:eastAsia="zh-CN"/>
        </w:rPr>
        <w:t>1</w:t>
      </w:r>
      <w:r>
        <w:rPr>
          <w:rFonts w:hint="eastAsia" w:ascii="Times New Roman" w:hAnsi="Times New Roman" w:eastAsia="宋体" w:cs="Times New Roman"/>
          <w:bCs/>
          <w:color w:val="auto"/>
          <w:sz w:val="24"/>
          <w:highlight w:val="none"/>
          <w:lang w:val="en-US" w:eastAsia="zh-CN"/>
        </w:rPr>
        <w:t>0MVA，1×30MVA</w:t>
      </w:r>
      <w:r>
        <w:rPr>
          <w:rFonts w:hint="eastAsia" w:ascii="Times New Roman" w:hAnsi="Times New Roman" w:eastAsia="宋体" w:cs="Times New Roman"/>
          <w:bCs/>
          <w:color w:val="auto"/>
          <w:sz w:val="24"/>
          <w:highlight w:val="none"/>
        </w:rPr>
        <w:t>）小于类比变电站容量（</w:t>
      </w:r>
      <w:r>
        <w:rPr>
          <w:rFonts w:hint="eastAsia" w:cs="Times New Roman"/>
          <w:bCs/>
          <w:color w:val="auto"/>
          <w:sz w:val="24"/>
          <w:highlight w:val="none"/>
          <w:lang w:val="en-US" w:eastAsia="zh-CN"/>
        </w:rPr>
        <w:t>1×200MVA+1×100MWA</w:t>
      </w:r>
      <w:r>
        <w:rPr>
          <w:rFonts w:hint="eastAsia"/>
          <w:bCs/>
          <w:color w:val="auto"/>
          <w:sz w:val="24"/>
          <w:highlight w:val="none"/>
        </w:rPr>
        <w:t>）</w:t>
      </w:r>
      <w:r>
        <w:rPr>
          <w:rFonts w:hint="eastAsia"/>
          <w:bCs/>
          <w:color w:val="auto"/>
          <w:sz w:val="24"/>
          <w:highlight w:val="none"/>
          <w:lang w:eastAsia="zh-CN"/>
        </w:rPr>
        <w:t>。</w:t>
      </w:r>
      <w:r>
        <w:rPr>
          <w:rFonts w:hint="eastAsia"/>
          <w:bCs/>
          <w:color w:val="auto"/>
          <w:sz w:val="24"/>
          <w:highlight w:val="none"/>
          <w:lang w:val="en-US" w:eastAsia="zh-CN"/>
        </w:rPr>
        <w:t>本项目升压站主变位于西侧，本项目升压站内主变位于东北侧，布置位置相似。从进出线规模分析，本项目升压站电磁环境影响小于类比升压站</w:t>
      </w:r>
      <w:r>
        <w:rPr>
          <w:rFonts w:hint="eastAsia"/>
          <w:bCs/>
          <w:color w:val="auto"/>
          <w:sz w:val="24"/>
          <w:highlight w:val="none"/>
        </w:rPr>
        <w:t>。综合分析，用类比</w:t>
      </w:r>
      <w:r>
        <w:rPr>
          <w:rFonts w:hint="default" w:ascii="Times New Roman" w:hAnsi="Times New Roman" w:eastAsia="宋体" w:cs="Times New Roman"/>
          <w:bCs/>
          <w:color w:val="auto"/>
          <w:sz w:val="24"/>
          <w:highlight w:val="none"/>
          <w:lang w:val="en-US" w:eastAsia="zh-CN"/>
        </w:rPr>
        <w:t>清水朗山风电场220kV升压站</w:t>
      </w:r>
      <w:r>
        <w:rPr>
          <w:rFonts w:hint="eastAsia"/>
          <w:bCs/>
          <w:color w:val="auto"/>
          <w:sz w:val="24"/>
          <w:highlight w:val="none"/>
        </w:rPr>
        <w:t>运行期产生的工频电场、工频磁场监测数据来类比预测本项目220kV升压站是可行的。</w:t>
      </w:r>
    </w:p>
    <w:p w14:paraId="6083C65A">
      <w:pPr>
        <w:pStyle w:val="56"/>
        <w:bidi w:val="0"/>
        <w:rPr>
          <w:rFonts w:hint="default"/>
          <w:b/>
          <w:bCs/>
          <w:color w:val="auto"/>
          <w:lang w:val="en-US" w:eastAsia="zh-CN"/>
        </w:rPr>
      </w:pPr>
      <w:bookmarkStart w:id="133" w:name="_Toc742"/>
      <w:r>
        <w:rPr>
          <w:rFonts w:hint="eastAsia"/>
          <w:b/>
          <w:bCs/>
          <w:color w:val="auto"/>
          <w:lang w:val="en-US" w:eastAsia="zh-CN"/>
        </w:rPr>
        <w:t>（1）类比对象监测内容</w:t>
      </w:r>
      <w:bookmarkEnd w:id="133"/>
    </w:p>
    <w:p w14:paraId="102FF6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bCs/>
          <w:color w:val="auto"/>
          <w:sz w:val="24"/>
          <w:szCs w:val="24"/>
        </w:rPr>
      </w:pPr>
      <w:r>
        <w:rPr>
          <w:rFonts w:ascii="Times New Roman" w:hAnsi="Times New Roman"/>
          <w:bCs/>
          <w:color w:val="auto"/>
          <w:sz w:val="24"/>
          <w:szCs w:val="24"/>
        </w:rPr>
        <w:t>1）</w:t>
      </w:r>
      <w:r>
        <w:rPr>
          <w:rFonts w:hint="eastAsia"/>
          <w:bCs/>
          <w:color w:val="auto"/>
          <w:sz w:val="24"/>
          <w:szCs w:val="24"/>
          <w:lang w:val="en-US" w:eastAsia="zh-CN"/>
        </w:rPr>
        <w:t>类比监测因子</w:t>
      </w:r>
    </w:p>
    <w:p w14:paraId="1B3069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sz w:val="24"/>
          <w:szCs w:val="24"/>
        </w:rPr>
      </w:pPr>
      <w:r>
        <w:rPr>
          <w:rFonts w:hint="default" w:ascii="Times New Roman" w:hAnsi="Times New Roman" w:cs="Times New Roman"/>
          <w:color w:val="auto"/>
          <w:sz w:val="24"/>
        </w:rPr>
        <w:t>工频电场</w:t>
      </w:r>
      <w:r>
        <w:rPr>
          <w:rFonts w:hint="eastAsia" w:cs="Times New Roman"/>
          <w:color w:val="auto"/>
          <w:sz w:val="24"/>
          <w:lang w:eastAsia="zh-CN"/>
        </w:rPr>
        <w:t>强度</w:t>
      </w:r>
      <w:r>
        <w:rPr>
          <w:rFonts w:hint="default" w:ascii="Times New Roman" w:hAnsi="Times New Roman" w:cs="Times New Roman"/>
          <w:color w:val="auto"/>
          <w:sz w:val="24"/>
        </w:rPr>
        <w:t>、工频</w:t>
      </w:r>
      <w:r>
        <w:rPr>
          <w:rFonts w:hint="eastAsia" w:cs="Times New Roman"/>
          <w:color w:val="auto"/>
          <w:sz w:val="24"/>
          <w:lang w:eastAsia="zh-CN"/>
        </w:rPr>
        <w:t>磁感应强度</w:t>
      </w:r>
      <w:r>
        <w:rPr>
          <w:color w:val="auto"/>
          <w:sz w:val="24"/>
          <w:szCs w:val="24"/>
        </w:rPr>
        <w:t>。</w:t>
      </w:r>
    </w:p>
    <w:p w14:paraId="54CD0C2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bCs/>
          <w:color w:val="auto"/>
          <w:sz w:val="24"/>
          <w:szCs w:val="24"/>
          <w:lang w:val="en-US" w:eastAsia="zh-CN"/>
        </w:rPr>
      </w:pPr>
      <w:r>
        <w:rPr>
          <w:rFonts w:hint="eastAsia"/>
          <w:bCs/>
          <w:color w:val="auto"/>
          <w:sz w:val="24"/>
          <w:szCs w:val="24"/>
          <w:lang w:val="en-US" w:eastAsia="zh-CN"/>
        </w:rPr>
        <w:t>2</w:t>
      </w:r>
      <w:r>
        <w:rPr>
          <w:rFonts w:hint="eastAsia"/>
          <w:bCs/>
          <w:color w:val="auto"/>
          <w:sz w:val="24"/>
          <w:szCs w:val="24"/>
          <w:lang w:eastAsia="zh-CN"/>
        </w:rPr>
        <w:t>）</w:t>
      </w:r>
      <w:r>
        <w:rPr>
          <w:rFonts w:hint="eastAsia"/>
          <w:bCs/>
          <w:color w:val="auto"/>
          <w:sz w:val="24"/>
          <w:szCs w:val="24"/>
          <w:lang w:val="en-US" w:eastAsia="zh-CN"/>
        </w:rPr>
        <w:t>类比监测情况</w:t>
      </w:r>
    </w:p>
    <w:p w14:paraId="193BFF0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类比对象监测情况、监测仪器、运行工况详见以下各表。</w:t>
      </w:r>
    </w:p>
    <w:p w14:paraId="1FE4BAEC">
      <w:pPr>
        <w:pStyle w:val="52"/>
        <w:bidi w:val="0"/>
        <w:rPr>
          <w:rFonts w:hint="eastAsia"/>
          <w:color w:val="auto"/>
          <w:lang w:eastAsia="zh-CN"/>
        </w:rPr>
      </w:pPr>
    </w:p>
    <w:p w14:paraId="4FD60566">
      <w:pPr>
        <w:pStyle w:val="57"/>
        <w:spacing w:line="240" w:lineRule="auto"/>
        <w:jc w:val="center"/>
        <w:rPr>
          <w:rFonts w:hint="default" w:eastAsia="宋体"/>
          <w:color w:val="auto"/>
          <w:lang w:val="en-US" w:eastAsia="zh-CN"/>
        </w:rPr>
      </w:pPr>
      <w:r>
        <w:rPr>
          <w:rFonts w:hint="eastAsia"/>
          <w:b/>
          <w:bCs/>
          <w:color w:val="auto"/>
          <w:sz w:val="24"/>
          <w:szCs w:val="24"/>
          <w:lang w:eastAsia="zh-CN"/>
        </w:rPr>
        <w:t>表</w:t>
      </w:r>
      <w:r>
        <w:rPr>
          <w:rFonts w:hint="eastAsia"/>
          <w:b/>
          <w:bCs/>
          <w:color w:val="auto"/>
          <w:sz w:val="24"/>
          <w:szCs w:val="24"/>
          <w:lang w:val="en-US" w:eastAsia="zh-CN"/>
        </w:rPr>
        <w:t>4-2  类比对象监测情况一览表</w:t>
      </w:r>
    </w:p>
    <w:tbl>
      <w:tblPr>
        <w:tblStyle w:val="21"/>
        <w:tblW w:w="512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70"/>
        <w:gridCol w:w="7365"/>
      </w:tblGrid>
      <w:tr w14:paraId="7782B0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4" w:type="pct"/>
            <w:tcBorders>
              <w:tl2br w:val="nil"/>
              <w:tr2bl w:val="nil"/>
            </w:tcBorders>
            <w:noWrap w:val="0"/>
            <w:vAlign w:val="center"/>
          </w:tcPr>
          <w:p w14:paraId="569FA492">
            <w:pPr>
              <w:pStyle w:val="37"/>
              <w:keepNext w:val="0"/>
              <w:keepLines w:val="0"/>
              <w:suppressLineNumbers w:val="0"/>
              <w:bidi w:val="0"/>
              <w:spacing w:before="0" w:beforeAutospacing="0" w:after="0" w:afterAutospacing="0"/>
              <w:ind w:left="0" w:right="0"/>
              <w:rPr>
                <w:rFonts w:hint="default"/>
                <w:color w:val="auto"/>
                <w:sz w:val="21"/>
                <w:szCs w:val="21"/>
              </w:rPr>
            </w:pPr>
            <w:r>
              <w:rPr>
                <w:rFonts w:hint="default"/>
                <w:color w:val="auto"/>
                <w:sz w:val="21"/>
                <w:szCs w:val="21"/>
              </w:rPr>
              <w:t>监测时间</w:t>
            </w:r>
          </w:p>
        </w:tc>
        <w:tc>
          <w:tcPr>
            <w:tcW w:w="4215" w:type="pct"/>
            <w:tcBorders>
              <w:tl2br w:val="nil"/>
              <w:tr2bl w:val="nil"/>
            </w:tcBorders>
            <w:noWrap w:val="0"/>
            <w:vAlign w:val="center"/>
          </w:tcPr>
          <w:p w14:paraId="742FBDC5">
            <w:pPr>
              <w:pStyle w:val="37"/>
              <w:keepNext w:val="0"/>
              <w:keepLines w:val="0"/>
              <w:suppressLineNumbers w:val="0"/>
              <w:bidi w:val="0"/>
              <w:spacing w:before="0" w:beforeAutospacing="0" w:after="0" w:afterAutospacing="0"/>
              <w:ind w:left="0" w:right="0"/>
              <w:rPr>
                <w:rFonts w:hint="default" w:eastAsia="宋体"/>
                <w:color w:val="auto"/>
                <w:sz w:val="21"/>
                <w:szCs w:val="21"/>
                <w:lang w:val="en-US" w:eastAsia="zh-CN"/>
              </w:rPr>
            </w:pPr>
            <w:r>
              <w:rPr>
                <w:rFonts w:hint="default"/>
                <w:color w:val="auto"/>
                <w:sz w:val="21"/>
                <w:szCs w:val="21"/>
              </w:rPr>
              <w:t>20</w:t>
            </w:r>
            <w:r>
              <w:rPr>
                <w:rFonts w:hint="eastAsia"/>
                <w:color w:val="auto"/>
                <w:sz w:val="21"/>
                <w:szCs w:val="21"/>
                <w:lang w:val="en-US" w:eastAsia="zh-CN"/>
              </w:rPr>
              <w:t>23</w:t>
            </w:r>
            <w:r>
              <w:rPr>
                <w:rFonts w:hint="default"/>
                <w:color w:val="auto"/>
                <w:sz w:val="21"/>
                <w:szCs w:val="21"/>
              </w:rPr>
              <w:t>年</w:t>
            </w:r>
            <w:r>
              <w:rPr>
                <w:rFonts w:hint="eastAsia"/>
                <w:color w:val="auto"/>
                <w:sz w:val="21"/>
                <w:szCs w:val="21"/>
                <w:lang w:val="en-US" w:eastAsia="zh-CN"/>
              </w:rPr>
              <w:t>10</w:t>
            </w:r>
            <w:r>
              <w:rPr>
                <w:rFonts w:hint="default"/>
                <w:color w:val="auto"/>
                <w:sz w:val="21"/>
                <w:szCs w:val="21"/>
              </w:rPr>
              <w:t>月</w:t>
            </w:r>
            <w:r>
              <w:rPr>
                <w:rFonts w:hint="eastAsia"/>
                <w:color w:val="auto"/>
                <w:sz w:val="21"/>
                <w:szCs w:val="21"/>
                <w:lang w:val="en-US" w:eastAsia="zh-CN"/>
              </w:rPr>
              <w:t>26</w:t>
            </w:r>
            <w:r>
              <w:rPr>
                <w:rFonts w:hint="default"/>
                <w:color w:val="auto"/>
                <w:sz w:val="21"/>
                <w:szCs w:val="21"/>
              </w:rPr>
              <w:t>日</w:t>
            </w:r>
            <w:r>
              <w:rPr>
                <w:rFonts w:hint="eastAsia"/>
                <w:color w:val="auto"/>
                <w:sz w:val="21"/>
                <w:szCs w:val="21"/>
                <w:lang w:eastAsia="zh-CN"/>
              </w:rPr>
              <w:t>—</w:t>
            </w:r>
            <w:r>
              <w:rPr>
                <w:rFonts w:hint="eastAsia"/>
                <w:color w:val="auto"/>
                <w:sz w:val="21"/>
                <w:szCs w:val="21"/>
                <w:lang w:val="en-US" w:eastAsia="zh-CN"/>
              </w:rPr>
              <w:t>27日</w:t>
            </w:r>
          </w:p>
        </w:tc>
      </w:tr>
      <w:tr w14:paraId="726F30D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4" w:type="pct"/>
            <w:tcBorders>
              <w:tl2br w:val="nil"/>
              <w:tr2bl w:val="nil"/>
            </w:tcBorders>
            <w:noWrap w:val="0"/>
            <w:vAlign w:val="center"/>
          </w:tcPr>
          <w:p w14:paraId="2046B2BD">
            <w:pPr>
              <w:pStyle w:val="37"/>
              <w:keepNext w:val="0"/>
              <w:keepLines w:val="0"/>
              <w:suppressLineNumbers w:val="0"/>
              <w:bidi w:val="0"/>
              <w:spacing w:before="0" w:beforeAutospacing="0" w:after="0" w:afterAutospacing="0"/>
              <w:ind w:left="0" w:right="0"/>
              <w:rPr>
                <w:rFonts w:hint="default"/>
                <w:color w:val="auto"/>
                <w:sz w:val="21"/>
                <w:szCs w:val="21"/>
              </w:rPr>
            </w:pPr>
            <w:r>
              <w:rPr>
                <w:rFonts w:hint="default"/>
                <w:color w:val="auto"/>
                <w:sz w:val="21"/>
                <w:szCs w:val="21"/>
              </w:rPr>
              <w:t>监测单位</w:t>
            </w:r>
          </w:p>
        </w:tc>
        <w:tc>
          <w:tcPr>
            <w:tcW w:w="4215" w:type="pct"/>
            <w:tcBorders>
              <w:tl2br w:val="nil"/>
              <w:tr2bl w:val="nil"/>
            </w:tcBorders>
            <w:noWrap w:val="0"/>
            <w:vAlign w:val="center"/>
          </w:tcPr>
          <w:p w14:paraId="46F54646">
            <w:pPr>
              <w:pStyle w:val="37"/>
              <w:keepNext w:val="0"/>
              <w:keepLines w:val="0"/>
              <w:suppressLineNumbers w:val="0"/>
              <w:bidi w:val="0"/>
              <w:spacing w:before="0" w:beforeAutospacing="0" w:after="0" w:afterAutospacing="0"/>
              <w:ind w:left="0" w:right="0"/>
              <w:rPr>
                <w:rFonts w:hint="default" w:eastAsia="宋体"/>
                <w:color w:val="auto"/>
                <w:sz w:val="21"/>
                <w:szCs w:val="21"/>
                <w:lang w:val="en-US" w:eastAsia="zh-CN"/>
              </w:rPr>
            </w:pPr>
            <w:r>
              <w:rPr>
                <w:rFonts w:hint="eastAsia"/>
                <w:color w:val="auto"/>
                <w:sz w:val="21"/>
                <w:szCs w:val="21"/>
                <w:lang w:val="en-US" w:eastAsia="zh-CN"/>
              </w:rPr>
              <w:t>云南科诚环境监测有限公司</w:t>
            </w:r>
          </w:p>
        </w:tc>
      </w:tr>
      <w:tr w14:paraId="1C05F2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3" w:hRule="atLeast"/>
        </w:trPr>
        <w:tc>
          <w:tcPr>
            <w:tcW w:w="784" w:type="pct"/>
            <w:tcBorders>
              <w:tl2br w:val="nil"/>
              <w:tr2bl w:val="nil"/>
            </w:tcBorders>
            <w:noWrap w:val="0"/>
            <w:vAlign w:val="center"/>
          </w:tcPr>
          <w:p w14:paraId="1518DEC8">
            <w:pPr>
              <w:pStyle w:val="37"/>
              <w:keepNext w:val="0"/>
              <w:keepLines w:val="0"/>
              <w:suppressLineNumbers w:val="0"/>
              <w:bidi w:val="0"/>
              <w:spacing w:before="0" w:beforeAutospacing="0" w:after="0" w:afterAutospacing="0"/>
              <w:ind w:left="0" w:right="0"/>
              <w:rPr>
                <w:rFonts w:hint="default"/>
                <w:color w:val="auto"/>
                <w:sz w:val="21"/>
                <w:szCs w:val="21"/>
              </w:rPr>
            </w:pPr>
            <w:r>
              <w:rPr>
                <w:rFonts w:hint="default"/>
                <w:color w:val="auto"/>
                <w:sz w:val="21"/>
                <w:szCs w:val="21"/>
              </w:rPr>
              <w:t>检测地点</w:t>
            </w:r>
          </w:p>
        </w:tc>
        <w:tc>
          <w:tcPr>
            <w:tcW w:w="4215" w:type="pct"/>
            <w:tcBorders>
              <w:tl2br w:val="nil"/>
              <w:tr2bl w:val="nil"/>
            </w:tcBorders>
            <w:noWrap w:val="0"/>
            <w:vAlign w:val="center"/>
          </w:tcPr>
          <w:p w14:paraId="3551383A">
            <w:pPr>
              <w:pStyle w:val="37"/>
              <w:keepNext w:val="0"/>
              <w:keepLines w:val="0"/>
              <w:suppressLineNumbers w:val="0"/>
              <w:bidi w:val="0"/>
              <w:spacing w:before="0" w:beforeAutospacing="0" w:after="0" w:afterAutospacing="0"/>
              <w:ind w:left="0" w:right="0"/>
              <w:rPr>
                <w:rFonts w:hint="default" w:eastAsia="宋体"/>
                <w:color w:val="auto"/>
                <w:sz w:val="21"/>
                <w:szCs w:val="21"/>
                <w:lang w:val="en-US" w:eastAsia="zh-CN"/>
              </w:rPr>
            </w:pPr>
            <w:r>
              <w:rPr>
                <w:rFonts w:hint="eastAsia"/>
                <w:color w:val="auto"/>
                <w:sz w:val="21"/>
                <w:szCs w:val="21"/>
                <w:lang w:val="en-US" w:eastAsia="zh-CN"/>
              </w:rPr>
              <w:t>大理州云龙县长新乡</w:t>
            </w:r>
          </w:p>
        </w:tc>
      </w:tr>
    </w:tbl>
    <w:p w14:paraId="629FDD9B">
      <w:pPr>
        <w:pStyle w:val="57"/>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eastAsia="宋体"/>
          <w:b/>
          <w:bCs/>
          <w:color w:val="auto"/>
          <w:sz w:val="24"/>
          <w:szCs w:val="24"/>
          <w:lang w:val="en-US" w:eastAsia="zh-CN"/>
        </w:rPr>
      </w:pPr>
    </w:p>
    <w:p w14:paraId="6D6E3A00">
      <w:pPr>
        <w:pStyle w:val="57"/>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eastAsia="宋体"/>
          <w:b/>
          <w:bCs/>
          <w:color w:val="auto"/>
          <w:sz w:val="24"/>
          <w:szCs w:val="24"/>
          <w:lang w:eastAsia="zh-CN"/>
        </w:rPr>
      </w:pPr>
      <w:r>
        <w:rPr>
          <w:rFonts w:hint="eastAsia" w:eastAsia="宋体"/>
          <w:b/>
          <w:bCs/>
          <w:color w:val="auto"/>
          <w:sz w:val="24"/>
          <w:szCs w:val="24"/>
          <w:lang w:val="en-US" w:eastAsia="zh-CN"/>
        </w:rPr>
        <w:t xml:space="preserve">表4-3  </w:t>
      </w:r>
      <w:r>
        <w:rPr>
          <w:rFonts w:hint="eastAsia" w:eastAsia="宋体"/>
          <w:b/>
          <w:bCs/>
          <w:color w:val="auto"/>
          <w:sz w:val="24"/>
          <w:szCs w:val="24"/>
          <w:lang w:eastAsia="zh-CN"/>
        </w:rPr>
        <w:t>监测</w:t>
      </w:r>
      <w:r>
        <w:rPr>
          <w:rFonts w:hint="eastAsia" w:eastAsia="宋体"/>
          <w:b/>
          <w:bCs/>
          <w:color w:val="auto"/>
          <w:sz w:val="24"/>
          <w:szCs w:val="24"/>
          <w:lang w:val="en-US" w:eastAsia="zh-CN"/>
        </w:rPr>
        <w:t>信息</w:t>
      </w:r>
      <w:r>
        <w:rPr>
          <w:rFonts w:hint="eastAsia" w:eastAsia="宋体"/>
          <w:b/>
          <w:bCs/>
          <w:color w:val="auto"/>
          <w:sz w:val="24"/>
          <w:szCs w:val="24"/>
          <w:lang w:eastAsia="zh-CN"/>
        </w:rPr>
        <w:t>一览表</w:t>
      </w:r>
    </w:p>
    <w:tbl>
      <w:tblPr>
        <w:tblStyle w:val="20"/>
        <w:tblW w:w="5311"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56" w:type="dxa"/>
          <w:left w:w="108" w:type="dxa"/>
          <w:bottom w:w="56" w:type="dxa"/>
          <w:right w:w="108" w:type="dxa"/>
        </w:tblCellMar>
      </w:tblPr>
      <w:tblGrid>
        <w:gridCol w:w="1182"/>
        <w:gridCol w:w="2374"/>
        <w:gridCol w:w="2163"/>
        <w:gridCol w:w="1399"/>
        <w:gridCol w:w="1697"/>
      </w:tblGrid>
      <w:tr w14:paraId="2C8E944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108" w:type="dxa"/>
            <w:bottom w:w="56" w:type="dxa"/>
            <w:right w:w="108" w:type="dxa"/>
          </w:tblCellMar>
        </w:tblPrEx>
        <w:trPr>
          <w:cantSplit/>
          <w:trHeight w:val="0" w:hRule="atLeast"/>
          <w:jc w:val="center"/>
        </w:trPr>
        <w:tc>
          <w:tcPr>
            <w:tcW w:w="670" w:type="pct"/>
            <w:tcBorders>
              <w:tl2br w:val="nil"/>
              <w:tr2bl w:val="nil"/>
            </w:tcBorders>
            <w:noWrap w:val="0"/>
            <w:tcMar>
              <w:top w:w="0" w:type="dxa"/>
              <w:left w:w="0" w:type="dxa"/>
              <w:bottom w:w="0" w:type="dxa"/>
              <w:right w:w="0" w:type="dxa"/>
            </w:tcMar>
            <w:vAlign w:val="center"/>
          </w:tcPr>
          <w:p w14:paraId="042B92B6">
            <w:pPr>
              <w:pStyle w:val="34"/>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监测项目</w:t>
            </w:r>
          </w:p>
        </w:tc>
        <w:tc>
          <w:tcPr>
            <w:tcW w:w="1346" w:type="pct"/>
            <w:tcBorders>
              <w:tl2br w:val="nil"/>
              <w:tr2bl w:val="nil"/>
            </w:tcBorders>
            <w:noWrap w:val="0"/>
            <w:tcMar>
              <w:top w:w="0" w:type="dxa"/>
              <w:left w:w="0" w:type="dxa"/>
              <w:bottom w:w="0" w:type="dxa"/>
              <w:right w:w="0" w:type="dxa"/>
            </w:tcMar>
            <w:vAlign w:val="center"/>
          </w:tcPr>
          <w:p w14:paraId="6CD4C6DB">
            <w:pPr>
              <w:pStyle w:val="34"/>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检测方法依据标准代号及名称</w:t>
            </w:r>
          </w:p>
        </w:tc>
        <w:tc>
          <w:tcPr>
            <w:tcW w:w="1226" w:type="pct"/>
            <w:tcBorders>
              <w:tl2br w:val="nil"/>
              <w:tr2bl w:val="nil"/>
            </w:tcBorders>
            <w:noWrap w:val="0"/>
            <w:tcMar>
              <w:top w:w="0" w:type="dxa"/>
              <w:left w:w="0" w:type="dxa"/>
              <w:bottom w:w="0" w:type="dxa"/>
              <w:right w:w="0" w:type="dxa"/>
            </w:tcMar>
            <w:vAlign w:val="center"/>
          </w:tcPr>
          <w:p w14:paraId="6B667A10">
            <w:pPr>
              <w:pStyle w:val="34"/>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主要检测仪器设备型号及名称、编号</w:t>
            </w:r>
          </w:p>
        </w:tc>
        <w:tc>
          <w:tcPr>
            <w:tcW w:w="793" w:type="pct"/>
            <w:tcBorders>
              <w:tl2br w:val="nil"/>
              <w:tr2bl w:val="nil"/>
            </w:tcBorders>
            <w:noWrap w:val="0"/>
            <w:tcMar>
              <w:top w:w="0" w:type="dxa"/>
              <w:left w:w="0" w:type="dxa"/>
              <w:bottom w:w="0" w:type="dxa"/>
              <w:right w:w="0" w:type="dxa"/>
            </w:tcMar>
            <w:vAlign w:val="center"/>
          </w:tcPr>
          <w:p w14:paraId="53B44B67">
            <w:pPr>
              <w:pStyle w:val="34"/>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检测人员</w:t>
            </w:r>
          </w:p>
        </w:tc>
        <w:tc>
          <w:tcPr>
            <w:tcW w:w="962" w:type="pct"/>
            <w:tcBorders>
              <w:tl2br w:val="nil"/>
              <w:tr2bl w:val="nil"/>
            </w:tcBorders>
            <w:noWrap w:val="0"/>
            <w:tcMar>
              <w:top w:w="0" w:type="dxa"/>
              <w:left w:w="0" w:type="dxa"/>
              <w:bottom w:w="0" w:type="dxa"/>
              <w:right w:w="0" w:type="dxa"/>
            </w:tcMar>
            <w:vAlign w:val="center"/>
          </w:tcPr>
          <w:p w14:paraId="33CCCFF5">
            <w:pPr>
              <w:pStyle w:val="34"/>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检出限或最低检出浓度</w:t>
            </w:r>
          </w:p>
        </w:tc>
      </w:tr>
      <w:tr w14:paraId="6B52F8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108" w:type="dxa"/>
            <w:bottom w:w="56" w:type="dxa"/>
            <w:right w:w="108" w:type="dxa"/>
          </w:tblCellMar>
        </w:tblPrEx>
        <w:trPr>
          <w:cantSplit/>
          <w:trHeight w:val="0" w:hRule="atLeast"/>
          <w:jc w:val="center"/>
        </w:trPr>
        <w:tc>
          <w:tcPr>
            <w:tcW w:w="670" w:type="pct"/>
            <w:tcBorders>
              <w:tl2br w:val="nil"/>
              <w:tr2bl w:val="nil"/>
            </w:tcBorders>
            <w:noWrap w:val="0"/>
            <w:tcMar>
              <w:top w:w="0" w:type="dxa"/>
              <w:left w:w="0" w:type="dxa"/>
              <w:bottom w:w="0" w:type="dxa"/>
              <w:right w:w="0" w:type="dxa"/>
            </w:tcMar>
            <w:vAlign w:val="center"/>
          </w:tcPr>
          <w:p w14:paraId="406130CB">
            <w:pPr>
              <w:pStyle w:val="34"/>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工频电场</w:t>
            </w:r>
          </w:p>
        </w:tc>
        <w:tc>
          <w:tcPr>
            <w:tcW w:w="1346" w:type="pct"/>
            <w:vMerge w:val="restart"/>
            <w:tcBorders>
              <w:tl2br w:val="nil"/>
              <w:tr2bl w:val="nil"/>
            </w:tcBorders>
            <w:noWrap w:val="0"/>
            <w:tcMar>
              <w:top w:w="0" w:type="dxa"/>
              <w:left w:w="0" w:type="dxa"/>
              <w:bottom w:w="0" w:type="dxa"/>
              <w:right w:w="0" w:type="dxa"/>
            </w:tcMar>
            <w:vAlign w:val="center"/>
          </w:tcPr>
          <w:p w14:paraId="21D804FE">
            <w:pPr>
              <w:pStyle w:val="34"/>
              <w:keepNext w:val="0"/>
              <w:keepLines w:val="0"/>
              <w:suppressLineNumbers w:val="0"/>
              <w:bidi w:val="0"/>
              <w:spacing w:before="0" w:beforeAutospacing="0" w:after="0" w:afterAutospacing="0"/>
              <w:ind w:left="0" w:right="0"/>
              <w:jc w:val="both"/>
              <w:rPr>
                <w:rFonts w:hint="default"/>
                <w:color w:val="auto"/>
                <w:lang w:val="en-US" w:eastAsia="zh-CN"/>
              </w:rPr>
            </w:pPr>
            <w:r>
              <w:rPr>
                <w:rFonts w:hint="eastAsia"/>
                <w:color w:val="auto"/>
                <w:lang w:val="en-US" w:eastAsia="zh-CN"/>
              </w:rPr>
              <w:t>交流输电工程电磁环境监测方法（试行）HJ681-2013</w:t>
            </w:r>
          </w:p>
        </w:tc>
        <w:tc>
          <w:tcPr>
            <w:tcW w:w="1226" w:type="pct"/>
            <w:vMerge w:val="restart"/>
            <w:tcBorders>
              <w:tl2br w:val="nil"/>
              <w:tr2bl w:val="nil"/>
            </w:tcBorders>
            <w:noWrap w:val="0"/>
            <w:tcMar>
              <w:top w:w="0" w:type="dxa"/>
              <w:left w:w="0" w:type="dxa"/>
              <w:bottom w:w="0" w:type="dxa"/>
              <w:right w:w="0" w:type="dxa"/>
            </w:tcMar>
            <w:vAlign w:val="center"/>
          </w:tcPr>
          <w:p w14:paraId="57C9112A">
            <w:pPr>
              <w:pStyle w:val="34"/>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SEM-600电磁辐射分析仪</w:t>
            </w:r>
            <w:r>
              <w:rPr>
                <w:rFonts w:hint="eastAsia"/>
                <w:color w:val="auto"/>
                <w:lang w:val="en-US" w:eastAsia="zh-CN"/>
              </w:rPr>
              <w:t>、</w:t>
            </w:r>
            <w:r>
              <w:rPr>
                <w:rFonts w:hint="default"/>
                <w:color w:val="auto"/>
                <w:lang w:val="en-US" w:eastAsia="zh-CN"/>
              </w:rPr>
              <w:t>LF-01电磁场探头</w:t>
            </w:r>
          </w:p>
        </w:tc>
        <w:tc>
          <w:tcPr>
            <w:tcW w:w="793" w:type="pct"/>
            <w:vMerge w:val="restart"/>
            <w:tcBorders>
              <w:tl2br w:val="nil"/>
              <w:tr2bl w:val="nil"/>
            </w:tcBorders>
            <w:noWrap w:val="0"/>
            <w:tcMar>
              <w:top w:w="0" w:type="dxa"/>
              <w:left w:w="0" w:type="dxa"/>
              <w:bottom w:w="0" w:type="dxa"/>
              <w:right w:w="0" w:type="dxa"/>
            </w:tcMar>
            <w:vAlign w:val="center"/>
          </w:tcPr>
          <w:p w14:paraId="74555ADC">
            <w:pPr>
              <w:pStyle w:val="34"/>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黄磊</w:t>
            </w:r>
            <w:r>
              <w:rPr>
                <w:rFonts w:hint="eastAsia"/>
                <w:color w:val="auto"/>
                <w:lang w:val="en-US" w:eastAsia="zh-CN"/>
              </w:rPr>
              <w:t>、</w:t>
            </w:r>
            <w:r>
              <w:rPr>
                <w:rFonts w:hint="default"/>
                <w:color w:val="auto"/>
                <w:lang w:val="en-US" w:eastAsia="zh-CN"/>
              </w:rPr>
              <w:t>胡鹏</w:t>
            </w:r>
          </w:p>
        </w:tc>
        <w:tc>
          <w:tcPr>
            <w:tcW w:w="962" w:type="pct"/>
            <w:tcBorders>
              <w:tl2br w:val="nil"/>
              <w:tr2bl w:val="nil"/>
            </w:tcBorders>
            <w:noWrap w:val="0"/>
            <w:tcMar>
              <w:top w:w="0" w:type="dxa"/>
              <w:left w:w="0" w:type="dxa"/>
              <w:bottom w:w="0" w:type="dxa"/>
              <w:right w:w="0" w:type="dxa"/>
            </w:tcMar>
            <w:vAlign w:val="center"/>
          </w:tcPr>
          <w:p w14:paraId="5710E7F8">
            <w:pPr>
              <w:pStyle w:val="34"/>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w:t>
            </w:r>
          </w:p>
        </w:tc>
      </w:tr>
      <w:tr w14:paraId="6FCDE8C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56" w:type="dxa"/>
            <w:left w:w="108" w:type="dxa"/>
            <w:bottom w:w="56" w:type="dxa"/>
            <w:right w:w="108" w:type="dxa"/>
          </w:tblCellMar>
        </w:tblPrEx>
        <w:trPr>
          <w:cantSplit/>
          <w:trHeight w:val="0" w:hRule="atLeast"/>
          <w:jc w:val="center"/>
        </w:trPr>
        <w:tc>
          <w:tcPr>
            <w:tcW w:w="670" w:type="pct"/>
            <w:tcBorders>
              <w:tl2br w:val="nil"/>
              <w:tr2bl w:val="nil"/>
            </w:tcBorders>
            <w:noWrap w:val="0"/>
            <w:tcMar>
              <w:top w:w="0" w:type="dxa"/>
              <w:left w:w="0" w:type="dxa"/>
              <w:bottom w:w="0" w:type="dxa"/>
              <w:right w:w="0" w:type="dxa"/>
            </w:tcMar>
            <w:vAlign w:val="center"/>
          </w:tcPr>
          <w:p w14:paraId="5C1C6D9F">
            <w:pPr>
              <w:pStyle w:val="34"/>
              <w:keepNext w:val="0"/>
              <w:keepLines w:val="0"/>
              <w:suppressLineNumbers w:val="0"/>
              <w:bidi w:val="0"/>
              <w:spacing w:before="0" w:beforeAutospacing="0" w:after="0" w:afterAutospacing="0"/>
              <w:ind w:left="0" w:right="0"/>
              <w:rPr>
                <w:rFonts w:hint="default"/>
                <w:color w:val="auto"/>
                <w:lang w:val="en-US" w:eastAsia="zh-CN"/>
              </w:rPr>
            </w:pPr>
            <w:r>
              <w:rPr>
                <w:rFonts w:hint="default"/>
                <w:color w:val="auto"/>
                <w:lang w:val="en-US" w:eastAsia="zh-CN"/>
              </w:rPr>
              <w:t>工频磁场</w:t>
            </w:r>
          </w:p>
        </w:tc>
        <w:tc>
          <w:tcPr>
            <w:tcW w:w="1346" w:type="pct"/>
            <w:vMerge w:val="continue"/>
            <w:tcBorders>
              <w:tl2br w:val="nil"/>
              <w:tr2bl w:val="nil"/>
            </w:tcBorders>
            <w:noWrap w:val="0"/>
            <w:tcMar>
              <w:top w:w="0" w:type="dxa"/>
              <w:left w:w="0" w:type="dxa"/>
              <w:bottom w:w="0" w:type="dxa"/>
              <w:right w:w="0" w:type="dxa"/>
            </w:tcMar>
            <w:vAlign w:val="center"/>
          </w:tcPr>
          <w:p w14:paraId="5AF5F27A">
            <w:pPr>
              <w:pStyle w:val="34"/>
              <w:keepNext w:val="0"/>
              <w:keepLines w:val="0"/>
              <w:suppressLineNumbers w:val="0"/>
              <w:bidi w:val="0"/>
              <w:spacing w:before="0" w:beforeAutospacing="0" w:after="0" w:afterAutospacing="0"/>
              <w:ind w:left="0" w:right="0"/>
              <w:rPr>
                <w:rFonts w:hint="default"/>
                <w:color w:val="auto"/>
                <w:lang w:val="en-US" w:eastAsia="zh-CN"/>
              </w:rPr>
            </w:pPr>
          </w:p>
        </w:tc>
        <w:tc>
          <w:tcPr>
            <w:tcW w:w="1226" w:type="pct"/>
            <w:vMerge w:val="continue"/>
            <w:tcBorders>
              <w:tl2br w:val="nil"/>
              <w:tr2bl w:val="nil"/>
            </w:tcBorders>
            <w:noWrap w:val="0"/>
            <w:tcMar>
              <w:top w:w="0" w:type="dxa"/>
              <w:left w:w="0" w:type="dxa"/>
              <w:bottom w:w="0" w:type="dxa"/>
              <w:right w:w="0" w:type="dxa"/>
            </w:tcMar>
            <w:vAlign w:val="center"/>
          </w:tcPr>
          <w:p w14:paraId="1668B4D4">
            <w:pPr>
              <w:pStyle w:val="34"/>
              <w:keepNext w:val="0"/>
              <w:keepLines w:val="0"/>
              <w:suppressLineNumbers w:val="0"/>
              <w:bidi w:val="0"/>
              <w:spacing w:before="0" w:beforeAutospacing="0" w:after="0" w:afterAutospacing="0"/>
              <w:ind w:left="0" w:right="0"/>
              <w:rPr>
                <w:rFonts w:hint="default"/>
                <w:color w:val="auto"/>
                <w:lang w:val="en-US" w:eastAsia="zh-CN"/>
              </w:rPr>
            </w:pPr>
          </w:p>
        </w:tc>
        <w:tc>
          <w:tcPr>
            <w:tcW w:w="793" w:type="pct"/>
            <w:vMerge w:val="continue"/>
            <w:tcBorders>
              <w:tl2br w:val="nil"/>
              <w:tr2bl w:val="nil"/>
            </w:tcBorders>
            <w:noWrap w:val="0"/>
            <w:tcMar>
              <w:top w:w="0" w:type="dxa"/>
              <w:left w:w="0" w:type="dxa"/>
              <w:bottom w:w="0" w:type="dxa"/>
              <w:right w:w="0" w:type="dxa"/>
            </w:tcMar>
            <w:vAlign w:val="center"/>
          </w:tcPr>
          <w:p w14:paraId="4BB0BEC9">
            <w:pPr>
              <w:pStyle w:val="34"/>
              <w:keepNext w:val="0"/>
              <w:keepLines w:val="0"/>
              <w:suppressLineNumbers w:val="0"/>
              <w:bidi w:val="0"/>
              <w:spacing w:before="0" w:beforeAutospacing="0" w:after="0" w:afterAutospacing="0"/>
              <w:ind w:left="0" w:right="0"/>
              <w:rPr>
                <w:rFonts w:hint="default"/>
                <w:color w:val="auto"/>
                <w:lang w:val="en-US" w:eastAsia="zh-CN"/>
              </w:rPr>
            </w:pPr>
          </w:p>
        </w:tc>
        <w:tc>
          <w:tcPr>
            <w:tcW w:w="962" w:type="pct"/>
            <w:tcBorders>
              <w:tl2br w:val="nil"/>
              <w:tr2bl w:val="nil"/>
            </w:tcBorders>
            <w:noWrap w:val="0"/>
            <w:tcMar>
              <w:top w:w="0" w:type="dxa"/>
              <w:left w:w="0" w:type="dxa"/>
              <w:bottom w:w="0" w:type="dxa"/>
              <w:right w:w="0" w:type="dxa"/>
            </w:tcMar>
            <w:vAlign w:val="center"/>
          </w:tcPr>
          <w:p w14:paraId="066E328F">
            <w:pPr>
              <w:pStyle w:val="34"/>
              <w:keepNext w:val="0"/>
              <w:keepLines w:val="0"/>
              <w:suppressLineNumbers w:val="0"/>
              <w:bidi w:val="0"/>
              <w:spacing w:before="0" w:beforeAutospacing="0" w:after="0" w:afterAutospacing="0"/>
              <w:ind w:left="0" w:right="0"/>
              <w:rPr>
                <w:rFonts w:hint="default"/>
                <w:color w:val="auto"/>
                <w:lang w:val="en-US" w:eastAsia="zh-CN"/>
              </w:rPr>
            </w:pPr>
            <w:r>
              <w:rPr>
                <w:rFonts w:hint="eastAsia"/>
                <w:color w:val="auto"/>
                <w:lang w:val="en-US" w:eastAsia="zh-CN"/>
              </w:rPr>
              <w:t>/</w:t>
            </w:r>
          </w:p>
        </w:tc>
      </w:tr>
    </w:tbl>
    <w:p w14:paraId="1CA39A62">
      <w:pPr>
        <w:pStyle w:val="37"/>
        <w:bidi w:val="0"/>
        <w:rPr>
          <w:rFonts w:hint="eastAsia"/>
          <w:color w:val="auto"/>
          <w:lang w:val="en-US" w:eastAsia="zh-CN"/>
        </w:rPr>
      </w:pPr>
    </w:p>
    <w:p w14:paraId="6D5558A4">
      <w:pPr>
        <w:pStyle w:val="8"/>
        <w:keepNext w:val="0"/>
        <w:keepLines w:val="0"/>
        <w:pageBreakBefore w:val="0"/>
        <w:widowControl w:val="0"/>
        <w:kinsoku/>
        <w:wordWrap/>
        <w:overflowPunct/>
        <w:topLinePunct w:val="0"/>
        <w:autoSpaceDE/>
        <w:autoSpaceDN/>
        <w:bidi w:val="0"/>
        <w:adjustRightInd/>
        <w:snapToGrid/>
        <w:spacing w:after="0" w:afterLines="0" w:line="240" w:lineRule="auto"/>
        <w:jc w:val="center"/>
        <w:textAlignment w:val="auto"/>
        <w:rPr>
          <w:rFonts w:hint="eastAsia" w:ascii="Times New Roman" w:hAnsi="Times New Roman" w:eastAsia="宋体" w:cs="Times New Roman"/>
          <w:b/>
          <w:bCs/>
          <w:color w:val="auto"/>
          <w:kern w:val="2"/>
          <w:sz w:val="24"/>
          <w:szCs w:val="24"/>
          <w:lang w:val="en-US" w:eastAsia="zh-CN" w:bidi="ar-SA"/>
        </w:rPr>
      </w:pPr>
    </w:p>
    <w:p w14:paraId="3E8560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color w:val="auto"/>
          <w:sz w:val="24"/>
          <w:szCs w:val="24"/>
        </w:rPr>
      </w:pPr>
      <w:r>
        <w:rPr>
          <w:rFonts w:hint="eastAsia" w:ascii="Times New Roman" w:hAnsi="Times New Roman" w:eastAsia="宋体" w:cs="Times New Roman"/>
          <w:b/>
          <w:bCs/>
          <w:color w:val="auto"/>
          <w:kern w:val="2"/>
          <w:sz w:val="24"/>
          <w:szCs w:val="24"/>
          <w:lang w:val="en-US" w:eastAsia="zh-CN" w:bidi="ar-SA"/>
        </w:rPr>
        <w:t xml:space="preserve">图4-1 </w:t>
      </w:r>
      <w:r>
        <w:rPr>
          <w:rFonts w:hint="eastAsia" w:cs="Times New Roman"/>
          <w:b/>
          <w:bCs/>
          <w:color w:val="auto"/>
          <w:kern w:val="2"/>
          <w:sz w:val="24"/>
          <w:szCs w:val="24"/>
          <w:lang w:val="en-US" w:eastAsia="zh-CN" w:bidi="ar-SA"/>
        </w:rPr>
        <w:t xml:space="preserve"> </w:t>
      </w:r>
      <w:r>
        <w:rPr>
          <w:rFonts w:hint="default" w:ascii="Times New Roman" w:hAnsi="Times New Roman" w:eastAsia="宋体" w:cs="Times New Roman"/>
          <w:b/>
          <w:bCs/>
          <w:color w:val="auto"/>
          <w:kern w:val="2"/>
          <w:sz w:val="24"/>
          <w:szCs w:val="24"/>
          <w:lang w:val="en-US" w:eastAsia="zh-CN" w:bidi="ar-SA"/>
        </w:rPr>
        <w:t>清水朗山风电场220kV升压站</w:t>
      </w:r>
      <w:r>
        <w:rPr>
          <w:rFonts w:hint="eastAsia" w:ascii="Times New Roman" w:hAnsi="Times New Roman" w:eastAsia="宋体" w:cs="Times New Roman"/>
          <w:b/>
          <w:bCs/>
          <w:color w:val="auto"/>
          <w:kern w:val="2"/>
          <w:sz w:val="24"/>
          <w:szCs w:val="24"/>
          <w:lang w:val="en-US" w:eastAsia="zh-CN" w:bidi="ar-SA"/>
        </w:rPr>
        <w:t>验收监测布点图</w:t>
      </w:r>
    </w:p>
    <w:p w14:paraId="4D8241E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宋体" w:cs="Times New Roman"/>
          <w:bCs/>
          <w:color w:val="auto"/>
          <w:sz w:val="24"/>
          <w:szCs w:val="24"/>
          <w:lang w:val="en-US" w:eastAsia="zh-CN"/>
        </w:rPr>
      </w:pPr>
      <w:r>
        <w:rPr>
          <w:rFonts w:hint="eastAsia" w:ascii="Times New Roman" w:hAnsi="Times New Roman" w:eastAsia="宋体" w:cs="Times New Roman"/>
          <w:bCs/>
          <w:color w:val="auto"/>
          <w:sz w:val="24"/>
          <w:szCs w:val="24"/>
          <w:lang w:val="en-US" w:eastAsia="zh-CN"/>
        </w:rPr>
        <w:t>3）工况</w:t>
      </w:r>
    </w:p>
    <w:p w14:paraId="03DFB862">
      <w:pPr>
        <w:pStyle w:val="56"/>
        <w:keepNext w:val="0"/>
        <w:keepLines w:val="0"/>
        <w:pageBreakBefore w:val="0"/>
        <w:widowControl w:val="0"/>
        <w:kinsoku/>
        <w:wordWrap/>
        <w:overflowPunct/>
        <w:topLinePunct w:val="0"/>
        <w:autoSpaceDE/>
        <w:autoSpaceDN/>
        <w:bidi w:val="0"/>
        <w:adjustRightInd/>
        <w:snapToGrid w:val="0"/>
        <w:spacing w:after="0"/>
        <w:textAlignment w:val="auto"/>
        <w:rPr>
          <w:rFonts w:hint="default"/>
          <w:color w:val="auto"/>
          <w:lang w:val="en-US" w:eastAsia="zh-CN"/>
        </w:rPr>
      </w:pPr>
      <w:r>
        <w:rPr>
          <w:rFonts w:hint="default"/>
          <w:color w:val="auto"/>
          <w:lang w:val="en-US" w:eastAsia="zh-CN"/>
        </w:rPr>
        <w:t>监测时升压站正常运行。</w:t>
      </w:r>
    </w:p>
    <w:p w14:paraId="24B0048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eastAsia="宋体" w:cs="Times New Roman"/>
          <w:bCs/>
          <w:color w:val="auto"/>
          <w:sz w:val="24"/>
          <w:szCs w:val="24"/>
        </w:rPr>
      </w:pPr>
      <w:r>
        <w:rPr>
          <w:rFonts w:hint="eastAsia" w:ascii="Times New Roman" w:hAnsi="Times New Roman" w:eastAsia="宋体" w:cs="Times New Roman"/>
          <w:bCs/>
          <w:color w:val="auto"/>
          <w:sz w:val="24"/>
          <w:szCs w:val="24"/>
          <w:lang w:val="en-US" w:eastAsia="zh-CN"/>
        </w:rPr>
        <w:t>4</w:t>
      </w:r>
      <w:r>
        <w:rPr>
          <w:rFonts w:hint="eastAsia" w:ascii="Times New Roman" w:hAnsi="Times New Roman" w:eastAsia="宋体" w:cs="Times New Roman"/>
          <w:bCs/>
          <w:color w:val="auto"/>
          <w:sz w:val="24"/>
          <w:szCs w:val="24"/>
          <w:lang w:eastAsia="zh-CN"/>
        </w:rPr>
        <w:t>）</w:t>
      </w:r>
      <w:r>
        <w:rPr>
          <w:rFonts w:ascii="Times New Roman" w:hAnsi="Times New Roman" w:eastAsia="宋体" w:cs="Times New Roman"/>
          <w:bCs/>
          <w:color w:val="auto"/>
          <w:sz w:val="24"/>
          <w:szCs w:val="24"/>
        </w:rPr>
        <w:t>监测结果与分析</w:t>
      </w:r>
    </w:p>
    <w:p w14:paraId="2147BCFC">
      <w:pPr>
        <w:spacing w:line="360" w:lineRule="auto"/>
        <w:ind w:firstLine="480" w:firstLineChars="200"/>
        <w:rPr>
          <w:rFonts w:hint="eastAsia"/>
          <w:color w:val="auto"/>
          <w:sz w:val="24"/>
          <w:szCs w:val="24"/>
          <w:lang w:eastAsia="zh-CN"/>
        </w:rPr>
      </w:pPr>
      <w:r>
        <w:rPr>
          <w:rFonts w:hint="default" w:ascii="Times New Roman" w:hAnsi="Times New Roman" w:eastAsia="宋体" w:cs="Times New Roman"/>
          <w:bCs/>
          <w:color w:val="auto"/>
          <w:sz w:val="24"/>
          <w:lang w:val="en-US" w:eastAsia="zh-CN"/>
        </w:rPr>
        <w:t>清水朗山风电场220kV升压站</w:t>
      </w:r>
      <w:r>
        <w:rPr>
          <w:color w:val="auto"/>
          <w:sz w:val="24"/>
          <w:szCs w:val="24"/>
        </w:rPr>
        <w:t>类比监测结果</w:t>
      </w:r>
      <w:r>
        <w:rPr>
          <w:rFonts w:hint="eastAsia"/>
          <w:color w:val="auto"/>
          <w:sz w:val="24"/>
          <w:szCs w:val="24"/>
          <w:lang w:eastAsia="zh-CN"/>
        </w:rPr>
        <w:t>如下</w:t>
      </w:r>
      <w:r>
        <w:rPr>
          <w:color w:val="auto"/>
          <w:sz w:val="24"/>
          <w:szCs w:val="24"/>
        </w:rPr>
        <w:t>表所示</w:t>
      </w:r>
      <w:r>
        <w:rPr>
          <w:rFonts w:hint="eastAsia"/>
          <w:color w:val="auto"/>
          <w:sz w:val="24"/>
          <w:szCs w:val="24"/>
          <w:lang w:eastAsia="zh-CN"/>
        </w:rPr>
        <w:t>：</w:t>
      </w:r>
    </w:p>
    <w:p w14:paraId="51E9A111">
      <w:pPr>
        <w:pStyle w:val="27"/>
        <w:bidi w:val="0"/>
        <w:rPr>
          <w:color w:val="auto"/>
        </w:rPr>
      </w:pPr>
      <w:r>
        <w:rPr>
          <w:color w:val="auto"/>
        </w:rPr>
        <w:t>表</w:t>
      </w:r>
      <w:r>
        <w:rPr>
          <w:rFonts w:hint="eastAsia"/>
          <w:color w:val="auto"/>
          <w:lang w:val="en-US" w:eastAsia="zh-CN"/>
        </w:rPr>
        <w:t>4-4</w:t>
      </w:r>
      <w:r>
        <w:rPr>
          <w:color w:val="auto"/>
        </w:rPr>
        <w:t xml:space="preserve">  升压站厂界工频电场强度、工频磁感应强度检测结果</w:t>
      </w:r>
    </w:p>
    <w:tbl>
      <w:tblPr>
        <w:tblStyle w:val="21"/>
        <w:tblW w:w="8397"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712"/>
        <w:gridCol w:w="2599"/>
        <w:gridCol w:w="2334"/>
        <w:gridCol w:w="2752"/>
      </w:tblGrid>
      <w:tr w14:paraId="5939072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67" w:hRule="atLeast"/>
        </w:trPr>
        <w:tc>
          <w:tcPr>
            <w:tcW w:w="712" w:type="dxa"/>
            <w:vMerge w:val="restart"/>
            <w:tcBorders>
              <w:tl2br w:val="nil"/>
              <w:tr2bl w:val="nil"/>
            </w:tcBorders>
            <w:noWrap w:val="0"/>
            <w:vAlign w:val="center"/>
          </w:tcPr>
          <w:p w14:paraId="7B5B0D58">
            <w:pPr>
              <w:pStyle w:val="37"/>
              <w:keepNext w:val="0"/>
              <w:keepLines w:val="0"/>
              <w:suppressLineNumbers w:val="0"/>
              <w:bidi w:val="0"/>
              <w:spacing w:before="0" w:beforeAutospacing="0" w:after="0" w:afterAutospacing="0"/>
              <w:ind w:left="0" w:right="0"/>
              <w:jc w:val="center"/>
              <w:rPr>
                <w:rFonts w:hint="default"/>
                <w:color w:val="auto"/>
                <w:szCs w:val="20"/>
                <w:lang w:val="en-US" w:eastAsia="zh-CN"/>
              </w:rPr>
            </w:pPr>
            <w:r>
              <w:rPr>
                <w:rFonts w:hint="eastAsia"/>
                <w:color w:val="auto"/>
                <w:szCs w:val="20"/>
                <w:lang w:val="en-US" w:eastAsia="zh-CN"/>
              </w:rPr>
              <w:t>测点编号</w:t>
            </w:r>
          </w:p>
        </w:tc>
        <w:tc>
          <w:tcPr>
            <w:tcW w:w="2599" w:type="dxa"/>
            <w:vMerge w:val="restart"/>
            <w:tcBorders>
              <w:tl2br w:val="nil"/>
              <w:tr2bl w:val="nil"/>
            </w:tcBorders>
            <w:noWrap w:val="0"/>
            <w:vAlign w:val="center"/>
          </w:tcPr>
          <w:p w14:paraId="4AEAFA0F">
            <w:pPr>
              <w:pStyle w:val="37"/>
              <w:keepNext w:val="0"/>
              <w:keepLines w:val="0"/>
              <w:suppressLineNumbers w:val="0"/>
              <w:bidi w:val="0"/>
              <w:spacing w:before="0" w:beforeAutospacing="0" w:after="0" w:afterAutospacing="0"/>
              <w:ind w:left="0" w:right="0"/>
              <w:jc w:val="center"/>
              <w:rPr>
                <w:rFonts w:hint="default"/>
                <w:color w:val="auto"/>
                <w:szCs w:val="20"/>
                <w:lang w:val="en-US" w:eastAsia="zh-CN"/>
              </w:rPr>
            </w:pPr>
            <w:r>
              <w:rPr>
                <w:rFonts w:hint="default"/>
                <w:color w:val="auto"/>
                <w:szCs w:val="20"/>
                <w:lang w:val="en-US" w:eastAsia="zh-CN"/>
              </w:rPr>
              <w:t>测点位置</w:t>
            </w:r>
          </w:p>
        </w:tc>
        <w:tc>
          <w:tcPr>
            <w:tcW w:w="5086" w:type="dxa"/>
            <w:gridSpan w:val="2"/>
            <w:tcBorders>
              <w:tl2br w:val="nil"/>
              <w:tr2bl w:val="nil"/>
            </w:tcBorders>
            <w:noWrap w:val="0"/>
            <w:vAlign w:val="center"/>
          </w:tcPr>
          <w:p w14:paraId="4CA63F61">
            <w:pPr>
              <w:pStyle w:val="37"/>
              <w:keepNext w:val="0"/>
              <w:keepLines w:val="0"/>
              <w:suppressLineNumbers w:val="0"/>
              <w:bidi w:val="0"/>
              <w:spacing w:before="0" w:beforeAutospacing="0" w:after="0" w:afterAutospacing="0"/>
              <w:ind w:left="0" w:right="0"/>
              <w:jc w:val="center"/>
              <w:rPr>
                <w:rFonts w:hint="default"/>
                <w:color w:val="auto"/>
                <w:szCs w:val="20"/>
                <w:lang w:val="en-US" w:eastAsia="zh-CN"/>
              </w:rPr>
            </w:pPr>
            <w:r>
              <w:rPr>
                <w:rFonts w:hint="default"/>
                <w:color w:val="auto"/>
                <w:szCs w:val="20"/>
                <w:lang w:val="en-US" w:eastAsia="zh-CN"/>
              </w:rPr>
              <w:t>检测数据</w:t>
            </w:r>
          </w:p>
        </w:tc>
      </w:tr>
      <w:tr w14:paraId="4827C6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1" w:hRule="atLeast"/>
        </w:trPr>
        <w:tc>
          <w:tcPr>
            <w:tcW w:w="712" w:type="dxa"/>
            <w:vMerge w:val="continue"/>
            <w:tcBorders>
              <w:tl2br w:val="nil"/>
              <w:tr2bl w:val="nil"/>
            </w:tcBorders>
            <w:noWrap w:val="0"/>
            <w:vAlign w:val="center"/>
          </w:tcPr>
          <w:p w14:paraId="7EF6327B">
            <w:pPr>
              <w:pStyle w:val="37"/>
              <w:keepNext w:val="0"/>
              <w:keepLines w:val="0"/>
              <w:suppressLineNumbers w:val="0"/>
              <w:bidi w:val="0"/>
              <w:spacing w:before="0" w:beforeAutospacing="0" w:after="0" w:afterAutospacing="0"/>
              <w:ind w:left="0" w:right="0"/>
              <w:jc w:val="center"/>
              <w:rPr>
                <w:rFonts w:hint="default"/>
                <w:color w:val="auto"/>
                <w:szCs w:val="20"/>
              </w:rPr>
            </w:pPr>
          </w:p>
        </w:tc>
        <w:tc>
          <w:tcPr>
            <w:tcW w:w="2599" w:type="dxa"/>
            <w:vMerge w:val="continue"/>
            <w:tcBorders>
              <w:tl2br w:val="nil"/>
              <w:tr2bl w:val="nil"/>
            </w:tcBorders>
            <w:noWrap w:val="0"/>
            <w:vAlign w:val="center"/>
          </w:tcPr>
          <w:p w14:paraId="39EB6709">
            <w:pPr>
              <w:pStyle w:val="37"/>
              <w:keepNext w:val="0"/>
              <w:keepLines w:val="0"/>
              <w:suppressLineNumbers w:val="0"/>
              <w:bidi w:val="0"/>
              <w:spacing w:before="0" w:beforeAutospacing="0" w:after="0" w:afterAutospacing="0"/>
              <w:ind w:left="0" w:right="0"/>
              <w:jc w:val="center"/>
              <w:rPr>
                <w:rFonts w:hint="default"/>
                <w:color w:val="auto"/>
                <w:szCs w:val="20"/>
              </w:rPr>
            </w:pPr>
          </w:p>
        </w:tc>
        <w:tc>
          <w:tcPr>
            <w:tcW w:w="2334" w:type="dxa"/>
            <w:tcBorders>
              <w:tl2br w:val="nil"/>
              <w:tr2bl w:val="nil"/>
            </w:tcBorders>
            <w:noWrap w:val="0"/>
            <w:vAlign w:val="center"/>
          </w:tcPr>
          <w:p w14:paraId="639B3EFA">
            <w:pPr>
              <w:pStyle w:val="37"/>
              <w:keepNext w:val="0"/>
              <w:keepLines w:val="0"/>
              <w:suppressLineNumbers w:val="0"/>
              <w:bidi w:val="0"/>
              <w:spacing w:before="0" w:beforeAutospacing="0" w:after="0" w:afterAutospacing="0"/>
              <w:ind w:left="0" w:right="0"/>
              <w:jc w:val="center"/>
              <w:rPr>
                <w:rFonts w:hint="default"/>
                <w:color w:val="auto"/>
                <w:szCs w:val="20"/>
              </w:rPr>
            </w:pPr>
            <w:r>
              <w:rPr>
                <w:rFonts w:hint="default"/>
                <w:color w:val="auto"/>
                <w:szCs w:val="20"/>
              </w:rPr>
              <w:t>工频电场强度（V/m）</w:t>
            </w:r>
          </w:p>
        </w:tc>
        <w:tc>
          <w:tcPr>
            <w:tcW w:w="2752" w:type="dxa"/>
            <w:tcBorders>
              <w:tl2br w:val="nil"/>
              <w:tr2bl w:val="nil"/>
            </w:tcBorders>
            <w:noWrap w:val="0"/>
            <w:vAlign w:val="center"/>
          </w:tcPr>
          <w:p w14:paraId="2CBAB2B8">
            <w:pPr>
              <w:pStyle w:val="37"/>
              <w:keepNext w:val="0"/>
              <w:keepLines w:val="0"/>
              <w:suppressLineNumbers w:val="0"/>
              <w:bidi w:val="0"/>
              <w:spacing w:before="0" w:beforeAutospacing="0" w:after="0" w:afterAutospacing="0"/>
              <w:ind w:left="0" w:right="0"/>
              <w:jc w:val="center"/>
              <w:rPr>
                <w:rFonts w:hint="default"/>
                <w:color w:val="auto"/>
                <w:szCs w:val="20"/>
              </w:rPr>
            </w:pPr>
            <w:r>
              <w:rPr>
                <w:rFonts w:hint="default"/>
                <w:color w:val="auto"/>
                <w:szCs w:val="20"/>
              </w:rPr>
              <w:t>工频磁场强度 (μT）</w:t>
            </w:r>
          </w:p>
        </w:tc>
      </w:tr>
      <w:tr w14:paraId="5D0D63C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12" w:type="dxa"/>
            <w:tcBorders>
              <w:tl2br w:val="nil"/>
              <w:tr2bl w:val="nil"/>
            </w:tcBorders>
            <w:noWrap w:val="0"/>
            <w:vAlign w:val="center"/>
          </w:tcPr>
          <w:p w14:paraId="3A2F234B">
            <w:pPr>
              <w:pStyle w:val="37"/>
              <w:keepNext w:val="0"/>
              <w:keepLines w:val="0"/>
              <w:suppressLineNumbers w:val="0"/>
              <w:bidi w:val="0"/>
              <w:spacing w:before="0" w:beforeAutospacing="0" w:after="0" w:afterAutospacing="0"/>
              <w:ind w:left="0" w:right="0"/>
              <w:jc w:val="center"/>
              <w:rPr>
                <w:rFonts w:hint="default"/>
                <w:color w:val="auto"/>
                <w:szCs w:val="20"/>
                <w:lang w:val="en-US" w:eastAsia="zh-CN"/>
              </w:rPr>
            </w:pPr>
            <w:r>
              <w:rPr>
                <w:rFonts w:hint="default"/>
                <w:color w:val="auto"/>
                <w:szCs w:val="20"/>
                <w:lang w:val="en-US" w:eastAsia="zh-CN"/>
              </w:rPr>
              <w:t>1</w:t>
            </w:r>
          </w:p>
        </w:tc>
        <w:tc>
          <w:tcPr>
            <w:tcW w:w="2599" w:type="dxa"/>
            <w:tcBorders>
              <w:tl2br w:val="nil"/>
              <w:tr2bl w:val="nil"/>
            </w:tcBorders>
            <w:noWrap w:val="0"/>
            <w:vAlign w:val="center"/>
          </w:tcPr>
          <w:p w14:paraId="452AF768">
            <w:pPr>
              <w:pStyle w:val="37"/>
              <w:keepNext w:val="0"/>
              <w:keepLines w:val="0"/>
              <w:suppressLineNumbers w:val="0"/>
              <w:bidi w:val="0"/>
              <w:spacing w:before="0" w:beforeAutospacing="0" w:after="0" w:afterAutospacing="0"/>
              <w:ind w:left="0" w:right="0"/>
              <w:jc w:val="center"/>
              <w:rPr>
                <w:rFonts w:hint="default"/>
                <w:color w:val="auto"/>
                <w:szCs w:val="20"/>
              </w:rPr>
            </w:pPr>
            <w:r>
              <w:rPr>
                <w:rFonts w:hint="default"/>
                <w:color w:val="auto"/>
                <w:szCs w:val="20"/>
              </w:rPr>
              <w:t>升压站北侧围墙外5m处</w:t>
            </w:r>
          </w:p>
        </w:tc>
        <w:tc>
          <w:tcPr>
            <w:tcW w:w="2334" w:type="dxa"/>
            <w:tcBorders>
              <w:tl2br w:val="nil"/>
              <w:tr2bl w:val="nil"/>
            </w:tcBorders>
            <w:noWrap w:val="0"/>
            <w:vAlign w:val="center"/>
          </w:tcPr>
          <w:p w14:paraId="29DF46B8">
            <w:pPr>
              <w:keepNext w:val="0"/>
              <w:keepLines w:val="0"/>
              <w:widowControl/>
              <w:suppressLineNumbers w:val="0"/>
              <w:spacing w:before="0" w:beforeAutospacing="0" w:after="0" w:afterAutospacing="0"/>
              <w:ind w:left="0" w:right="0"/>
              <w:jc w:val="center"/>
              <w:textAlignment w:val="center"/>
              <w:rPr>
                <w:rFonts w:hint="default" w:eastAsia="宋体"/>
                <w:color w:val="auto"/>
                <w:szCs w:val="20"/>
                <w:lang w:val="en-US" w:eastAsia="zh-CN"/>
              </w:rPr>
            </w:pPr>
            <w:r>
              <w:rPr>
                <w:rFonts w:hint="default" w:ascii="Times New Roman" w:hAnsi="Times New Roman" w:eastAsia="宋体" w:cs="Times New Roman"/>
                <w:i w:val="0"/>
                <w:iCs w:val="0"/>
                <w:color w:val="auto"/>
                <w:kern w:val="0"/>
                <w:sz w:val="21"/>
                <w:szCs w:val="21"/>
                <w:u w:val="none"/>
                <w:lang w:val="en-US" w:eastAsia="zh-CN" w:bidi="ar"/>
              </w:rPr>
              <w:t>116.37</w:t>
            </w:r>
          </w:p>
        </w:tc>
        <w:tc>
          <w:tcPr>
            <w:tcW w:w="2752" w:type="dxa"/>
            <w:tcBorders>
              <w:tl2br w:val="nil"/>
              <w:tr2bl w:val="nil"/>
            </w:tcBorders>
            <w:noWrap w:val="0"/>
            <w:vAlign w:val="center"/>
          </w:tcPr>
          <w:p w14:paraId="2A760B3D">
            <w:pPr>
              <w:keepNext w:val="0"/>
              <w:keepLines w:val="0"/>
              <w:widowControl/>
              <w:suppressLineNumbers w:val="0"/>
              <w:spacing w:before="0" w:beforeAutospacing="0" w:after="0" w:afterAutospacing="0"/>
              <w:ind w:left="0" w:right="0"/>
              <w:jc w:val="center"/>
              <w:textAlignment w:val="center"/>
              <w:rPr>
                <w:rFonts w:hint="default" w:eastAsia="宋体"/>
                <w:color w:val="auto"/>
                <w:szCs w:val="20"/>
                <w:lang w:val="en-US" w:eastAsia="zh-CN"/>
              </w:rPr>
            </w:pPr>
            <w:r>
              <w:rPr>
                <w:rFonts w:hint="default" w:ascii="Times New Roman" w:hAnsi="Times New Roman" w:eastAsia="宋体" w:cs="Times New Roman"/>
                <w:i w:val="0"/>
                <w:iCs w:val="0"/>
                <w:color w:val="auto"/>
                <w:kern w:val="0"/>
                <w:sz w:val="21"/>
                <w:szCs w:val="21"/>
                <w:u w:val="none"/>
                <w:lang w:val="en-US" w:eastAsia="zh-CN" w:bidi="ar"/>
              </w:rPr>
              <w:t>0.4342</w:t>
            </w:r>
          </w:p>
        </w:tc>
      </w:tr>
      <w:tr w14:paraId="33ADA01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12" w:type="dxa"/>
            <w:tcBorders>
              <w:tl2br w:val="nil"/>
              <w:tr2bl w:val="nil"/>
            </w:tcBorders>
            <w:noWrap w:val="0"/>
            <w:vAlign w:val="center"/>
          </w:tcPr>
          <w:p w14:paraId="6DA504C3">
            <w:pPr>
              <w:pStyle w:val="37"/>
              <w:keepNext w:val="0"/>
              <w:keepLines w:val="0"/>
              <w:suppressLineNumbers w:val="0"/>
              <w:bidi w:val="0"/>
              <w:spacing w:before="0" w:beforeAutospacing="0" w:after="0" w:afterAutospacing="0"/>
              <w:ind w:left="0" w:right="0"/>
              <w:jc w:val="center"/>
              <w:rPr>
                <w:rFonts w:hint="default"/>
                <w:color w:val="auto"/>
                <w:szCs w:val="20"/>
                <w:lang w:val="en-US" w:eastAsia="zh-CN"/>
              </w:rPr>
            </w:pPr>
            <w:r>
              <w:rPr>
                <w:rFonts w:hint="default"/>
                <w:color w:val="auto"/>
                <w:szCs w:val="20"/>
                <w:lang w:val="en-US" w:eastAsia="zh-CN"/>
              </w:rPr>
              <w:t>2</w:t>
            </w:r>
          </w:p>
        </w:tc>
        <w:tc>
          <w:tcPr>
            <w:tcW w:w="2599" w:type="dxa"/>
            <w:tcBorders>
              <w:tl2br w:val="nil"/>
              <w:tr2bl w:val="nil"/>
            </w:tcBorders>
            <w:noWrap w:val="0"/>
            <w:vAlign w:val="center"/>
          </w:tcPr>
          <w:p w14:paraId="572784C6">
            <w:pPr>
              <w:pStyle w:val="37"/>
              <w:keepNext w:val="0"/>
              <w:keepLines w:val="0"/>
              <w:suppressLineNumbers w:val="0"/>
              <w:bidi w:val="0"/>
              <w:spacing w:before="0" w:beforeAutospacing="0" w:after="0" w:afterAutospacing="0"/>
              <w:ind w:left="0" w:right="0"/>
              <w:jc w:val="center"/>
              <w:rPr>
                <w:rFonts w:hint="default"/>
                <w:color w:val="auto"/>
                <w:szCs w:val="20"/>
              </w:rPr>
            </w:pPr>
            <w:r>
              <w:rPr>
                <w:rFonts w:hint="default"/>
                <w:color w:val="auto"/>
                <w:szCs w:val="20"/>
              </w:rPr>
              <w:t>升压站东侧围墙外5m处</w:t>
            </w:r>
          </w:p>
        </w:tc>
        <w:tc>
          <w:tcPr>
            <w:tcW w:w="2334" w:type="dxa"/>
            <w:tcBorders>
              <w:tl2br w:val="nil"/>
              <w:tr2bl w:val="nil"/>
            </w:tcBorders>
            <w:noWrap w:val="0"/>
            <w:vAlign w:val="center"/>
          </w:tcPr>
          <w:p w14:paraId="55BB9738">
            <w:pPr>
              <w:keepNext w:val="0"/>
              <w:keepLines w:val="0"/>
              <w:widowControl/>
              <w:suppressLineNumbers w:val="0"/>
              <w:spacing w:before="0" w:beforeAutospacing="0" w:after="0" w:afterAutospacing="0"/>
              <w:ind w:left="0" w:right="0"/>
              <w:jc w:val="center"/>
              <w:textAlignment w:val="center"/>
              <w:rPr>
                <w:rFonts w:hint="default" w:eastAsia="宋体"/>
                <w:color w:val="auto"/>
                <w:szCs w:val="20"/>
                <w:lang w:val="en-US" w:eastAsia="zh-CN"/>
              </w:rPr>
            </w:pPr>
            <w:r>
              <w:rPr>
                <w:rFonts w:hint="default" w:ascii="Times New Roman" w:hAnsi="Times New Roman" w:eastAsia="宋体" w:cs="Times New Roman"/>
                <w:i w:val="0"/>
                <w:iCs w:val="0"/>
                <w:color w:val="auto"/>
                <w:kern w:val="0"/>
                <w:sz w:val="21"/>
                <w:szCs w:val="21"/>
                <w:u w:val="none"/>
                <w:lang w:val="en-US" w:eastAsia="zh-CN" w:bidi="ar"/>
              </w:rPr>
              <w:t>777.26</w:t>
            </w:r>
          </w:p>
        </w:tc>
        <w:tc>
          <w:tcPr>
            <w:tcW w:w="2752" w:type="dxa"/>
            <w:tcBorders>
              <w:tl2br w:val="nil"/>
              <w:tr2bl w:val="nil"/>
            </w:tcBorders>
            <w:noWrap w:val="0"/>
            <w:vAlign w:val="center"/>
          </w:tcPr>
          <w:p w14:paraId="333DCE1D">
            <w:pPr>
              <w:keepNext w:val="0"/>
              <w:keepLines w:val="0"/>
              <w:widowControl/>
              <w:suppressLineNumbers w:val="0"/>
              <w:spacing w:before="0" w:beforeAutospacing="0" w:after="0" w:afterAutospacing="0"/>
              <w:ind w:left="0" w:right="0"/>
              <w:jc w:val="center"/>
              <w:textAlignment w:val="center"/>
              <w:rPr>
                <w:rFonts w:hint="default" w:eastAsia="宋体"/>
                <w:color w:val="auto"/>
                <w:szCs w:val="20"/>
                <w:lang w:val="en-US" w:eastAsia="zh-CN"/>
              </w:rPr>
            </w:pPr>
            <w:r>
              <w:rPr>
                <w:rFonts w:hint="default" w:ascii="Times New Roman" w:hAnsi="Times New Roman" w:eastAsia="宋体" w:cs="Times New Roman"/>
                <w:i w:val="0"/>
                <w:iCs w:val="0"/>
                <w:color w:val="auto"/>
                <w:kern w:val="0"/>
                <w:sz w:val="21"/>
                <w:szCs w:val="21"/>
                <w:u w:val="none"/>
                <w:lang w:val="en-US" w:eastAsia="zh-CN" w:bidi="ar"/>
              </w:rPr>
              <w:t>2.0031</w:t>
            </w:r>
          </w:p>
        </w:tc>
      </w:tr>
      <w:tr w14:paraId="7EDC41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712" w:type="dxa"/>
            <w:tcBorders>
              <w:tl2br w:val="nil"/>
              <w:tr2bl w:val="nil"/>
            </w:tcBorders>
            <w:noWrap w:val="0"/>
            <w:vAlign w:val="center"/>
          </w:tcPr>
          <w:p w14:paraId="543D388C">
            <w:pPr>
              <w:pStyle w:val="37"/>
              <w:keepNext w:val="0"/>
              <w:keepLines w:val="0"/>
              <w:suppressLineNumbers w:val="0"/>
              <w:bidi w:val="0"/>
              <w:spacing w:before="0" w:beforeAutospacing="0" w:after="0" w:afterAutospacing="0"/>
              <w:ind w:left="0" w:right="0"/>
              <w:jc w:val="center"/>
              <w:rPr>
                <w:rFonts w:hint="default"/>
                <w:color w:val="auto"/>
                <w:szCs w:val="20"/>
                <w:lang w:val="en-US" w:eastAsia="zh-CN"/>
              </w:rPr>
            </w:pPr>
            <w:r>
              <w:rPr>
                <w:rFonts w:hint="default"/>
                <w:color w:val="auto"/>
                <w:szCs w:val="20"/>
                <w:lang w:val="en-US" w:eastAsia="zh-CN"/>
              </w:rPr>
              <w:t>3</w:t>
            </w:r>
          </w:p>
        </w:tc>
        <w:tc>
          <w:tcPr>
            <w:tcW w:w="2599" w:type="dxa"/>
            <w:tcBorders>
              <w:tl2br w:val="nil"/>
              <w:tr2bl w:val="nil"/>
            </w:tcBorders>
            <w:noWrap w:val="0"/>
            <w:vAlign w:val="center"/>
          </w:tcPr>
          <w:p w14:paraId="3EAB1A3D">
            <w:pPr>
              <w:pStyle w:val="37"/>
              <w:keepNext w:val="0"/>
              <w:keepLines w:val="0"/>
              <w:suppressLineNumbers w:val="0"/>
              <w:bidi w:val="0"/>
              <w:spacing w:before="0" w:beforeAutospacing="0" w:after="0" w:afterAutospacing="0"/>
              <w:ind w:left="0" w:right="0"/>
              <w:jc w:val="center"/>
              <w:rPr>
                <w:rFonts w:hint="default"/>
                <w:color w:val="auto"/>
                <w:szCs w:val="20"/>
              </w:rPr>
            </w:pPr>
            <w:r>
              <w:rPr>
                <w:rFonts w:hint="default"/>
                <w:color w:val="auto"/>
                <w:szCs w:val="20"/>
              </w:rPr>
              <w:t>升压站南侧围墙外5m处</w:t>
            </w:r>
          </w:p>
        </w:tc>
        <w:tc>
          <w:tcPr>
            <w:tcW w:w="2334" w:type="dxa"/>
            <w:tcBorders>
              <w:tl2br w:val="nil"/>
              <w:tr2bl w:val="nil"/>
            </w:tcBorders>
            <w:noWrap w:val="0"/>
            <w:vAlign w:val="center"/>
          </w:tcPr>
          <w:p w14:paraId="7F18A84A">
            <w:pPr>
              <w:keepNext w:val="0"/>
              <w:keepLines w:val="0"/>
              <w:widowControl/>
              <w:suppressLineNumbers w:val="0"/>
              <w:spacing w:before="0" w:beforeAutospacing="0" w:after="0" w:afterAutospacing="0"/>
              <w:ind w:left="0" w:right="0"/>
              <w:jc w:val="center"/>
              <w:textAlignment w:val="center"/>
              <w:rPr>
                <w:rFonts w:hint="default" w:eastAsia="宋体"/>
                <w:color w:val="auto"/>
                <w:szCs w:val="20"/>
                <w:lang w:val="en-US" w:eastAsia="zh-CN"/>
              </w:rPr>
            </w:pPr>
            <w:r>
              <w:rPr>
                <w:rFonts w:hint="default" w:ascii="Times New Roman" w:hAnsi="Times New Roman" w:eastAsia="宋体" w:cs="Times New Roman"/>
                <w:i w:val="0"/>
                <w:iCs w:val="0"/>
                <w:color w:val="auto"/>
                <w:kern w:val="0"/>
                <w:sz w:val="21"/>
                <w:szCs w:val="21"/>
                <w:u w:val="none"/>
                <w:lang w:val="en-US" w:eastAsia="zh-CN" w:bidi="ar"/>
              </w:rPr>
              <w:t>194</w:t>
            </w:r>
          </w:p>
        </w:tc>
        <w:tc>
          <w:tcPr>
            <w:tcW w:w="2752" w:type="dxa"/>
            <w:tcBorders>
              <w:tl2br w:val="nil"/>
              <w:tr2bl w:val="nil"/>
            </w:tcBorders>
            <w:noWrap w:val="0"/>
            <w:vAlign w:val="center"/>
          </w:tcPr>
          <w:p w14:paraId="0136F9B6">
            <w:pPr>
              <w:keepNext w:val="0"/>
              <w:keepLines w:val="0"/>
              <w:widowControl/>
              <w:suppressLineNumbers w:val="0"/>
              <w:spacing w:before="0" w:beforeAutospacing="0" w:after="0" w:afterAutospacing="0"/>
              <w:ind w:left="0" w:right="0"/>
              <w:jc w:val="center"/>
              <w:textAlignment w:val="center"/>
              <w:rPr>
                <w:rFonts w:hint="default" w:eastAsia="宋体"/>
                <w:color w:val="auto"/>
                <w:szCs w:val="20"/>
                <w:lang w:val="en-US" w:eastAsia="zh-CN"/>
              </w:rPr>
            </w:pPr>
            <w:r>
              <w:rPr>
                <w:rFonts w:hint="default" w:ascii="Times New Roman" w:hAnsi="Times New Roman" w:eastAsia="宋体" w:cs="Times New Roman"/>
                <w:i w:val="0"/>
                <w:iCs w:val="0"/>
                <w:color w:val="auto"/>
                <w:kern w:val="0"/>
                <w:sz w:val="21"/>
                <w:szCs w:val="21"/>
                <w:u w:val="none"/>
                <w:lang w:val="en-US" w:eastAsia="zh-CN" w:bidi="ar"/>
              </w:rPr>
              <w:t>0.5469</w:t>
            </w:r>
          </w:p>
        </w:tc>
      </w:tr>
      <w:tr w14:paraId="4A54FE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712" w:type="dxa"/>
            <w:tcBorders>
              <w:tl2br w:val="nil"/>
              <w:tr2bl w:val="nil"/>
            </w:tcBorders>
            <w:noWrap w:val="0"/>
            <w:vAlign w:val="center"/>
          </w:tcPr>
          <w:p w14:paraId="55A380F8">
            <w:pPr>
              <w:pStyle w:val="37"/>
              <w:keepNext w:val="0"/>
              <w:keepLines w:val="0"/>
              <w:suppressLineNumbers w:val="0"/>
              <w:bidi w:val="0"/>
              <w:spacing w:before="0" w:beforeAutospacing="0" w:after="0" w:afterAutospacing="0"/>
              <w:ind w:left="0" w:right="0"/>
              <w:jc w:val="center"/>
              <w:rPr>
                <w:rFonts w:hint="default"/>
                <w:color w:val="auto"/>
                <w:szCs w:val="20"/>
                <w:lang w:val="en-US" w:eastAsia="zh-CN"/>
              </w:rPr>
            </w:pPr>
            <w:r>
              <w:rPr>
                <w:rFonts w:hint="default"/>
                <w:color w:val="auto"/>
                <w:szCs w:val="20"/>
                <w:lang w:val="en-US" w:eastAsia="zh-CN"/>
              </w:rPr>
              <w:t>4</w:t>
            </w:r>
          </w:p>
        </w:tc>
        <w:tc>
          <w:tcPr>
            <w:tcW w:w="2599" w:type="dxa"/>
            <w:tcBorders>
              <w:tl2br w:val="nil"/>
              <w:tr2bl w:val="nil"/>
            </w:tcBorders>
            <w:noWrap w:val="0"/>
            <w:vAlign w:val="center"/>
          </w:tcPr>
          <w:p w14:paraId="30D51B13">
            <w:pPr>
              <w:pStyle w:val="37"/>
              <w:keepNext w:val="0"/>
              <w:keepLines w:val="0"/>
              <w:suppressLineNumbers w:val="0"/>
              <w:bidi w:val="0"/>
              <w:spacing w:before="0" w:beforeAutospacing="0" w:after="0" w:afterAutospacing="0"/>
              <w:ind w:left="0" w:right="0"/>
              <w:jc w:val="center"/>
              <w:rPr>
                <w:rFonts w:hint="default"/>
                <w:color w:val="auto"/>
                <w:szCs w:val="20"/>
              </w:rPr>
            </w:pPr>
            <w:r>
              <w:rPr>
                <w:rFonts w:hint="default"/>
                <w:color w:val="auto"/>
                <w:szCs w:val="20"/>
              </w:rPr>
              <w:t>升压站西侧围墙外5m处</w:t>
            </w:r>
          </w:p>
        </w:tc>
        <w:tc>
          <w:tcPr>
            <w:tcW w:w="2334" w:type="dxa"/>
            <w:tcBorders>
              <w:tl2br w:val="nil"/>
              <w:tr2bl w:val="nil"/>
            </w:tcBorders>
            <w:noWrap w:val="0"/>
            <w:vAlign w:val="center"/>
          </w:tcPr>
          <w:p w14:paraId="7A3FE85E">
            <w:pPr>
              <w:keepNext w:val="0"/>
              <w:keepLines w:val="0"/>
              <w:widowControl/>
              <w:suppressLineNumbers w:val="0"/>
              <w:spacing w:before="0" w:beforeAutospacing="0" w:after="0" w:afterAutospacing="0"/>
              <w:ind w:left="0" w:right="0"/>
              <w:jc w:val="center"/>
              <w:textAlignment w:val="center"/>
              <w:rPr>
                <w:rFonts w:hint="default" w:eastAsia="宋体"/>
                <w:color w:val="auto"/>
                <w:szCs w:val="20"/>
                <w:lang w:val="en-US" w:eastAsia="zh-CN"/>
              </w:rPr>
            </w:pPr>
            <w:r>
              <w:rPr>
                <w:rFonts w:hint="default" w:ascii="Times New Roman" w:hAnsi="Times New Roman" w:eastAsia="宋体" w:cs="Times New Roman"/>
                <w:i w:val="0"/>
                <w:iCs w:val="0"/>
                <w:color w:val="auto"/>
                <w:kern w:val="0"/>
                <w:sz w:val="21"/>
                <w:szCs w:val="21"/>
                <w:u w:val="none"/>
                <w:lang w:val="en-US" w:eastAsia="zh-CN" w:bidi="ar"/>
              </w:rPr>
              <w:t>301.56</w:t>
            </w:r>
          </w:p>
        </w:tc>
        <w:tc>
          <w:tcPr>
            <w:tcW w:w="2752" w:type="dxa"/>
            <w:tcBorders>
              <w:tl2br w:val="nil"/>
              <w:tr2bl w:val="nil"/>
            </w:tcBorders>
            <w:noWrap w:val="0"/>
            <w:vAlign w:val="center"/>
          </w:tcPr>
          <w:p w14:paraId="43FDB12D">
            <w:pPr>
              <w:keepNext w:val="0"/>
              <w:keepLines w:val="0"/>
              <w:widowControl/>
              <w:suppressLineNumbers w:val="0"/>
              <w:spacing w:before="0" w:beforeAutospacing="0" w:after="0" w:afterAutospacing="0"/>
              <w:ind w:left="0" w:right="0"/>
              <w:jc w:val="center"/>
              <w:textAlignment w:val="center"/>
              <w:rPr>
                <w:rFonts w:hint="default" w:eastAsia="宋体"/>
                <w:color w:val="auto"/>
                <w:szCs w:val="20"/>
                <w:lang w:val="en-US" w:eastAsia="zh-CN"/>
              </w:rPr>
            </w:pPr>
            <w:r>
              <w:rPr>
                <w:rFonts w:hint="default" w:ascii="Times New Roman" w:hAnsi="Times New Roman" w:eastAsia="宋体" w:cs="Times New Roman"/>
                <w:i w:val="0"/>
                <w:iCs w:val="0"/>
                <w:color w:val="auto"/>
                <w:kern w:val="0"/>
                <w:sz w:val="21"/>
                <w:szCs w:val="21"/>
                <w:u w:val="none"/>
                <w:lang w:val="en-US" w:eastAsia="zh-CN" w:bidi="ar"/>
              </w:rPr>
              <w:t>0.9024</w:t>
            </w:r>
          </w:p>
        </w:tc>
      </w:tr>
    </w:tbl>
    <w:p w14:paraId="1F92C0DE">
      <w:pPr>
        <w:keepNext w:val="0"/>
        <w:keepLines w:val="0"/>
        <w:pageBreakBefore w:val="0"/>
        <w:tabs>
          <w:tab w:val="left" w:pos="930"/>
        </w:tabs>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监测结果显示，</w:t>
      </w:r>
      <w:r>
        <w:rPr>
          <w:rFonts w:hint="default" w:ascii="Times New Roman" w:hAnsi="Times New Roman" w:eastAsia="宋体" w:cs="Times New Roman"/>
          <w:bCs/>
          <w:color w:val="auto"/>
          <w:sz w:val="24"/>
          <w:lang w:val="en-US" w:eastAsia="zh-CN"/>
        </w:rPr>
        <w:t>清水朗山风电场220kV升压站</w:t>
      </w:r>
      <w:r>
        <w:rPr>
          <w:rFonts w:hint="eastAsia" w:cs="Times New Roman"/>
          <w:bCs/>
          <w:color w:val="auto"/>
          <w:sz w:val="24"/>
          <w:lang w:val="en-US" w:eastAsia="zh-CN"/>
        </w:rPr>
        <w:t>厂界四周</w:t>
      </w:r>
      <w:r>
        <w:rPr>
          <w:rFonts w:hint="default" w:ascii="Times New Roman" w:hAnsi="Times New Roman" w:eastAsia="宋体" w:cs="Times New Roman"/>
          <w:color w:val="auto"/>
          <w:sz w:val="24"/>
          <w:lang w:val="en-US" w:eastAsia="zh-CN"/>
        </w:rPr>
        <w:t>工频电场在</w:t>
      </w:r>
      <w:r>
        <w:rPr>
          <w:rFonts w:hint="eastAsia" w:cs="Times New Roman"/>
          <w:color w:val="auto"/>
          <w:sz w:val="24"/>
          <w:lang w:val="en-US" w:eastAsia="zh-CN"/>
        </w:rPr>
        <w:t>116.37</w:t>
      </w:r>
      <w:r>
        <w:rPr>
          <w:rFonts w:hint="default" w:ascii="Times New Roman" w:hAnsi="Times New Roman" w:eastAsia="宋体" w:cs="Times New Roman"/>
          <w:color w:val="auto"/>
          <w:sz w:val="24"/>
          <w:lang w:val="en-US" w:eastAsia="zh-CN"/>
        </w:rPr>
        <w:t>kV/m～</w:t>
      </w:r>
      <w:r>
        <w:rPr>
          <w:rFonts w:hint="eastAsia" w:cs="Times New Roman"/>
          <w:color w:val="auto"/>
          <w:sz w:val="24"/>
          <w:lang w:val="en-US" w:eastAsia="zh-CN"/>
        </w:rPr>
        <w:t>777.26</w:t>
      </w:r>
      <w:r>
        <w:rPr>
          <w:rFonts w:hint="default" w:ascii="Times New Roman" w:hAnsi="Times New Roman" w:eastAsia="宋体" w:cs="Times New Roman"/>
          <w:color w:val="auto"/>
          <w:sz w:val="24"/>
          <w:lang w:val="en-US" w:eastAsia="zh-CN"/>
        </w:rPr>
        <w:t>V/m之间，工频磁场在</w:t>
      </w:r>
      <w:r>
        <w:rPr>
          <w:rFonts w:hint="eastAsia" w:cs="Times New Roman"/>
          <w:color w:val="auto"/>
          <w:sz w:val="24"/>
          <w:lang w:val="en-US" w:eastAsia="zh-CN"/>
        </w:rPr>
        <w:t>0.4342</w:t>
      </w:r>
      <w:r>
        <w:rPr>
          <w:rFonts w:hint="default" w:ascii="Times New Roman" w:hAnsi="Times New Roman" w:eastAsia="宋体" w:cs="Times New Roman"/>
          <w:color w:val="auto"/>
          <w:sz w:val="24"/>
          <w:lang w:val="en-US" w:eastAsia="zh-CN"/>
        </w:rPr>
        <w:t>μT～</w:t>
      </w:r>
      <w:r>
        <w:rPr>
          <w:rFonts w:hint="eastAsia" w:cs="Times New Roman"/>
          <w:color w:val="auto"/>
          <w:sz w:val="24"/>
          <w:lang w:val="en-US" w:eastAsia="zh-CN"/>
        </w:rPr>
        <w:t>2.0031</w:t>
      </w:r>
      <w:r>
        <w:rPr>
          <w:rFonts w:hint="default" w:ascii="Times New Roman" w:hAnsi="Times New Roman" w:eastAsia="宋体" w:cs="Times New Roman"/>
          <w:color w:val="auto"/>
          <w:sz w:val="24"/>
          <w:lang w:val="en-US" w:eastAsia="zh-CN"/>
        </w:rPr>
        <w:t>μT之间，均低于《电磁环境控制限值》（GB8702-2014）规定，即工频电场强度低于4000V/m，工频磁感应强度低于100μT。</w:t>
      </w:r>
    </w:p>
    <w:p w14:paraId="009D089E">
      <w:pPr>
        <w:keepNext w:val="0"/>
        <w:keepLines w:val="0"/>
        <w:pageBreakBefore w:val="0"/>
        <w:tabs>
          <w:tab w:val="left" w:pos="930"/>
        </w:tabs>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lang w:val="en-US" w:eastAsia="zh-CN"/>
        </w:rPr>
      </w:pPr>
      <w:r>
        <w:rPr>
          <w:rFonts w:hint="default" w:ascii="Times New Roman" w:hAnsi="Times New Roman" w:eastAsia="宋体" w:cs="Times New Roman"/>
          <w:bCs/>
          <w:color w:val="auto"/>
          <w:sz w:val="24"/>
          <w:lang w:val="en-US" w:eastAsia="zh-CN"/>
        </w:rPr>
        <w:t>清水朗山风电场220kV升压站</w:t>
      </w:r>
      <w:r>
        <w:rPr>
          <w:rFonts w:hint="default" w:ascii="Times New Roman" w:hAnsi="Times New Roman" w:eastAsia="宋体" w:cs="Times New Roman"/>
          <w:color w:val="auto"/>
          <w:sz w:val="24"/>
          <w:lang w:val="en-US" w:eastAsia="zh-CN"/>
        </w:rPr>
        <w:t>断面监测点位布设在变电站</w:t>
      </w:r>
      <w:r>
        <w:rPr>
          <w:rFonts w:hint="eastAsia" w:cs="Times New Roman"/>
          <w:color w:val="auto"/>
          <w:sz w:val="24"/>
          <w:lang w:val="en-US" w:eastAsia="zh-CN"/>
        </w:rPr>
        <w:t>西南</w:t>
      </w:r>
      <w:r>
        <w:rPr>
          <w:rFonts w:hint="default" w:ascii="Times New Roman" w:hAnsi="Times New Roman" w:eastAsia="宋体" w:cs="Times New Roman"/>
          <w:color w:val="auto"/>
          <w:sz w:val="24"/>
          <w:lang w:val="en-US" w:eastAsia="zh-CN"/>
        </w:rPr>
        <w:t>侧，断面监测结果见下表。</w:t>
      </w:r>
    </w:p>
    <w:p w14:paraId="3C0A0958">
      <w:pPr>
        <w:pStyle w:val="51"/>
        <w:bidi w:val="0"/>
        <w:rPr>
          <w:rFonts w:hint="default"/>
          <w:color w:val="auto"/>
          <w:lang w:val="en-US" w:eastAsia="zh-CN"/>
        </w:rPr>
      </w:pPr>
      <w:r>
        <w:rPr>
          <w:rFonts w:hint="default"/>
          <w:color w:val="auto"/>
          <w:lang w:val="en-US" w:eastAsia="zh-CN"/>
        </w:rPr>
        <w:t>表</w:t>
      </w:r>
      <w:r>
        <w:rPr>
          <w:rFonts w:hint="eastAsia"/>
          <w:color w:val="auto"/>
          <w:lang w:val="en-US" w:eastAsia="zh-CN"/>
        </w:rPr>
        <w:t xml:space="preserve">4-5  </w:t>
      </w:r>
      <w:r>
        <w:rPr>
          <w:rFonts w:hint="default"/>
          <w:color w:val="auto"/>
          <w:lang w:val="en-US" w:eastAsia="zh-CN"/>
        </w:rPr>
        <w:t>类比变电站工频电场、工频磁场断面监测结果</w:t>
      </w:r>
    </w:p>
    <w:tbl>
      <w:tblPr>
        <w:tblStyle w:val="26"/>
        <w:tblW w:w="8658" w:type="dxa"/>
        <w:tblInd w:w="50" w:type="dxa"/>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Layout w:type="fixed"/>
        <w:tblCellMar>
          <w:top w:w="0" w:type="dxa"/>
          <w:left w:w="0" w:type="dxa"/>
          <w:bottom w:w="0" w:type="dxa"/>
          <w:right w:w="0" w:type="dxa"/>
        </w:tblCellMar>
      </w:tblPr>
      <w:tblGrid>
        <w:gridCol w:w="576"/>
        <w:gridCol w:w="4268"/>
        <w:gridCol w:w="1845"/>
        <w:gridCol w:w="1969"/>
      </w:tblGrid>
      <w:tr w14:paraId="7469075A">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576" w:type="dxa"/>
            <w:tcBorders>
              <w:bottom w:val="single" w:color="000000" w:sz="12" w:space="0"/>
            </w:tcBorders>
            <w:vAlign w:val="center"/>
          </w:tcPr>
          <w:p w14:paraId="26A704FA">
            <w:pPr>
              <w:pStyle w:val="37"/>
              <w:bidi w:val="0"/>
              <w:rPr>
                <w:b/>
                <w:bCs/>
                <w:color w:val="auto"/>
              </w:rPr>
            </w:pPr>
            <w:r>
              <w:rPr>
                <w:b/>
                <w:bCs/>
                <w:color w:val="auto"/>
              </w:rPr>
              <w:t>测点编号</w:t>
            </w:r>
          </w:p>
        </w:tc>
        <w:tc>
          <w:tcPr>
            <w:tcW w:w="4268" w:type="dxa"/>
            <w:tcBorders>
              <w:bottom w:val="single" w:color="000000" w:sz="12" w:space="0"/>
            </w:tcBorders>
            <w:vAlign w:val="center"/>
          </w:tcPr>
          <w:p w14:paraId="6EE1E93A">
            <w:pPr>
              <w:pStyle w:val="37"/>
              <w:bidi w:val="0"/>
              <w:rPr>
                <w:b/>
                <w:bCs/>
                <w:color w:val="auto"/>
              </w:rPr>
            </w:pPr>
            <w:r>
              <w:rPr>
                <w:b/>
                <w:bCs/>
                <w:color w:val="auto"/>
              </w:rPr>
              <w:t>测点位置</w:t>
            </w:r>
          </w:p>
        </w:tc>
        <w:tc>
          <w:tcPr>
            <w:tcW w:w="1845" w:type="dxa"/>
            <w:tcBorders>
              <w:bottom w:val="single" w:color="000000" w:sz="12" w:space="0"/>
            </w:tcBorders>
            <w:vAlign w:val="center"/>
          </w:tcPr>
          <w:p w14:paraId="2CFA1820">
            <w:pPr>
              <w:pStyle w:val="37"/>
              <w:bidi w:val="0"/>
              <w:rPr>
                <w:b/>
                <w:bCs/>
                <w:color w:val="auto"/>
              </w:rPr>
            </w:pPr>
            <w:r>
              <w:rPr>
                <w:b/>
                <w:bCs/>
                <w:color w:val="auto"/>
              </w:rPr>
              <w:t>工频电场强度(V/m)</w:t>
            </w:r>
          </w:p>
        </w:tc>
        <w:tc>
          <w:tcPr>
            <w:tcW w:w="1969" w:type="dxa"/>
            <w:tcBorders>
              <w:bottom w:val="single" w:color="000000" w:sz="12" w:space="0"/>
            </w:tcBorders>
            <w:vAlign w:val="center"/>
          </w:tcPr>
          <w:p w14:paraId="4DB4ACB8">
            <w:pPr>
              <w:pStyle w:val="37"/>
              <w:bidi w:val="0"/>
              <w:rPr>
                <w:b/>
                <w:bCs/>
                <w:color w:val="auto"/>
              </w:rPr>
            </w:pPr>
            <w:r>
              <w:rPr>
                <w:b/>
                <w:bCs/>
                <w:color w:val="auto"/>
              </w:rPr>
              <w:t>工频磁感应强度(μT)</w:t>
            </w:r>
          </w:p>
        </w:tc>
      </w:tr>
      <w:tr w14:paraId="14A67B47">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576" w:type="dxa"/>
            <w:tcBorders>
              <w:top w:val="single" w:color="000000" w:sz="12" w:space="0"/>
              <w:tl2br w:val="nil"/>
              <w:tr2bl w:val="nil"/>
            </w:tcBorders>
            <w:vAlign w:val="center"/>
          </w:tcPr>
          <w:p w14:paraId="510C14F9">
            <w:pPr>
              <w:pStyle w:val="37"/>
              <w:bidi w:val="0"/>
              <w:rPr>
                <w:color w:val="auto"/>
              </w:rPr>
            </w:pPr>
            <w:r>
              <w:rPr>
                <w:color w:val="auto"/>
              </w:rPr>
              <w:t>6</w:t>
            </w:r>
          </w:p>
        </w:tc>
        <w:tc>
          <w:tcPr>
            <w:tcW w:w="4268" w:type="dxa"/>
            <w:tcBorders>
              <w:top w:val="single" w:color="000000" w:sz="12" w:space="0"/>
              <w:tl2br w:val="nil"/>
              <w:tr2bl w:val="nil"/>
            </w:tcBorders>
            <w:vAlign w:val="center"/>
          </w:tcPr>
          <w:p w14:paraId="5970F256">
            <w:pPr>
              <w:pStyle w:val="37"/>
              <w:bidi w:val="0"/>
              <w:rPr>
                <w:color w:val="auto"/>
              </w:rPr>
            </w:pPr>
            <w:r>
              <w:rPr>
                <w:color w:val="auto"/>
              </w:rPr>
              <w:t>升压站西侧围墙外5m处</w:t>
            </w:r>
          </w:p>
        </w:tc>
        <w:tc>
          <w:tcPr>
            <w:tcW w:w="1845" w:type="dxa"/>
            <w:tcBorders>
              <w:top w:val="single" w:color="000000" w:sz="12" w:space="0"/>
              <w:tl2br w:val="nil"/>
              <w:tr2bl w:val="nil"/>
            </w:tcBorders>
            <w:vAlign w:val="center"/>
          </w:tcPr>
          <w:p w14:paraId="02852BC9">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301.56</w:t>
            </w:r>
          </w:p>
        </w:tc>
        <w:tc>
          <w:tcPr>
            <w:tcW w:w="1969" w:type="dxa"/>
            <w:tcBorders>
              <w:top w:val="single" w:color="000000" w:sz="12" w:space="0"/>
              <w:tl2br w:val="nil"/>
              <w:tr2bl w:val="nil"/>
            </w:tcBorders>
            <w:vAlign w:val="center"/>
          </w:tcPr>
          <w:p w14:paraId="3B70E75D">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0.9024</w:t>
            </w:r>
          </w:p>
        </w:tc>
      </w:tr>
      <w:tr w14:paraId="2BDC8AC8">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576" w:type="dxa"/>
            <w:tcBorders>
              <w:tl2br w:val="nil"/>
              <w:tr2bl w:val="nil"/>
            </w:tcBorders>
            <w:vAlign w:val="center"/>
          </w:tcPr>
          <w:p w14:paraId="42908BB9">
            <w:pPr>
              <w:pStyle w:val="37"/>
              <w:bidi w:val="0"/>
              <w:rPr>
                <w:color w:val="auto"/>
              </w:rPr>
            </w:pPr>
            <w:r>
              <w:rPr>
                <w:color w:val="auto"/>
              </w:rPr>
              <w:t>7</w:t>
            </w:r>
          </w:p>
        </w:tc>
        <w:tc>
          <w:tcPr>
            <w:tcW w:w="4268" w:type="dxa"/>
            <w:tcBorders>
              <w:tl2br w:val="nil"/>
              <w:tr2bl w:val="nil"/>
            </w:tcBorders>
            <w:vAlign w:val="center"/>
          </w:tcPr>
          <w:p w14:paraId="61A242D7">
            <w:pPr>
              <w:pStyle w:val="37"/>
              <w:bidi w:val="0"/>
              <w:rPr>
                <w:color w:val="auto"/>
              </w:rPr>
            </w:pPr>
            <w:r>
              <w:rPr>
                <w:color w:val="auto"/>
              </w:rPr>
              <w:t>升压站西侧围墙外</w:t>
            </w:r>
            <w:r>
              <w:rPr>
                <w:rFonts w:hint="eastAsia"/>
                <w:color w:val="auto"/>
                <w:lang w:val="en-US" w:eastAsia="zh-CN"/>
              </w:rPr>
              <w:t>10</w:t>
            </w:r>
            <w:r>
              <w:rPr>
                <w:color w:val="auto"/>
              </w:rPr>
              <w:t>m处</w:t>
            </w:r>
          </w:p>
        </w:tc>
        <w:tc>
          <w:tcPr>
            <w:tcW w:w="1845" w:type="dxa"/>
            <w:tcBorders>
              <w:tl2br w:val="nil"/>
              <w:tr2bl w:val="nil"/>
            </w:tcBorders>
            <w:vAlign w:val="center"/>
          </w:tcPr>
          <w:p w14:paraId="6D1D0535">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271.42</w:t>
            </w:r>
          </w:p>
        </w:tc>
        <w:tc>
          <w:tcPr>
            <w:tcW w:w="1969" w:type="dxa"/>
            <w:tcBorders>
              <w:tl2br w:val="nil"/>
              <w:tr2bl w:val="nil"/>
            </w:tcBorders>
            <w:vAlign w:val="center"/>
          </w:tcPr>
          <w:p w14:paraId="76D21ACF">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0.9546</w:t>
            </w:r>
          </w:p>
        </w:tc>
      </w:tr>
      <w:tr w14:paraId="3D1DA02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576" w:type="dxa"/>
            <w:tcBorders>
              <w:tl2br w:val="nil"/>
              <w:tr2bl w:val="nil"/>
            </w:tcBorders>
            <w:vAlign w:val="center"/>
          </w:tcPr>
          <w:p w14:paraId="17FB03E6">
            <w:pPr>
              <w:pStyle w:val="37"/>
              <w:bidi w:val="0"/>
              <w:rPr>
                <w:color w:val="auto"/>
              </w:rPr>
            </w:pPr>
            <w:r>
              <w:rPr>
                <w:color w:val="auto"/>
              </w:rPr>
              <w:t>8</w:t>
            </w:r>
          </w:p>
        </w:tc>
        <w:tc>
          <w:tcPr>
            <w:tcW w:w="4268" w:type="dxa"/>
            <w:tcBorders>
              <w:tl2br w:val="nil"/>
              <w:tr2bl w:val="nil"/>
            </w:tcBorders>
            <w:vAlign w:val="center"/>
          </w:tcPr>
          <w:p w14:paraId="6E987099">
            <w:pPr>
              <w:pStyle w:val="37"/>
              <w:bidi w:val="0"/>
              <w:rPr>
                <w:color w:val="auto"/>
              </w:rPr>
            </w:pPr>
            <w:r>
              <w:rPr>
                <w:color w:val="auto"/>
              </w:rPr>
              <w:t>升压站西侧围墙外</w:t>
            </w:r>
            <w:r>
              <w:rPr>
                <w:rFonts w:hint="eastAsia"/>
                <w:color w:val="auto"/>
                <w:lang w:val="en-US" w:eastAsia="zh-CN"/>
              </w:rPr>
              <w:t>1</w:t>
            </w:r>
            <w:r>
              <w:rPr>
                <w:color w:val="auto"/>
              </w:rPr>
              <w:t>5m处</w:t>
            </w:r>
          </w:p>
        </w:tc>
        <w:tc>
          <w:tcPr>
            <w:tcW w:w="1845" w:type="dxa"/>
            <w:tcBorders>
              <w:tl2br w:val="nil"/>
              <w:tr2bl w:val="nil"/>
            </w:tcBorders>
            <w:vAlign w:val="center"/>
          </w:tcPr>
          <w:p w14:paraId="2CF76DC1">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236.18</w:t>
            </w:r>
          </w:p>
        </w:tc>
        <w:tc>
          <w:tcPr>
            <w:tcW w:w="1969" w:type="dxa"/>
            <w:tcBorders>
              <w:tl2br w:val="nil"/>
              <w:tr2bl w:val="nil"/>
            </w:tcBorders>
            <w:vAlign w:val="center"/>
          </w:tcPr>
          <w:p w14:paraId="2F80BD45">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0.7871</w:t>
            </w:r>
          </w:p>
        </w:tc>
      </w:tr>
      <w:tr w14:paraId="52E8EAD4">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576" w:type="dxa"/>
            <w:tcBorders>
              <w:tl2br w:val="nil"/>
              <w:tr2bl w:val="nil"/>
            </w:tcBorders>
            <w:vAlign w:val="center"/>
          </w:tcPr>
          <w:p w14:paraId="76E52B71">
            <w:pPr>
              <w:pStyle w:val="37"/>
              <w:bidi w:val="0"/>
              <w:rPr>
                <w:color w:val="auto"/>
              </w:rPr>
            </w:pPr>
            <w:r>
              <w:rPr>
                <w:color w:val="auto"/>
              </w:rPr>
              <w:t>9</w:t>
            </w:r>
          </w:p>
        </w:tc>
        <w:tc>
          <w:tcPr>
            <w:tcW w:w="4268" w:type="dxa"/>
            <w:tcBorders>
              <w:tl2br w:val="nil"/>
              <w:tr2bl w:val="nil"/>
            </w:tcBorders>
            <w:vAlign w:val="center"/>
          </w:tcPr>
          <w:p w14:paraId="68FC408A">
            <w:pPr>
              <w:pStyle w:val="37"/>
              <w:bidi w:val="0"/>
              <w:rPr>
                <w:color w:val="auto"/>
              </w:rPr>
            </w:pPr>
            <w:r>
              <w:rPr>
                <w:color w:val="auto"/>
              </w:rPr>
              <w:t>升压站西侧围墙外</w:t>
            </w:r>
            <w:r>
              <w:rPr>
                <w:rFonts w:hint="eastAsia"/>
                <w:color w:val="auto"/>
                <w:lang w:val="en-US" w:eastAsia="zh-CN"/>
              </w:rPr>
              <w:t>20</w:t>
            </w:r>
            <w:r>
              <w:rPr>
                <w:color w:val="auto"/>
              </w:rPr>
              <w:t>m处</w:t>
            </w:r>
          </w:p>
        </w:tc>
        <w:tc>
          <w:tcPr>
            <w:tcW w:w="1845" w:type="dxa"/>
            <w:tcBorders>
              <w:tl2br w:val="nil"/>
              <w:tr2bl w:val="nil"/>
            </w:tcBorders>
            <w:vAlign w:val="center"/>
          </w:tcPr>
          <w:p w14:paraId="653122BC">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216.07</w:t>
            </w:r>
          </w:p>
        </w:tc>
        <w:tc>
          <w:tcPr>
            <w:tcW w:w="1969" w:type="dxa"/>
            <w:tcBorders>
              <w:tl2br w:val="nil"/>
              <w:tr2bl w:val="nil"/>
            </w:tcBorders>
            <w:vAlign w:val="center"/>
          </w:tcPr>
          <w:p w14:paraId="45F016C1">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0.6318</w:t>
            </w:r>
          </w:p>
        </w:tc>
      </w:tr>
      <w:tr w14:paraId="158CEAD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576" w:type="dxa"/>
            <w:tcBorders>
              <w:tl2br w:val="nil"/>
              <w:tr2bl w:val="nil"/>
            </w:tcBorders>
            <w:vAlign w:val="center"/>
          </w:tcPr>
          <w:p w14:paraId="1AABB47B">
            <w:pPr>
              <w:pStyle w:val="37"/>
              <w:bidi w:val="0"/>
              <w:rPr>
                <w:color w:val="auto"/>
              </w:rPr>
            </w:pPr>
            <w:r>
              <w:rPr>
                <w:color w:val="auto"/>
              </w:rPr>
              <w:t>10</w:t>
            </w:r>
          </w:p>
        </w:tc>
        <w:tc>
          <w:tcPr>
            <w:tcW w:w="4268" w:type="dxa"/>
            <w:tcBorders>
              <w:tl2br w:val="nil"/>
              <w:tr2bl w:val="nil"/>
            </w:tcBorders>
            <w:vAlign w:val="center"/>
          </w:tcPr>
          <w:p w14:paraId="445B9A49">
            <w:pPr>
              <w:pStyle w:val="37"/>
              <w:bidi w:val="0"/>
              <w:rPr>
                <w:color w:val="auto"/>
              </w:rPr>
            </w:pPr>
            <w:r>
              <w:rPr>
                <w:color w:val="auto"/>
              </w:rPr>
              <w:t>升压站西侧围墙外</w:t>
            </w:r>
            <w:r>
              <w:rPr>
                <w:rFonts w:hint="eastAsia"/>
                <w:color w:val="auto"/>
                <w:lang w:val="en-US" w:eastAsia="zh-CN"/>
              </w:rPr>
              <w:t>2</w:t>
            </w:r>
            <w:r>
              <w:rPr>
                <w:color w:val="auto"/>
              </w:rPr>
              <w:t>5m处</w:t>
            </w:r>
          </w:p>
        </w:tc>
        <w:tc>
          <w:tcPr>
            <w:tcW w:w="1845" w:type="dxa"/>
            <w:tcBorders>
              <w:tl2br w:val="nil"/>
              <w:tr2bl w:val="nil"/>
            </w:tcBorders>
            <w:vAlign w:val="center"/>
          </w:tcPr>
          <w:p w14:paraId="7F22A2EF">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170.76</w:t>
            </w:r>
          </w:p>
        </w:tc>
        <w:tc>
          <w:tcPr>
            <w:tcW w:w="1969" w:type="dxa"/>
            <w:tcBorders>
              <w:tl2br w:val="nil"/>
              <w:tr2bl w:val="nil"/>
            </w:tcBorders>
            <w:vAlign w:val="center"/>
          </w:tcPr>
          <w:p w14:paraId="2065D744">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0.4345</w:t>
            </w:r>
          </w:p>
        </w:tc>
      </w:tr>
      <w:tr w14:paraId="25404D09">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576" w:type="dxa"/>
            <w:tcBorders>
              <w:tl2br w:val="nil"/>
              <w:tr2bl w:val="nil"/>
            </w:tcBorders>
            <w:vAlign w:val="center"/>
          </w:tcPr>
          <w:p w14:paraId="39246FFB">
            <w:pPr>
              <w:pStyle w:val="37"/>
              <w:bidi w:val="0"/>
              <w:rPr>
                <w:color w:val="auto"/>
              </w:rPr>
            </w:pPr>
            <w:r>
              <w:rPr>
                <w:color w:val="auto"/>
              </w:rPr>
              <w:t>11</w:t>
            </w:r>
          </w:p>
        </w:tc>
        <w:tc>
          <w:tcPr>
            <w:tcW w:w="4268" w:type="dxa"/>
            <w:tcBorders>
              <w:tl2br w:val="nil"/>
              <w:tr2bl w:val="nil"/>
            </w:tcBorders>
            <w:vAlign w:val="center"/>
          </w:tcPr>
          <w:p w14:paraId="139F413A">
            <w:pPr>
              <w:pStyle w:val="37"/>
              <w:bidi w:val="0"/>
              <w:rPr>
                <w:color w:val="auto"/>
              </w:rPr>
            </w:pPr>
            <w:r>
              <w:rPr>
                <w:color w:val="auto"/>
              </w:rPr>
              <w:t>升压站西侧围墙外</w:t>
            </w:r>
            <w:r>
              <w:rPr>
                <w:rFonts w:hint="eastAsia"/>
                <w:color w:val="auto"/>
                <w:lang w:val="en-US" w:eastAsia="zh-CN"/>
              </w:rPr>
              <w:t>30</w:t>
            </w:r>
            <w:r>
              <w:rPr>
                <w:color w:val="auto"/>
              </w:rPr>
              <w:t>m处</w:t>
            </w:r>
          </w:p>
        </w:tc>
        <w:tc>
          <w:tcPr>
            <w:tcW w:w="1845" w:type="dxa"/>
            <w:tcBorders>
              <w:tl2br w:val="nil"/>
              <w:tr2bl w:val="nil"/>
            </w:tcBorders>
            <w:vAlign w:val="center"/>
          </w:tcPr>
          <w:p w14:paraId="7179BFF7">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153.82</w:t>
            </w:r>
          </w:p>
        </w:tc>
        <w:tc>
          <w:tcPr>
            <w:tcW w:w="1969" w:type="dxa"/>
            <w:tcBorders>
              <w:tl2br w:val="nil"/>
              <w:tr2bl w:val="nil"/>
            </w:tcBorders>
            <w:vAlign w:val="center"/>
          </w:tcPr>
          <w:p w14:paraId="0128A613">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0.522</w:t>
            </w:r>
          </w:p>
        </w:tc>
      </w:tr>
      <w:tr w14:paraId="508927C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1" w:hRule="atLeast"/>
        </w:trPr>
        <w:tc>
          <w:tcPr>
            <w:tcW w:w="576" w:type="dxa"/>
            <w:tcBorders>
              <w:tl2br w:val="nil"/>
              <w:tr2bl w:val="nil"/>
            </w:tcBorders>
            <w:vAlign w:val="center"/>
          </w:tcPr>
          <w:p w14:paraId="05CF266C">
            <w:pPr>
              <w:pStyle w:val="37"/>
              <w:bidi w:val="0"/>
              <w:rPr>
                <w:color w:val="auto"/>
              </w:rPr>
            </w:pPr>
            <w:r>
              <w:rPr>
                <w:color w:val="auto"/>
              </w:rPr>
              <w:t>12</w:t>
            </w:r>
          </w:p>
        </w:tc>
        <w:tc>
          <w:tcPr>
            <w:tcW w:w="4268" w:type="dxa"/>
            <w:tcBorders>
              <w:tl2br w:val="nil"/>
              <w:tr2bl w:val="nil"/>
            </w:tcBorders>
            <w:vAlign w:val="center"/>
          </w:tcPr>
          <w:p w14:paraId="5C696F1E">
            <w:pPr>
              <w:pStyle w:val="37"/>
              <w:bidi w:val="0"/>
              <w:rPr>
                <w:color w:val="auto"/>
              </w:rPr>
            </w:pPr>
            <w:r>
              <w:rPr>
                <w:color w:val="auto"/>
              </w:rPr>
              <w:t>升压站西侧围墙外</w:t>
            </w:r>
            <w:r>
              <w:rPr>
                <w:rFonts w:hint="eastAsia"/>
                <w:color w:val="auto"/>
                <w:lang w:val="en-US" w:eastAsia="zh-CN"/>
              </w:rPr>
              <w:t>35</w:t>
            </w:r>
            <w:r>
              <w:rPr>
                <w:color w:val="auto"/>
              </w:rPr>
              <w:t>m处</w:t>
            </w:r>
          </w:p>
        </w:tc>
        <w:tc>
          <w:tcPr>
            <w:tcW w:w="1845" w:type="dxa"/>
            <w:tcBorders>
              <w:tl2br w:val="nil"/>
              <w:tr2bl w:val="nil"/>
            </w:tcBorders>
            <w:vAlign w:val="center"/>
          </w:tcPr>
          <w:p w14:paraId="486EB45A">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143.01</w:t>
            </w:r>
          </w:p>
        </w:tc>
        <w:tc>
          <w:tcPr>
            <w:tcW w:w="1969" w:type="dxa"/>
            <w:tcBorders>
              <w:tl2br w:val="nil"/>
              <w:tr2bl w:val="nil"/>
            </w:tcBorders>
            <w:vAlign w:val="center"/>
          </w:tcPr>
          <w:p w14:paraId="6CB19131">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0.4863</w:t>
            </w:r>
          </w:p>
        </w:tc>
      </w:tr>
      <w:tr w14:paraId="63B7994D">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576" w:type="dxa"/>
            <w:tcBorders>
              <w:tl2br w:val="nil"/>
              <w:tr2bl w:val="nil"/>
            </w:tcBorders>
            <w:vAlign w:val="center"/>
          </w:tcPr>
          <w:p w14:paraId="4707BBA9">
            <w:pPr>
              <w:pStyle w:val="37"/>
              <w:bidi w:val="0"/>
              <w:rPr>
                <w:color w:val="auto"/>
              </w:rPr>
            </w:pPr>
            <w:r>
              <w:rPr>
                <w:color w:val="auto"/>
              </w:rPr>
              <w:t>13</w:t>
            </w:r>
          </w:p>
        </w:tc>
        <w:tc>
          <w:tcPr>
            <w:tcW w:w="4268" w:type="dxa"/>
            <w:tcBorders>
              <w:tl2br w:val="nil"/>
              <w:tr2bl w:val="nil"/>
            </w:tcBorders>
            <w:vAlign w:val="center"/>
          </w:tcPr>
          <w:p w14:paraId="782878FD">
            <w:pPr>
              <w:pStyle w:val="37"/>
              <w:bidi w:val="0"/>
              <w:rPr>
                <w:color w:val="auto"/>
              </w:rPr>
            </w:pPr>
            <w:r>
              <w:rPr>
                <w:color w:val="auto"/>
              </w:rPr>
              <w:t>升压站西侧围墙外</w:t>
            </w:r>
            <w:r>
              <w:rPr>
                <w:rFonts w:hint="eastAsia"/>
                <w:color w:val="auto"/>
                <w:lang w:val="en-US" w:eastAsia="zh-CN"/>
              </w:rPr>
              <w:t>40</w:t>
            </w:r>
            <w:r>
              <w:rPr>
                <w:color w:val="auto"/>
              </w:rPr>
              <w:t>m处</w:t>
            </w:r>
          </w:p>
        </w:tc>
        <w:tc>
          <w:tcPr>
            <w:tcW w:w="1845" w:type="dxa"/>
            <w:tcBorders>
              <w:tl2br w:val="nil"/>
              <w:tr2bl w:val="nil"/>
            </w:tcBorders>
            <w:vAlign w:val="center"/>
          </w:tcPr>
          <w:p w14:paraId="75BD5A2A">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131.49</w:t>
            </w:r>
          </w:p>
        </w:tc>
        <w:tc>
          <w:tcPr>
            <w:tcW w:w="1969" w:type="dxa"/>
            <w:tcBorders>
              <w:tl2br w:val="nil"/>
              <w:tr2bl w:val="nil"/>
            </w:tcBorders>
            <w:vAlign w:val="center"/>
          </w:tcPr>
          <w:p w14:paraId="144B1A84">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0.4277</w:t>
            </w:r>
          </w:p>
        </w:tc>
      </w:tr>
      <w:tr w14:paraId="406B7866">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576" w:type="dxa"/>
            <w:tcBorders>
              <w:tl2br w:val="nil"/>
              <w:tr2bl w:val="nil"/>
            </w:tcBorders>
            <w:vAlign w:val="center"/>
          </w:tcPr>
          <w:p w14:paraId="4B709B58">
            <w:pPr>
              <w:pStyle w:val="37"/>
              <w:bidi w:val="0"/>
              <w:rPr>
                <w:color w:val="auto"/>
              </w:rPr>
            </w:pPr>
            <w:r>
              <w:rPr>
                <w:color w:val="auto"/>
              </w:rPr>
              <w:t>14</w:t>
            </w:r>
          </w:p>
        </w:tc>
        <w:tc>
          <w:tcPr>
            <w:tcW w:w="4268" w:type="dxa"/>
            <w:tcBorders>
              <w:tl2br w:val="nil"/>
              <w:tr2bl w:val="nil"/>
            </w:tcBorders>
            <w:vAlign w:val="center"/>
          </w:tcPr>
          <w:p w14:paraId="5578F54D">
            <w:pPr>
              <w:pStyle w:val="37"/>
              <w:bidi w:val="0"/>
              <w:rPr>
                <w:color w:val="auto"/>
              </w:rPr>
            </w:pPr>
            <w:r>
              <w:rPr>
                <w:color w:val="auto"/>
              </w:rPr>
              <w:t>升压站西侧围墙外</w:t>
            </w:r>
            <w:r>
              <w:rPr>
                <w:rFonts w:hint="eastAsia"/>
                <w:color w:val="auto"/>
                <w:lang w:val="en-US" w:eastAsia="zh-CN"/>
              </w:rPr>
              <w:t>4</w:t>
            </w:r>
            <w:r>
              <w:rPr>
                <w:color w:val="auto"/>
              </w:rPr>
              <w:t>5m处</w:t>
            </w:r>
          </w:p>
        </w:tc>
        <w:tc>
          <w:tcPr>
            <w:tcW w:w="1845" w:type="dxa"/>
            <w:tcBorders>
              <w:tl2br w:val="nil"/>
              <w:tr2bl w:val="nil"/>
            </w:tcBorders>
            <w:vAlign w:val="center"/>
          </w:tcPr>
          <w:p w14:paraId="6A1C5D4D">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92.27</w:t>
            </w:r>
          </w:p>
        </w:tc>
        <w:tc>
          <w:tcPr>
            <w:tcW w:w="1969" w:type="dxa"/>
            <w:tcBorders>
              <w:tl2br w:val="nil"/>
              <w:tr2bl w:val="nil"/>
            </w:tcBorders>
            <w:vAlign w:val="center"/>
          </w:tcPr>
          <w:p w14:paraId="7CBA57CB">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0.3497</w:t>
            </w:r>
          </w:p>
        </w:tc>
      </w:tr>
      <w:tr w14:paraId="45CD2A2F">
        <w:tblPrEx>
          <w:tblBorders>
            <w:top w:val="single" w:color="000000" w:sz="12" w:space="0"/>
            <w:left w:val="none" w:color="auto" w:sz="0" w:space="0"/>
            <w:bottom w:val="single" w:color="000000" w:sz="12"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80" w:hRule="atLeast"/>
        </w:trPr>
        <w:tc>
          <w:tcPr>
            <w:tcW w:w="576" w:type="dxa"/>
            <w:tcBorders>
              <w:tl2br w:val="nil"/>
              <w:tr2bl w:val="nil"/>
            </w:tcBorders>
            <w:vAlign w:val="center"/>
          </w:tcPr>
          <w:p w14:paraId="2EB1E22C">
            <w:pPr>
              <w:pStyle w:val="37"/>
              <w:bidi w:val="0"/>
              <w:rPr>
                <w:color w:val="auto"/>
              </w:rPr>
            </w:pPr>
            <w:r>
              <w:rPr>
                <w:color w:val="auto"/>
              </w:rPr>
              <w:t>15</w:t>
            </w:r>
          </w:p>
        </w:tc>
        <w:tc>
          <w:tcPr>
            <w:tcW w:w="4268" w:type="dxa"/>
            <w:tcBorders>
              <w:tl2br w:val="nil"/>
              <w:tr2bl w:val="nil"/>
            </w:tcBorders>
            <w:vAlign w:val="center"/>
          </w:tcPr>
          <w:p w14:paraId="6A6D41A0">
            <w:pPr>
              <w:pStyle w:val="37"/>
              <w:bidi w:val="0"/>
              <w:rPr>
                <w:color w:val="auto"/>
              </w:rPr>
            </w:pPr>
            <w:r>
              <w:rPr>
                <w:color w:val="auto"/>
              </w:rPr>
              <w:t>升压站西侧围墙外5</w:t>
            </w:r>
            <w:r>
              <w:rPr>
                <w:rFonts w:hint="eastAsia"/>
                <w:color w:val="auto"/>
                <w:lang w:val="en-US" w:eastAsia="zh-CN"/>
              </w:rPr>
              <w:t>0</w:t>
            </w:r>
            <w:r>
              <w:rPr>
                <w:color w:val="auto"/>
              </w:rPr>
              <w:t>m处</w:t>
            </w:r>
          </w:p>
        </w:tc>
        <w:tc>
          <w:tcPr>
            <w:tcW w:w="1845" w:type="dxa"/>
            <w:tcBorders>
              <w:tl2br w:val="nil"/>
              <w:tr2bl w:val="nil"/>
            </w:tcBorders>
            <w:vAlign w:val="center"/>
          </w:tcPr>
          <w:p w14:paraId="0289DE47">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65.37</w:t>
            </w:r>
          </w:p>
        </w:tc>
        <w:tc>
          <w:tcPr>
            <w:tcW w:w="1969" w:type="dxa"/>
            <w:tcBorders>
              <w:tl2br w:val="nil"/>
              <w:tr2bl w:val="nil"/>
            </w:tcBorders>
            <w:vAlign w:val="center"/>
          </w:tcPr>
          <w:p w14:paraId="48829A0A">
            <w:pPr>
              <w:keepNext w:val="0"/>
              <w:keepLines w:val="0"/>
              <w:widowControl/>
              <w:suppressLineNumbers w:val="0"/>
              <w:jc w:val="center"/>
              <w:textAlignment w:val="center"/>
              <w:rPr>
                <w:color w:val="auto"/>
              </w:rPr>
            </w:pPr>
            <w:r>
              <w:rPr>
                <w:rFonts w:hint="default" w:ascii="Times New Roman" w:hAnsi="Times New Roman" w:eastAsia="宋体" w:cs="Times New Roman"/>
                <w:i w:val="0"/>
                <w:iCs w:val="0"/>
                <w:color w:val="auto"/>
                <w:kern w:val="0"/>
                <w:sz w:val="21"/>
                <w:szCs w:val="21"/>
                <w:u w:val="none"/>
                <w:lang w:val="en-US" w:eastAsia="zh-CN" w:bidi="ar"/>
              </w:rPr>
              <w:t>0.275</w:t>
            </w:r>
          </w:p>
        </w:tc>
      </w:tr>
    </w:tbl>
    <w:p w14:paraId="69B7FE1E">
      <w:pPr>
        <w:pStyle w:val="51"/>
        <w:bidi w:val="0"/>
        <w:rPr>
          <w:rFonts w:hint="default"/>
          <w:color w:val="auto"/>
          <w:lang w:val="en-US" w:eastAsia="zh-CN"/>
        </w:rPr>
      </w:pPr>
    </w:p>
    <w:p w14:paraId="2D049112">
      <w:pPr>
        <w:keepNext w:val="0"/>
        <w:keepLines w:val="0"/>
        <w:pageBreakBefore w:val="0"/>
        <w:widowControl w:val="0"/>
        <w:tabs>
          <w:tab w:val="left" w:pos="930"/>
        </w:tabs>
        <w:kinsoku/>
        <w:wordWrap/>
        <w:overflowPunct/>
        <w:topLinePunct w:val="0"/>
        <w:autoSpaceDE/>
        <w:autoSpaceDN/>
        <w:bidi w:val="0"/>
        <w:adjustRightInd/>
        <w:snapToGrid/>
        <w:spacing w:line="240" w:lineRule="auto"/>
        <w:ind w:firstLine="0" w:firstLineChars="0"/>
        <w:jc w:val="center"/>
        <w:textAlignment w:val="auto"/>
        <w:rPr>
          <w:rFonts w:hint="eastAsia"/>
          <w:color w:val="auto"/>
          <w:sz w:val="24"/>
        </w:rPr>
      </w:pPr>
      <w:r>
        <w:rPr>
          <w:color w:val="auto"/>
        </w:rPr>
        <w:drawing>
          <wp:inline distT="0" distB="0" distL="114300" distR="114300">
            <wp:extent cx="4826000" cy="2743200"/>
            <wp:effectExtent l="4445" t="4445" r="8255" b="14605"/>
            <wp:docPr id="7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14:paraId="51911FEC">
      <w:pPr>
        <w:keepNext w:val="0"/>
        <w:keepLines w:val="0"/>
        <w:pageBreakBefore w:val="0"/>
        <w:widowControl w:val="0"/>
        <w:tabs>
          <w:tab w:val="left" w:pos="930"/>
        </w:tabs>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4"/>
        </w:rPr>
      </w:pPr>
      <w:r>
        <w:rPr>
          <w:rFonts w:hint="eastAsia"/>
          <w:b/>
          <w:bCs/>
          <w:color w:val="auto"/>
          <w:sz w:val="24"/>
        </w:rPr>
        <w:t>图</w:t>
      </w:r>
      <w:r>
        <w:rPr>
          <w:rFonts w:hint="eastAsia"/>
          <w:b/>
          <w:bCs/>
          <w:color w:val="auto"/>
          <w:sz w:val="24"/>
          <w:lang w:val="en-US" w:eastAsia="zh-CN"/>
        </w:rPr>
        <w:t xml:space="preserve">4-2 </w:t>
      </w:r>
      <w:r>
        <w:rPr>
          <w:rFonts w:hint="eastAsia"/>
          <w:b/>
          <w:bCs/>
          <w:color w:val="auto"/>
          <w:sz w:val="24"/>
        </w:rPr>
        <w:t xml:space="preserve"> 类比升压站工频电场强度随距离衰减监测结果变化情况</w:t>
      </w:r>
    </w:p>
    <w:p w14:paraId="23A8B1A6">
      <w:pPr>
        <w:keepNext w:val="0"/>
        <w:keepLines w:val="0"/>
        <w:pageBreakBefore w:val="0"/>
        <w:widowControl w:val="0"/>
        <w:tabs>
          <w:tab w:val="left" w:pos="930"/>
        </w:tabs>
        <w:kinsoku/>
        <w:wordWrap/>
        <w:overflowPunct/>
        <w:topLinePunct w:val="0"/>
        <w:autoSpaceDE/>
        <w:autoSpaceDN/>
        <w:bidi w:val="0"/>
        <w:adjustRightInd/>
        <w:snapToGrid/>
        <w:spacing w:line="240" w:lineRule="auto"/>
        <w:ind w:firstLine="0" w:firstLineChars="0"/>
        <w:jc w:val="center"/>
        <w:textAlignment w:val="auto"/>
        <w:rPr>
          <w:rFonts w:hint="eastAsia"/>
          <w:color w:val="auto"/>
          <w:sz w:val="24"/>
        </w:rPr>
      </w:pPr>
      <w:r>
        <w:rPr>
          <w:color w:val="auto"/>
        </w:rPr>
        <w:drawing>
          <wp:inline distT="0" distB="0" distL="114300" distR="114300">
            <wp:extent cx="4826000" cy="2743200"/>
            <wp:effectExtent l="4445" t="4445" r="8255" b="14605"/>
            <wp:docPr id="7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15A4298A">
      <w:pPr>
        <w:keepNext w:val="0"/>
        <w:keepLines w:val="0"/>
        <w:pageBreakBefore w:val="0"/>
        <w:widowControl w:val="0"/>
        <w:tabs>
          <w:tab w:val="left" w:pos="930"/>
        </w:tabs>
        <w:kinsoku/>
        <w:wordWrap/>
        <w:overflowPunct/>
        <w:topLinePunct w:val="0"/>
        <w:autoSpaceDE/>
        <w:autoSpaceDN/>
        <w:bidi w:val="0"/>
        <w:adjustRightInd/>
        <w:snapToGrid/>
        <w:spacing w:line="240" w:lineRule="auto"/>
        <w:ind w:firstLine="0" w:firstLineChars="0"/>
        <w:jc w:val="center"/>
        <w:textAlignment w:val="auto"/>
        <w:rPr>
          <w:rFonts w:hint="eastAsia"/>
          <w:b/>
          <w:bCs/>
          <w:color w:val="auto"/>
          <w:sz w:val="24"/>
        </w:rPr>
      </w:pPr>
      <w:r>
        <w:rPr>
          <w:rFonts w:hint="eastAsia"/>
          <w:b/>
          <w:bCs/>
          <w:color w:val="auto"/>
          <w:sz w:val="24"/>
        </w:rPr>
        <w:t>图</w:t>
      </w:r>
      <w:r>
        <w:rPr>
          <w:rFonts w:hint="eastAsia"/>
          <w:b/>
          <w:bCs/>
          <w:color w:val="auto"/>
          <w:sz w:val="24"/>
          <w:lang w:val="en-US" w:eastAsia="zh-CN"/>
        </w:rPr>
        <w:t>4-3</w:t>
      </w:r>
      <w:r>
        <w:rPr>
          <w:rFonts w:hint="eastAsia"/>
          <w:b/>
          <w:bCs/>
          <w:color w:val="auto"/>
          <w:sz w:val="24"/>
        </w:rPr>
        <w:t xml:space="preserve">  类比升压站工频磁场强度随距离衰减监测结果变化情况</w:t>
      </w:r>
    </w:p>
    <w:p w14:paraId="6B307FBB">
      <w:pPr>
        <w:widowControl/>
        <w:spacing w:line="360" w:lineRule="auto"/>
        <w:ind w:firstLine="480" w:firstLineChars="200"/>
        <w:jc w:val="left"/>
        <w:rPr>
          <w:rFonts w:hint="default" w:ascii="Times New Roman" w:hAnsi="Times New Roman" w:eastAsia="宋体" w:cs="Times New Roman"/>
          <w:color w:val="auto"/>
          <w:sz w:val="24"/>
          <w:lang w:val="en-US" w:eastAsia="zh-CN"/>
        </w:rPr>
      </w:pPr>
    </w:p>
    <w:p w14:paraId="2F26BAEE">
      <w:pPr>
        <w:widowControl/>
        <w:spacing w:line="360" w:lineRule="auto"/>
        <w:ind w:firstLine="480" w:firstLineChars="200"/>
        <w:jc w:val="left"/>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lang w:val="en-US" w:eastAsia="zh-CN"/>
        </w:rPr>
        <w:t>类比</w:t>
      </w:r>
      <w:r>
        <w:rPr>
          <w:rFonts w:hint="default" w:ascii="Times New Roman" w:hAnsi="Times New Roman" w:eastAsia="宋体" w:cs="Times New Roman"/>
          <w:bCs/>
          <w:color w:val="auto"/>
          <w:sz w:val="24"/>
          <w:lang w:val="en-US" w:eastAsia="zh-CN"/>
        </w:rPr>
        <w:t>清水朗山风电场220kV升压站</w:t>
      </w:r>
      <w:r>
        <w:rPr>
          <w:rFonts w:hint="default" w:ascii="Times New Roman" w:hAnsi="Times New Roman" w:eastAsia="宋体" w:cs="Times New Roman"/>
          <w:color w:val="auto"/>
          <w:sz w:val="24"/>
          <w:lang w:val="en-US" w:eastAsia="zh-CN"/>
        </w:rPr>
        <w:t>监测断面趋势图见图4-2、4-3，从图中可以看出，升压站的工频电场和工频磁场强度均随着距离增加整体呈下降趋势，其中工频电场强度在厂界</w:t>
      </w:r>
      <w:r>
        <w:rPr>
          <w:rFonts w:hint="eastAsia" w:cs="Times New Roman"/>
          <w:color w:val="auto"/>
          <w:sz w:val="24"/>
          <w:lang w:val="en-US" w:eastAsia="zh-CN"/>
        </w:rPr>
        <w:t>1</w:t>
      </w:r>
      <w:r>
        <w:rPr>
          <w:rFonts w:hint="default" w:ascii="Times New Roman" w:hAnsi="Times New Roman" w:eastAsia="宋体" w:cs="Times New Roman"/>
          <w:color w:val="auto"/>
          <w:sz w:val="24"/>
          <w:lang w:val="en-US" w:eastAsia="zh-CN"/>
        </w:rPr>
        <w:t>米处达到最大值，工频磁场强度在厂界</w:t>
      </w:r>
      <w:r>
        <w:rPr>
          <w:rFonts w:hint="eastAsia" w:cs="Times New Roman"/>
          <w:color w:val="auto"/>
          <w:sz w:val="24"/>
          <w:lang w:val="en-US" w:eastAsia="zh-CN"/>
        </w:rPr>
        <w:t>1</w:t>
      </w:r>
      <w:r>
        <w:rPr>
          <w:rFonts w:hint="default" w:ascii="Times New Roman" w:hAnsi="Times New Roman" w:eastAsia="宋体" w:cs="Times New Roman"/>
          <w:color w:val="auto"/>
          <w:sz w:val="24"/>
          <w:lang w:val="en-US" w:eastAsia="zh-CN"/>
        </w:rPr>
        <w:t>米处达到最大值。但均低于《电磁环境控制限值》（GB8702-2014）规定，即工频电场强度低于4000V/m，工频磁感应强度低于100μT。</w:t>
      </w:r>
    </w:p>
    <w:p w14:paraId="1B4F8859">
      <w:pPr>
        <w:pStyle w:val="3"/>
        <w:bidi w:val="0"/>
        <w:rPr>
          <w:rFonts w:hint="eastAsia"/>
          <w:color w:val="auto"/>
        </w:rPr>
      </w:pPr>
      <w:bookmarkStart w:id="134" w:name="_Toc26590"/>
      <w:r>
        <w:rPr>
          <w:rFonts w:hint="eastAsia"/>
          <w:color w:val="auto"/>
          <w:lang w:val="en-US" w:eastAsia="zh-CN"/>
        </w:rPr>
        <w:t>4.4</w:t>
      </w:r>
      <w:r>
        <w:rPr>
          <w:rFonts w:hint="eastAsia"/>
          <w:color w:val="auto"/>
        </w:rPr>
        <w:t>类比结论</w:t>
      </w:r>
      <w:bookmarkEnd w:id="134"/>
    </w:p>
    <w:p w14:paraId="4B6CDB37">
      <w:pPr>
        <w:widowControl/>
        <w:spacing w:line="360" w:lineRule="auto"/>
        <w:ind w:firstLine="480" w:firstLineChars="200"/>
        <w:jc w:val="left"/>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根据类比清水朗山风电场220kV升压站监测结果显示，</w:t>
      </w:r>
      <w:r>
        <w:rPr>
          <w:rFonts w:hint="default" w:ascii="Times New Roman" w:hAnsi="Times New Roman" w:eastAsia="宋体" w:cs="Times New Roman"/>
          <w:bCs/>
          <w:color w:val="auto"/>
          <w:sz w:val="24"/>
          <w:lang w:val="en-US" w:eastAsia="zh-CN"/>
        </w:rPr>
        <w:t>清水朗山风电场220kV升压站</w:t>
      </w:r>
      <w:r>
        <w:rPr>
          <w:rFonts w:hint="eastAsia" w:ascii="Times New Roman" w:hAnsi="Times New Roman" w:eastAsia="宋体" w:cs="Times New Roman"/>
          <w:color w:val="auto"/>
          <w:sz w:val="24"/>
          <w:lang w:val="en-US" w:eastAsia="zh-CN"/>
        </w:rPr>
        <w:t>厂界工频电场在</w:t>
      </w:r>
      <w:r>
        <w:rPr>
          <w:rFonts w:hint="eastAsia" w:cs="Times New Roman"/>
          <w:color w:val="auto"/>
          <w:sz w:val="24"/>
          <w:lang w:val="en-US" w:eastAsia="zh-CN"/>
        </w:rPr>
        <w:t>116.37</w:t>
      </w:r>
      <w:r>
        <w:rPr>
          <w:rFonts w:hint="eastAsia" w:ascii="Times New Roman" w:hAnsi="Times New Roman" w:eastAsia="宋体" w:cs="Times New Roman"/>
          <w:color w:val="auto"/>
          <w:sz w:val="24"/>
          <w:lang w:val="en-US" w:eastAsia="zh-CN"/>
        </w:rPr>
        <w:t>V/m～</w:t>
      </w:r>
      <w:r>
        <w:rPr>
          <w:rFonts w:hint="eastAsia" w:cs="Times New Roman"/>
          <w:color w:val="auto"/>
          <w:sz w:val="24"/>
          <w:lang w:val="en-US" w:eastAsia="zh-CN"/>
        </w:rPr>
        <w:t>777.26</w:t>
      </w:r>
      <w:r>
        <w:rPr>
          <w:rFonts w:hint="eastAsia" w:ascii="Times New Roman" w:hAnsi="Times New Roman" w:eastAsia="宋体" w:cs="Times New Roman"/>
          <w:color w:val="auto"/>
          <w:sz w:val="24"/>
          <w:lang w:val="en-US" w:eastAsia="zh-CN"/>
        </w:rPr>
        <w:t>V/m 之间，工频磁场在</w:t>
      </w:r>
      <w:r>
        <w:rPr>
          <w:rFonts w:hint="eastAsia" w:cs="Times New Roman"/>
          <w:color w:val="auto"/>
          <w:sz w:val="24"/>
          <w:lang w:val="en-US" w:eastAsia="zh-CN"/>
        </w:rPr>
        <w:t>0.4342</w:t>
      </w:r>
      <w:r>
        <w:rPr>
          <w:rFonts w:hint="default" w:ascii="Times New Roman" w:hAnsi="Times New Roman" w:eastAsia="宋体" w:cs="Times New Roman"/>
          <w:color w:val="auto"/>
          <w:sz w:val="24"/>
          <w:lang w:val="en-US" w:eastAsia="zh-CN"/>
        </w:rPr>
        <w:t>μ</w:t>
      </w:r>
      <w:r>
        <w:rPr>
          <w:rFonts w:hint="eastAsia" w:ascii="Times New Roman" w:hAnsi="Times New Roman" w:eastAsia="宋体" w:cs="Times New Roman"/>
          <w:color w:val="auto"/>
          <w:sz w:val="24"/>
          <w:lang w:val="en-US" w:eastAsia="zh-CN"/>
        </w:rPr>
        <w:t>T～</w:t>
      </w:r>
      <w:r>
        <w:rPr>
          <w:rFonts w:hint="eastAsia" w:cs="Times New Roman"/>
          <w:color w:val="auto"/>
          <w:sz w:val="24"/>
          <w:lang w:val="en-US" w:eastAsia="zh-CN"/>
        </w:rPr>
        <w:t>2.0031</w:t>
      </w:r>
      <w:r>
        <w:rPr>
          <w:rFonts w:hint="default" w:ascii="Times New Roman" w:hAnsi="Times New Roman" w:eastAsia="宋体" w:cs="Times New Roman"/>
          <w:color w:val="auto"/>
          <w:sz w:val="24"/>
          <w:lang w:val="en-US" w:eastAsia="zh-CN"/>
        </w:rPr>
        <w:t>μ</w:t>
      </w:r>
      <w:r>
        <w:rPr>
          <w:rFonts w:hint="eastAsia" w:ascii="Times New Roman" w:hAnsi="Times New Roman" w:eastAsia="宋体" w:cs="Times New Roman"/>
          <w:color w:val="auto"/>
          <w:sz w:val="24"/>
          <w:lang w:val="en-US" w:eastAsia="zh-CN"/>
        </w:rPr>
        <w:t>T 之间，均低于《电磁环境控制限值》（GB 8702-2014）规定，即工频电场强度低于4kV/m，工频磁感应强度低于</w:t>
      </w:r>
      <w:r>
        <w:rPr>
          <w:rFonts w:hint="default" w:ascii="Times New Roman" w:hAnsi="Times New Roman" w:eastAsia="宋体" w:cs="Times New Roman"/>
          <w:color w:val="auto"/>
          <w:sz w:val="24"/>
          <w:lang w:val="en-US" w:eastAsia="zh-CN"/>
        </w:rPr>
        <w:t>100μT</w:t>
      </w:r>
      <w:r>
        <w:rPr>
          <w:rFonts w:hint="eastAsia" w:ascii="Times New Roman" w:hAnsi="Times New Roman" w:eastAsia="宋体" w:cs="Times New Roman"/>
          <w:color w:val="auto"/>
          <w:sz w:val="24"/>
          <w:lang w:val="en-US" w:eastAsia="zh-CN"/>
        </w:rPr>
        <w:t>。</w:t>
      </w:r>
    </w:p>
    <w:p w14:paraId="65FE0A34">
      <w:pPr>
        <w:widowControl/>
        <w:spacing w:line="360" w:lineRule="auto"/>
        <w:ind w:firstLine="480" w:firstLineChars="200"/>
        <w:jc w:val="left"/>
        <w:rPr>
          <w:rFonts w:hint="default"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根据</w:t>
      </w:r>
      <w:r>
        <w:rPr>
          <w:rFonts w:hint="default" w:ascii="Times New Roman" w:hAnsi="Times New Roman" w:eastAsia="宋体" w:cs="Times New Roman"/>
          <w:bCs/>
          <w:color w:val="auto"/>
          <w:sz w:val="24"/>
          <w:lang w:val="en-US" w:eastAsia="zh-CN"/>
        </w:rPr>
        <w:t>清水朗山风电场220kV升压站</w:t>
      </w:r>
      <w:r>
        <w:rPr>
          <w:rFonts w:hint="eastAsia" w:ascii="Times New Roman" w:hAnsi="Times New Roman" w:eastAsia="宋体" w:cs="Times New Roman"/>
          <w:color w:val="auto"/>
          <w:sz w:val="24"/>
          <w:lang w:val="en-US" w:eastAsia="zh-CN"/>
        </w:rPr>
        <w:t>监测断面工频电场强度、工频磁场强度趋势情况，本项目升压站建成后，</w:t>
      </w:r>
      <w:r>
        <w:rPr>
          <w:rFonts w:hint="eastAsia" w:cs="Times New Roman"/>
          <w:color w:val="auto"/>
          <w:sz w:val="24"/>
          <w:lang w:val="en-US" w:eastAsia="zh-CN"/>
        </w:rPr>
        <w:t>厂界</w:t>
      </w:r>
      <w:r>
        <w:rPr>
          <w:rFonts w:hint="eastAsia" w:ascii="Times New Roman" w:hAnsi="Times New Roman" w:eastAsia="宋体" w:cs="Times New Roman"/>
          <w:color w:val="auto"/>
          <w:sz w:val="24"/>
          <w:lang w:val="en-US" w:eastAsia="zh-CN"/>
        </w:rPr>
        <w:t>工频电场强度、工频磁感应强度低于《电磁环境控制限值》（GB 8702-2014）所规定的工频电场4000V/m和工频磁场100</w:t>
      </w:r>
      <w:r>
        <w:rPr>
          <w:rFonts w:hint="default" w:ascii="Times New Roman" w:hAnsi="Times New Roman" w:eastAsia="宋体" w:cs="Times New Roman"/>
          <w:color w:val="auto"/>
          <w:sz w:val="24"/>
          <w:lang w:val="en-US" w:eastAsia="zh-CN"/>
        </w:rPr>
        <w:t>μT</w:t>
      </w:r>
      <w:r>
        <w:rPr>
          <w:rFonts w:hint="eastAsia" w:ascii="Times New Roman" w:hAnsi="Times New Roman" w:eastAsia="宋体" w:cs="Times New Roman"/>
          <w:color w:val="auto"/>
          <w:sz w:val="24"/>
          <w:lang w:val="en-US" w:eastAsia="zh-CN"/>
        </w:rPr>
        <w:t>的标准限值。根据现场调查，升压站40m范围内无住宅、学校、医院、办公楼、工厂等有公众居住、工作或学习的建筑物，对周边环境影响不大。</w:t>
      </w:r>
    </w:p>
    <w:p w14:paraId="0FF6A0E6">
      <w:pPr>
        <w:widowControl/>
        <w:spacing w:line="360" w:lineRule="auto"/>
        <w:ind w:firstLine="480" w:firstLineChars="200"/>
        <w:jc w:val="left"/>
        <w:rPr>
          <w:color w:val="auto"/>
          <w:sz w:val="24"/>
        </w:rPr>
        <w:sectPr>
          <w:pgSz w:w="11905" w:h="16838"/>
          <w:pgMar w:top="1440" w:right="1803" w:bottom="1440" w:left="1803" w:header="851" w:footer="1077" w:gutter="0"/>
          <w:pgBorders>
            <w:top w:val="none" w:sz="0" w:space="0"/>
            <w:left w:val="none" w:sz="0" w:space="0"/>
            <w:bottom w:val="none" w:sz="0" w:space="0"/>
            <w:right w:val="none" w:sz="0" w:space="0"/>
          </w:pgBorders>
          <w:pgNumType w:fmt="decimal"/>
          <w:cols w:space="720" w:num="1"/>
          <w:docGrid w:linePitch="312" w:charSpace="0"/>
        </w:sectPr>
      </w:pPr>
    </w:p>
    <w:p w14:paraId="085C7CCA">
      <w:pPr>
        <w:pStyle w:val="3"/>
        <w:bidi w:val="0"/>
        <w:rPr>
          <w:sz w:val="32"/>
          <w:szCs w:val="32"/>
        </w:rPr>
      </w:pPr>
      <w:bookmarkStart w:id="135" w:name="_Toc27829"/>
      <w:bookmarkStart w:id="136" w:name="_Toc11335"/>
      <w:bookmarkStart w:id="137" w:name="_Toc32327"/>
      <w:bookmarkStart w:id="138" w:name="_Toc2116"/>
      <w:r>
        <w:rPr>
          <w:rFonts w:hint="eastAsia"/>
          <w:sz w:val="32"/>
          <w:szCs w:val="32"/>
          <w:lang w:val="en-US" w:eastAsia="zh-CN"/>
        </w:rPr>
        <w:t>5.</w:t>
      </w:r>
      <w:r>
        <w:rPr>
          <w:sz w:val="32"/>
          <w:szCs w:val="32"/>
        </w:rPr>
        <w:t>电磁环境保护措施及监测计划</w:t>
      </w:r>
      <w:bookmarkEnd w:id="135"/>
      <w:bookmarkEnd w:id="136"/>
      <w:bookmarkEnd w:id="137"/>
      <w:bookmarkEnd w:id="138"/>
    </w:p>
    <w:p w14:paraId="4EA2B0D0">
      <w:pPr>
        <w:pStyle w:val="3"/>
        <w:bidi w:val="0"/>
        <w:rPr>
          <w:rFonts w:hint="eastAsia"/>
          <w:color w:val="auto"/>
          <w:lang w:eastAsia="zh-CN"/>
        </w:rPr>
      </w:pPr>
      <w:bookmarkStart w:id="139" w:name="_Toc6174"/>
      <w:r>
        <w:rPr>
          <w:rFonts w:hint="eastAsia"/>
          <w:color w:val="auto"/>
          <w:lang w:val="en-US" w:eastAsia="zh-CN"/>
        </w:rPr>
        <w:t>5.1</w:t>
      </w:r>
      <w:r>
        <w:rPr>
          <w:color w:val="auto"/>
        </w:rPr>
        <w:t>环境保护措施</w:t>
      </w:r>
      <w:bookmarkEnd w:id="139"/>
    </w:p>
    <w:p w14:paraId="1BB9F0C7">
      <w:pPr>
        <w:widowControl/>
        <w:spacing w:line="360" w:lineRule="auto"/>
        <w:ind w:firstLine="480" w:firstLineChars="200"/>
        <w:jc w:val="left"/>
        <w:rPr>
          <w:color w:val="auto"/>
          <w:sz w:val="24"/>
          <w:highlight w:val="none"/>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lang w:eastAsia="zh-CN"/>
        </w:rPr>
        <w:t>）</w:t>
      </w:r>
      <w:r>
        <w:rPr>
          <w:color w:val="auto"/>
          <w:sz w:val="24"/>
          <w:highlight w:val="none"/>
        </w:rPr>
        <w:t>升压站内电气设备应采取集中布置方式，采用逆相序排列，配电装置采用GIS；在设计中应按有关规程采取</w:t>
      </w:r>
      <w:r>
        <w:rPr>
          <w:rFonts w:hint="eastAsia"/>
          <w:color w:val="auto"/>
          <w:sz w:val="24"/>
          <w:highlight w:val="none"/>
          <w:lang w:val="en-US" w:eastAsia="zh-CN"/>
        </w:rPr>
        <w:t>一</w:t>
      </w:r>
      <w:r>
        <w:rPr>
          <w:color w:val="auto"/>
          <w:sz w:val="24"/>
          <w:highlight w:val="none"/>
        </w:rPr>
        <w:t>系列的控制过电压、电磁感应场强水平的措施，如保证导体和电气设备之间的电气安全距离，选用具有低辐射、抗干扰能力的设备，设置防雷接地保护装置，选用带屏蔽层的电缆、屏蔽层接地等，可以有效</w:t>
      </w:r>
      <w:r>
        <w:rPr>
          <w:rFonts w:hint="eastAsia"/>
          <w:color w:val="auto"/>
          <w:sz w:val="24"/>
          <w:highlight w:val="none"/>
          <w:lang w:eastAsia="zh-CN"/>
        </w:rPr>
        <w:t>地</w:t>
      </w:r>
      <w:r>
        <w:rPr>
          <w:color w:val="auto"/>
          <w:sz w:val="24"/>
          <w:highlight w:val="none"/>
        </w:rPr>
        <w:t>降低电磁环境影响；</w:t>
      </w:r>
    </w:p>
    <w:p w14:paraId="09F30985">
      <w:pPr>
        <w:widowControl/>
        <w:spacing w:line="360" w:lineRule="auto"/>
        <w:ind w:firstLine="480" w:firstLineChars="200"/>
        <w:jc w:val="left"/>
        <w:rPr>
          <w:rFonts w:hint="eastAsia" w:eastAsia="宋体"/>
          <w:color w:val="auto"/>
          <w:sz w:val="24"/>
          <w:lang w:val="en-US" w:eastAsia="zh-CN"/>
        </w:rPr>
      </w:pPr>
      <w:r>
        <w:rPr>
          <w:color w:val="auto"/>
          <w:sz w:val="24"/>
        </w:rPr>
        <w:t>（</w:t>
      </w:r>
      <w:r>
        <w:rPr>
          <w:rFonts w:hint="eastAsia"/>
          <w:color w:val="auto"/>
          <w:sz w:val="24"/>
          <w:lang w:val="en-US" w:eastAsia="zh-CN"/>
        </w:rPr>
        <w:t>2</w:t>
      </w:r>
      <w:r>
        <w:rPr>
          <w:color w:val="auto"/>
          <w:sz w:val="24"/>
        </w:rPr>
        <w:t>）合理选用各种电气设备及金属配件（如保护环、垫片、接头等），以减少高电位梯度点引起的放电；使用合理、优良的绝缘子来减少绝缘子的表面放电，尽量使用能改善绝缘子表面或沿绝缘子串电压分布的保护装置；</w:t>
      </w:r>
      <w:r>
        <w:rPr>
          <w:color w:val="auto"/>
          <w:sz w:val="24"/>
          <w:highlight w:val="none"/>
        </w:rPr>
        <w:t>有效</w:t>
      </w:r>
      <w:r>
        <w:rPr>
          <w:rFonts w:hint="eastAsia"/>
          <w:color w:val="auto"/>
          <w:sz w:val="24"/>
          <w:highlight w:val="none"/>
          <w:lang w:eastAsia="zh-CN"/>
        </w:rPr>
        <w:t>地</w:t>
      </w:r>
      <w:r>
        <w:rPr>
          <w:color w:val="auto"/>
          <w:sz w:val="24"/>
          <w:highlight w:val="none"/>
        </w:rPr>
        <w:t>降低电磁环境影响</w:t>
      </w:r>
      <w:r>
        <w:rPr>
          <w:rFonts w:hint="eastAsia"/>
          <w:color w:val="auto"/>
          <w:sz w:val="24"/>
          <w:highlight w:val="none"/>
          <w:lang w:eastAsia="zh-CN"/>
        </w:rPr>
        <w:t>；</w:t>
      </w:r>
    </w:p>
    <w:p w14:paraId="0FA3CCE3">
      <w:pPr>
        <w:widowControl/>
        <w:spacing w:line="360" w:lineRule="auto"/>
        <w:ind w:firstLine="480" w:firstLineChars="200"/>
        <w:jc w:val="left"/>
        <w:rPr>
          <w:color w:val="auto"/>
          <w:sz w:val="24"/>
        </w:rPr>
      </w:pPr>
      <w:r>
        <w:rPr>
          <w:color w:val="auto"/>
          <w:sz w:val="24"/>
        </w:rPr>
        <w:t>（</w:t>
      </w:r>
      <w:r>
        <w:rPr>
          <w:rFonts w:hint="eastAsia"/>
          <w:color w:val="auto"/>
          <w:sz w:val="24"/>
          <w:lang w:val="en-US" w:eastAsia="zh-CN"/>
        </w:rPr>
        <w:t>3</w:t>
      </w:r>
      <w:r>
        <w:rPr>
          <w:color w:val="auto"/>
          <w:sz w:val="24"/>
        </w:rPr>
        <w:t>）采用良好的屏蔽体对各种电气设备进行遮蔽，有效降低电磁环境影响；</w:t>
      </w:r>
    </w:p>
    <w:p w14:paraId="2680DFC5">
      <w:pPr>
        <w:widowControl/>
        <w:spacing w:line="360" w:lineRule="auto"/>
        <w:ind w:firstLine="480" w:firstLineChars="200"/>
        <w:jc w:val="left"/>
        <w:rPr>
          <w:color w:val="auto"/>
          <w:sz w:val="24"/>
        </w:rPr>
      </w:pPr>
      <w:r>
        <w:rPr>
          <w:color w:val="auto"/>
          <w:sz w:val="24"/>
        </w:rPr>
        <w:t>（</w:t>
      </w:r>
      <w:r>
        <w:rPr>
          <w:rFonts w:hint="eastAsia"/>
          <w:color w:val="auto"/>
          <w:sz w:val="24"/>
          <w:lang w:val="en-US" w:eastAsia="zh-CN"/>
        </w:rPr>
        <w:t>4</w:t>
      </w:r>
      <w:r>
        <w:rPr>
          <w:color w:val="auto"/>
          <w:sz w:val="24"/>
        </w:rPr>
        <w:t>）在危险区域设立相应的警示标志，并做好警示宣传工作</w:t>
      </w:r>
      <w:r>
        <w:rPr>
          <w:rFonts w:hint="eastAsia"/>
          <w:color w:val="auto"/>
          <w:sz w:val="24"/>
          <w:lang w:eastAsia="zh-CN"/>
        </w:rPr>
        <w:t>，在</w:t>
      </w:r>
      <w:r>
        <w:rPr>
          <w:color w:val="auto"/>
          <w:sz w:val="24"/>
        </w:rPr>
        <w:t>醒目位置设置安全警示图文标志。</w:t>
      </w:r>
    </w:p>
    <w:p w14:paraId="27D269E7">
      <w:pPr>
        <w:widowControl/>
        <w:spacing w:line="360" w:lineRule="auto"/>
        <w:ind w:firstLine="480" w:firstLineChars="200"/>
        <w:jc w:val="left"/>
        <w:rPr>
          <w:color w:val="auto"/>
          <w:sz w:val="24"/>
        </w:rPr>
      </w:pPr>
      <w:r>
        <w:rPr>
          <w:color w:val="auto"/>
          <w:sz w:val="24"/>
        </w:rPr>
        <w:t>（</w:t>
      </w:r>
      <w:r>
        <w:rPr>
          <w:rFonts w:hint="eastAsia"/>
          <w:color w:val="auto"/>
          <w:sz w:val="24"/>
          <w:lang w:val="en-US" w:eastAsia="zh-CN"/>
        </w:rPr>
        <w:t>5</w:t>
      </w:r>
      <w:r>
        <w:rPr>
          <w:color w:val="auto"/>
          <w:sz w:val="24"/>
        </w:rPr>
        <w:t>）加强电磁环境影响宣传，消除周边群众的担忧心理。</w:t>
      </w:r>
    </w:p>
    <w:p w14:paraId="09F2A71A">
      <w:pPr>
        <w:pStyle w:val="3"/>
        <w:bidi w:val="0"/>
        <w:rPr>
          <w:color w:val="auto"/>
        </w:rPr>
      </w:pPr>
      <w:bookmarkStart w:id="140" w:name="_Toc11607"/>
      <w:r>
        <w:rPr>
          <w:rFonts w:hint="eastAsia"/>
          <w:color w:val="auto"/>
          <w:lang w:val="en-US" w:eastAsia="zh-CN"/>
        </w:rPr>
        <w:t>5.2</w:t>
      </w:r>
      <w:r>
        <w:rPr>
          <w:color w:val="auto"/>
        </w:rPr>
        <w:t>电磁环境监测计划</w:t>
      </w:r>
      <w:bookmarkEnd w:id="140"/>
    </w:p>
    <w:p w14:paraId="54019BA3">
      <w:pPr>
        <w:widowControl/>
        <w:spacing w:line="360" w:lineRule="auto"/>
        <w:ind w:firstLine="480" w:firstLineChars="200"/>
        <w:jc w:val="left"/>
        <w:rPr>
          <w:color w:val="auto"/>
          <w:sz w:val="24"/>
        </w:rPr>
      </w:pPr>
      <w:r>
        <w:rPr>
          <w:color w:val="auto"/>
          <w:sz w:val="24"/>
        </w:rPr>
        <w:t>根据项目的环境影响和环境管理要求，并结合《建设项目竣工环境保护验收技术规范 输变电》（HJ 705-2020），制定环境监测计划，环境监测计划的职责主要是测试、收集环境状况基本资料，整理、统计分析监测结果，并建立环保档案。由建设单位委托有资质的环境监测单位进行监测，具体的环境监测计划</w:t>
      </w:r>
      <w:r>
        <w:rPr>
          <w:rFonts w:hint="eastAsia"/>
          <w:color w:val="auto"/>
          <w:sz w:val="24"/>
          <w:lang w:eastAsia="zh-CN"/>
        </w:rPr>
        <w:t>见下</w:t>
      </w:r>
      <w:r>
        <w:rPr>
          <w:color w:val="auto"/>
          <w:sz w:val="24"/>
        </w:rPr>
        <w:t>表5.2-1。</w:t>
      </w:r>
    </w:p>
    <w:p w14:paraId="0492DCFD">
      <w:pPr>
        <w:ind w:firstLine="482" w:firstLineChars="200"/>
        <w:jc w:val="center"/>
        <w:rPr>
          <w:b/>
          <w:color w:val="auto"/>
          <w:szCs w:val="21"/>
        </w:rPr>
      </w:pPr>
      <w:r>
        <w:rPr>
          <w:b/>
          <w:color w:val="auto"/>
          <w:szCs w:val="21"/>
        </w:rPr>
        <w:t>表5.2-1  电磁辐射监测计划及监测内容</w:t>
      </w:r>
    </w:p>
    <w:tbl>
      <w:tblPr>
        <w:tblStyle w:val="20"/>
        <w:tblW w:w="8523"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956"/>
        <w:gridCol w:w="1354"/>
        <w:gridCol w:w="1951"/>
        <w:gridCol w:w="2262"/>
      </w:tblGrid>
      <w:tr w14:paraId="48BCEC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956" w:type="dxa"/>
            <w:tcBorders>
              <w:bottom w:val="single" w:color="auto" w:sz="12" w:space="0"/>
            </w:tcBorders>
            <w:noWrap w:val="0"/>
            <w:vAlign w:val="center"/>
          </w:tcPr>
          <w:p w14:paraId="5941F0AB">
            <w:pPr>
              <w:pStyle w:val="37"/>
              <w:bidi w:val="0"/>
              <w:rPr>
                <w:rFonts w:hint="default"/>
              </w:rPr>
            </w:pPr>
            <w:r>
              <w:rPr>
                <w:rFonts w:hint="default"/>
              </w:rPr>
              <w:t>监测点位</w:t>
            </w:r>
          </w:p>
        </w:tc>
        <w:tc>
          <w:tcPr>
            <w:tcW w:w="1354" w:type="dxa"/>
            <w:tcBorders>
              <w:bottom w:val="single" w:color="auto" w:sz="12" w:space="0"/>
            </w:tcBorders>
            <w:noWrap w:val="0"/>
            <w:vAlign w:val="center"/>
          </w:tcPr>
          <w:p w14:paraId="1A957B0B">
            <w:pPr>
              <w:pStyle w:val="37"/>
              <w:bidi w:val="0"/>
              <w:rPr>
                <w:rFonts w:hint="default"/>
              </w:rPr>
            </w:pPr>
            <w:r>
              <w:rPr>
                <w:rFonts w:hint="default"/>
              </w:rPr>
              <w:t>监测因子</w:t>
            </w:r>
          </w:p>
        </w:tc>
        <w:tc>
          <w:tcPr>
            <w:tcW w:w="1951" w:type="dxa"/>
            <w:tcBorders>
              <w:bottom w:val="single" w:color="auto" w:sz="12" w:space="0"/>
            </w:tcBorders>
            <w:noWrap w:val="0"/>
            <w:vAlign w:val="center"/>
          </w:tcPr>
          <w:p w14:paraId="5385DA9C">
            <w:pPr>
              <w:pStyle w:val="37"/>
              <w:bidi w:val="0"/>
              <w:rPr>
                <w:rFonts w:hint="default"/>
              </w:rPr>
            </w:pPr>
            <w:r>
              <w:rPr>
                <w:rFonts w:hint="default"/>
              </w:rPr>
              <w:t>监测方法</w:t>
            </w:r>
          </w:p>
        </w:tc>
        <w:tc>
          <w:tcPr>
            <w:tcW w:w="2262" w:type="dxa"/>
            <w:tcBorders>
              <w:bottom w:val="single" w:color="auto" w:sz="12" w:space="0"/>
            </w:tcBorders>
            <w:noWrap w:val="0"/>
            <w:vAlign w:val="center"/>
          </w:tcPr>
          <w:p w14:paraId="213BA060">
            <w:pPr>
              <w:pStyle w:val="37"/>
              <w:bidi w:val="0"/>
              <w:rPr>
                <w:rFonts w:hint="default"/>
              </w:rPr>
            </w:pPr>
            <w:r>
              <w:rPr>
                <w:rFonts w:hint="default"/>
              </w:rPr>
              <w:t>监测频次</w:t>
            </w:r>
          </w:p>
        </w:tc>
      </w:tr>
      <w:tr w14:paraId="2881D9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2956" w:type="dxa"/>
            <w:tcBorders>
              <w:top w:val="single" w:color="auto" w:sz="12" w:space="0"/>
              <w:tl2br w:val="nil"/>
              <w:tr2bl w:val="nil"/>
            </w:tcBorders>
            <w:noWrap w:val="0"/>
            <w:vAlign w:val="center"/>
          </w:tcPr>
          <w:p w14:paraId="51B1734E">
            <w:pPr>
              <w:pStyle w:val="37"/>
              <w:bidi w:val="0"/>
              <w:rPr>
                <w:rFonts w:hint="default"/>
              </w:rPr>
            </w:pPr>
            <w:r>
              <w:rPr>
                <w:rFonts w:hint="default"/>
              </w:rPr>
              <w:t>220kV升压站厂界四周5m外各设1处监测点。</w:t>
            </w:r>
          </w:p>
          <w:p w14:paraId="39521C90">
            <w:pPr>
              <w:pStyle w:val="37"/>
              <w:bidi w:val="0"/>
              <w:rPr>
                <w:rFonts w:hint="eastAsia"/>
                <w:lang w:val="en-US" w:eastAsia="zh-CN"/>
              </w:rPr>
            </w:pPr>
            <w:r>
              <w:rPr>
                <w:rFonts w:hint="eastAsia"/>
              </w:rPr>
              <w:t>升压站断面：围墙外1m处起，每隔5m设1个监测点，测至背景值（或厂界50m）处止</w:t>
            </w:r>
            <w:r>
              <w:rPr>
                <w:rFonts w:hint="default"/>
              </w:rPr>
              <w:t>。</w:t>
            </w:r>
          </w:p>
        </w:tc>
        <w:tc>
          <w:tcPr>
            <w:tcW w:w="1354" w:type="dxa"/>
            <w:tcBorders>
              <w:top w:val="single" w:color="auto" w:sz="12" w:space="0"/>
              <w:tl2br w:val="nil"/>
              <w:tr2bl w:val="nil"/>
            </w:tcBorders>
            <w:noWrap w:val="0"/>
            <w:vAlign w:val="center"/>
          </w:tcPr>
          <w:p w14:paraId="0C3C2EF6">
            <w:pPr>
              <w:pStyle w:val="37"/>
              <w:bidi w:val="0"/>
              <w:rPr>
                <w:rFonts w:hint="default"/>
              </w:rPr>
            </w:pPr>
            <w:r>
              <w:rPr>
                <w:rFonts w:hint="default"/>
              </w:rPr>
              <w:t>电场强度、磁感应强度</w:t>
            </w:r>
          </w:p>
        </w:tc>
        <w:tc>
          <w:tcPr>
            <w:tcW w:w="1951" w:type="dxa"/>
            <w:tcBorders>
              <w:top w:val="single" w:color="auto" w:sz="12" w:space="0"/>
              <w:tl2br w:val="nil"/>
              <w:tr2bl w:val="nil"/>
            </w:tcBorders>
            <w:noWrap w:val="0"/>
            <w:vAlign w:val="center"/>
          </w:tcPr>
          <w:p w14:paraId="16265D3C">
            <w:pPr>
              <w:pStyle w:val="37"/>
              <w:bidi w:val="0"/>
              <w:rPr>
                <w:rFonts w:hint="default"/>
              </w:rPr>
            </w:pPr>
            <w:r>
              <w:rPr>
                <w:rFonts w:hint="default"/>
              </w:rPr>
              <w:t>《交流输变电工程电磁环境监测方法（试行）》</w:t>
            </w:r>
            <w:r>
              <w:rPr>
                <w:rFonts w:hint="eastAsia"/>
                <w:lang w:eastAsia="zh-CN"/>
              </w:rPr>
              <w:t>（</w:t>
            </w:r>
            <w:r>
              <w:rPr>
                <w:rFonts w:hint="default"/>
              </w:rPr>
              <w:t>HJ681-2013)</w:t>
            </w:r>
          </w:p>
        </w:tc>
        <w:tc>
          <w:tcPr>
            <w:tcW w:w="2262" w:type="dxa"/>
            <w:tcBorders>
              <w:top w:val="single" w:color="auto" w:sz="12" w:space="0"/>
              <w:tl2br w:val="nil"/>
              <w:tr2bl w:val="nil"/>
            </w:tcBorders>
            <w:noWrap w:val="0"/>
            <w:vAlign w:val="center"/>
          </w:tcPr>
          <w:p w14:paraId="6C8BBB68">
            <w:pPr>
              <w:pStyle w:val="37"/>
              <w:bidi w:val="0"/>
              <w:rPr>
                <w:rFonts w:hint="default"/>
              </w:rPr>
            </w:pPr>
            <w:r>
              <w:rPr>
                <w:rFonts w:hint="default"/>
              </w:rPr>
              <w:t>工程正式投产运行后验收时监测一次，后期针对工程变化或投诉情况进行监测</w:t>
            </w:r>
          </w:p>
        </w:tc>
      </w:tr>
    </w:tbl>
    <w:p w14:paraId="361A1C32">
      <w:pPr>
        <w:widowControl/>
        <w:spacing w:line="360" w:lineRule="auto"/>
        <w:ind w:firstLine="480" w:firstLineChars="200"/>
        <w:jc w:val="left"/>
        <w:rPr>
          <w:color w:val="auto"/>
          <w:sz w:val="24"/>
        </w:rPr>
        <w:sectPr>
          <w:pgSz w:w="11905" w:h="16838"/>
          <w:pgMar w:top="1440" w:right="1803" w:bottom="1440" w:left="1803" w:header="851" w:footer="1077" w:gutter="0"/>
          <w:pgBorders>
            <w:top w:val="none" w:sz="0" w:space="0"/>
            <w:left w:val="none" w:sz="0" w:space="0"/>
            <w:bottom w:val="none" w:sz="0" w:space="0"/>
            <w:right w:val="none" w:sz="0" w:space="0"/>
          </w:pgBorders>
          <w:pgNumType w:fmt="decimal"/>
          <w:cols w:space="720" w:num="1"/>
          <w:docGrid w:linePitch="312" w:charSpace="0"/>
        </w:sectPr>
      </w:pPr>
    </w:p>
    <w:p w14:paraId="08AD051B">
      <w:pPr>
        <w:pStyle w:val="3"/>
        <w:bidi w:val="0"/>
        <w:rPr>
          <w:sz w:val="32"/>
          <w:szCs w:val="32"/>
        </w:rPr>
      </w:pPr>
      <w:bookmarkStart w:id="141" w:name="_Toc6048"/>
      <w:bookmarkStart w:id="142" w:name="_Toc11867"/>
      <w:bookmarkStart w:id="143" w:name="_Toc25303"/>
      <w:bookmarkStart w:id="144" w:name="_Toc9555"/>
      <w:r>
        <w:rPr>
          <w:sz w:val="32"/>
          <w:szCs w:val="32"/>
        </w:rPr>
        <w:t>电磁辐射影响评价结论</w:t>
      </w:r>
      <w:bookmarkEnd w:id="141"/>
      <w:bookmarkEnd w:id="142"/>
      <w:bookmarkEnd w:id="143"/>
      <w:bookmarkEnd w:id="144"/>
    </w:p>
    <w:p w14:paraId="1DDD2217">
      <w:pPr>
        <w:widowControl/>
        <w:spacing w:line="360" w:lineRule="auto"/>
        <w:ind w:firstLine="480" w:firstLineChars="200"/>
        <w:jc w:val="left"/>
        <w:rPr>
          <w:color w:val="auto"/>
          <w:sz w:val="24"/>
        </w:rPr>
      </w:pPr>
      <w:r>
        <w:rPr>
          <w:color w:val="auto"/>
          <w:sz w:val="24"/>
        </w:rPr>
        <w:t>根据电磁现状监测</w:t>
      </w:r>
      <w:r>
        <w:rPr>
          <w:rFonts w:hint="eastAsia"/>
          <w:color w:val="auto"/>
          <w:sz w:val="24"/>
        </w:rPr>
        <w:t>结果</w:t>
      </w:r>
      <w:r>
        <w:rPr>
          <w:color w:val="auto"/>
          <w:sz w:val="24"/>
        </w:rPr>
        <w:t>，本项目拟建2</w:t>
      </w:r>
      <w:r>
        <w:rPr>
          <w:rFonts w:hint="eastAsia"/>
          <w:color w:val="auto"/>
          <w:sz w:val="24"/>
        </w:rPr>
        <w:t>2</w:t>
      </w:r>
      <w:r>
        <w:rPr>
          <w:color w:val="auto"/>
          <w:sz w:val="24"/>
        </w:rPr>
        <w:t>0kV升压站</w:t>
      </w:r>
      <w:r>
        <w:rPr>
          <w:rFonts w:hint="eastAsia"/>
          <w:color w:val="auto"/>
          <w:sz w:val="24"/>
          <w:lang w:val="en-US" w:eastAsia="zh-CN"/>
        </w:rPr>
        <w:t>站址厂界</w:t>
      </w:r>
      <w:r>
        <w:rPr>
          <w:color w:val="auto"/>
          <w:sz w:val="24"/>
        </w:rPr>
        <w:t>各监测点的电场强度监测值小于4</w:t>
      </w:r>
      <w:r>
        <w:rPr>
          <w:rFonts w:hint="eastAsia"/>
          <w:color w:val="auto"/>
          <w:sz w:val="24"/>
          <w:lang w:val="en-US" w:eastAsia="zh-CN"/>
        </w:rPr>
        <w:t>000</w:t>
      </w:r>
      <w:r>
        <w:rPr>
          <w:color w:val="auto"/>
          <w:sz w:val="24"/>
        </w:rPr>
        <w:t>V/m，磁感应强度监测值小于100μT，工频电场和工频磁场均满足《电磁环境控制限值》（GB8702-2014）规定要求。</w:t>
      </w:r>
    </w:p>
    <w:p w14:paraId="02C88D2B">
      <w:pPr>
        <w:widowControl/>
        <w:spacing w:line="360" w:lineRule="auto"/>
        <w:ind w:firstLine="480" w:firstLineChars="200"/>
        <w:jc w:val="left"/>
        <w:rPr>
          <w:color w:val="auto"/>
          <w:sz w:val="24"/>
        </w:rPr>
      </w:pPr>
      <w:r>
        <w:rPr>
          <w:rFonts w:ascii="Times New Roman" w:hAnsi="Times New Roman" w:eastAsia="宋体" w:cs="Times New Roman"/>
          <w:color w:val="auto"/>
          <w:kern w:val="2"/>
          <w:sz w:val="24"/>
          <w:szCs w:val="24"/>
          <w:lang w:val="en-US" w:eastAsia="zh-CN" w:bidi="ar-SA"/>
        </w:rPr>
        <w:t>根据类比同类项目电磁环境监测结果，</w:t>
      </w:r>
      <w:r>
        <w:rPr>
          <w:rFonts w:hint="default" w:ascii="Times New Roman" w:hAnsi="Times New Roman" w:eastAsia="宋体" w:cs="Times New Roman"/>
          <w:color w:val="auto"/>
          <w:kern w:val="2"/>
          <w:sz w:val="24"/>
          <w:szCs w:val="24"/>
          <w:lang w:val="en-US" w:eastAsia="zh-CN" w:bidi="ar-SA"/>
        </w:rPr>
        <w:t>本项目</w:t>
      </w:r>
      <w:r>
        <w:rPr>
          <w:rFonts w:hint="eastAsia" w:ascii="Times New Roman" w:hAnsi="Times New Roman" w:eastAsia="宋体" w:cs="Times New Roman"/>
          <w:color w:val="auto"/>
          <w:kern w:val="2"/>
          <w:sz w:val="24"/>
          <w:szCs w:val="24"/>
          <w:lang w:val="en-US" w:eastAsia="zh-CN" w:bidi="ar-SA"/>
        </w:rPr>
        <w:t>升压</w:t>
      </w:r>
      <w:r>
        <w:rPr>
          <w:rFonts w:hint="default" w:ascii="Times New Roman" w:hAnsi="Times New Roman" w:eastAsia="宋体" w:cs="Times New Roman"/>
          <w:color w:val="auto"/>
          <w:kern w:val="2"/>
          <w:sz w:val="24"/>
          <w:szCs w:val="24"/>
          <w:lang w:val="en-US" w:eastAsia="zh-CN" w:bidi="ar-SA"/>
        </w:rPr>
        <w:t>站内</w:t>
      </w:r>
      <w:r>
        <w:rPr>
          <w:rFonts w:ascii="Times New Roman" w:hAnsi="Times New Roman" w:eastAsia="宋体" w:cs="Times New Roman"/>
          <w:color w:val="auto"/>
          <w:kern w:val="2"/>
          <w:sz w:val="24"/>
          <w:szCs w:val="24"/>
          <w:lang w:val="en-US" w:eastAsia="zh-CN" w:bidi="ar-SA"/>
        </w:rPr>
        <w:t>220kV升压站变压器及相关配电装置产生的工频电场强度和磁感应强度均满足《电磁环境控制限值》（</w:t>
      </w:r>
      <w:r>
        <w:rPr>
          <w:rFonts w:hint="default" w:ascii="Times New Roman" w:hAnsi="Times New Roman" w:eastAsia="宋体" w:cs="Times New Roman"/>
          <w:color w:val="auto"/>
          <w:kern w:val="2"/>
          <w:sz w:val="24"/>
          <w:szCs w:val="24"/>
          <w:lang w:val="en-US" w:eastAsia="zh-CN" w:bidi="ar-SA"/>
        </w:rPr>
        <w:t>GB 8702-2014</w:t>
      </w:r>
      <w:r>
        <w:rPr>
          <w:rFonts w:ascii="Times New Roman" w:hAnsi="Times New Roman" w:eastAsia="宋体" w:cs="Times New Roman"/>
          <w:color w:val="auto"/>
          <w:kern w:val="2"/>
          <w:sz w:val="24"/>
          <w:szCs w:val="24"/>
          <w:lang w:val="en-US" w:eastAsia="zh-CN" w:bidi="ar-SA"/>
        </w:rPr>
        <w:t>）规定的</w:t>
      </w:r>
      <w:r>
        <w:rPr>
          <w:rFonts w:hint="default" w:ascii="Times New Roman" w:hAnsi="Times New Roman" w:eastAsia="宋体" w:cs="Times New Roman"/>
          <w:color w:val="auto"/>
          <w:kern w:val="2"/>
          <w:sz w:val="24"/>
          <w:szCs w:val="24"/>
          <w:lang w:val="en-US" w:eastAsia="zh-CN" w:bidi="ar-SA"/>
        </w:rPr>
        <w:t>工频</w:t>
      </w:r>
      <w:r>
        <w:rPr>
          <w:rFonts w:ascii="Times New Roman" w:hAnsi="Times New Roman" w:eastAsia="宋体" w:cs="Times New Roman"/>
          <w:color w:val="auto"/>
          <w:kern w:val="2"/>
          <w:sz w:val="24"/>
          <w:szCs w:val="24"/>
          <w:lang w:val="en-US" w:eastAsia="zh-CN" w:bidi="ar-SA"/>
        </w:rPr>
        <w:t>电场强度</w:t>
      </w:r>
      <w:r>
        <w:rPr>
          <w:rFonts w:hint="default" w:ascii="Times New Roman" w:hAnsi="Times New Roman" w:eastAsia="宋体" w:cs="Times New Roman"/>
          <w:color w:val="auto"/>
          <w:kern w:val="2"/>
          <w:sz w:val="24"/>
          <w:szCs w:val="24"/>
          <w:lang w:val="en-US" w:eastAsia="zh-CN" w:bidi="ar-SA"/>
        </w:rPr>
        <w:t>4000V/m</w:t>
      </w:r>
      <w:r>
        <w:rPr>
          <w:rFonts w:ascii="Times New Roman" w:hAnsi="Times New Roman" w:eastAsia="宋体" w:cs="Times New Roman"/>
          <w:color w:val="auto"/>
          <w:kern w:val="2"/>
          <w:sz w:val="24"/>
          <w:szCs w:val="24"/>
          <w:lang w:val="en-US" w:eastAsia="zh-CN" w:bidi="ar-SA"/>
        </w:rPr>
        <w:t>和</w:t>
      </w:r>
      <w:r>
        <w:rPr>
          <w:rFonts w:hint="default" w:ascii="Times New Roman" w:hAnsi="Times New Roman" w:eastAsia="宋体" w:cs="Times New Roman"/>
          <w:color w:val="auto"/>
          <w:kern w:val="2"/>
          <w:sz w:val="24"/>
          <w:szCs w:val="24"/>
          <w:lang w:val="en-US" w:eastAsia="zh-CN" w:bidi="ar-SA"/>
        </w:rPr>
        <w:t>工频</w:t>
      </w:r>
      <w:r>
        <w:rPr>
          <w:rFonts w:ascii="Times New Roman" w:hAnsi="Times New Roman" w:eastAsia="宋体" w:cs="Times New Roman"/>
          <w:color w:val="auto"/>
          <w:kern w:val="2"/>
          <w:sz w:val="24"/>
          <w:szCs w:val="24"/>
          <w:lang w:val="en-US" w:eastAsia="zh-CN" w:bidi="ar-SA"/>
        </w:rPr>
        <w:t>磁感应强度</w:t>
      </w:r>
      <w:r>
        <w:rPr>
          <w:rFonts w:hint="default" w:ascii="Times New Roman" w:hAnsi="Times New Roman" w:eastAsia="宋体" w:cs="Times New Roman"/>
          <w:color w:val="auto"/>
          <w:kern w:val="2"/>
          <w:sz w:val="24"/>
          <w:szCs w:val="24"/>
          <w:lang w:val="en-US" w:eastAsia="zh-CN" w:bidi="ar-SA"/>
        </w:rPr>
        <w:t>100µT</w:t>
      </w:r>
      <w:r>
        <w:rPr>
          <w:rFonts w:ascii="Times New Roman" w:hAnsi="Times New Roman" w:eastAsia="宋体" w:cs="Times New Roman"/>
          <w:color w:val="auto"/>
          <w:kern w:val="2"/>
          <w:sz w:val="24"/>
          <w:szCs w:val="24"/>
          <w:lang w:val="en-US" w:eastAsia="zh-CN" w:bidi="ar-SA"/>
        </w:rPr>
        <w:t>的控制限值要求</w:t>
      </w:r>
      <w:r>
        <w:rPr>
          <w:rFonts w:hint="eastAsia" w:cs="Times New Roman"/>
          <w:color w:val="auto"/>
          <w:kern w:val="2"/>
          <w:sz w:val="24"/>
          <w:szCs w:val="24"/>
          <w:lang w:val="en-US" w:eastAsia="zh-CN" w:bidi="ar-SA"/>
        </w:rPr>
        <w:t>，</w:t>
      </w:r>
      <w:r>
        <w:rPr>
          <w:rFonts w:hint="eastAsia" w:ascii="Times New Roman" w:hAnsi="Times New Roman" w:eastAsia="宋体" w:cs="Times New Roman"/>
          <w:color w:val="auto"/>
          <w:kern w:val="2"/>
          <w:sz w:val="24"/>
          <w:szCs w:val="24"/>
          <w:lang w:val="en-US" w:eastAsia="zh-CN" w:bidi="ar-SA"/>
        </w:rPr>
        <w:t>项目厂界40m范围内</w:t>
      </w:r>
      <w:r>
        <w:rPr>
          <w:rFonts w:hint="eastAsia" w:cs="Times New Roman"/>
          <w:color w:val="auto"/>
          <w:kern w:val="2"/>
          <w:sz w:val="24"/>
          <w:szCs w:val="24"/>
          <w:lang w:val="en-US" w:eastAsia="zh-CN" w:bidi="ar-SA"/>
        </w:rPr>
        <w:t>的预测值达标。项目评价范围内无电磁环境保护目标，</w:t>
      </w:r>
      <w:r>
        <w:rPr>
          <w:rFonts w:hint="eastAsia" w:ascii="Times New Roman" w:hAnsi="Times New Roman" w:eastAsia="宋体" w:cs="Times New Roman"/>
          <w:color w:val="auto"/>
          <w:kern w:val="2"/>
          <w:sz w:val="24"/>
          <w:szCs w:val="24"/>
          <w:lang w:val="en-US" w:eastAsia="zh-CN" w:bidi="ar-SA"/>
        </w:rPr>
        <w:t>根据类比预测结果，</w:t>
      </w:r>
      <w:r>
        <w:rPr>
          <w:rFonts w:hint="default" w:ascii="Times New Roman" w:hAnsi="Times New Roman" w:eastAsia="宋体" w:cs="Times New Roman"/>
          <w:color w:val="auto"/>
          <w:kern w:val="2"/>
          <w:sz w:val="24"/>
          <w:szCs w:val="24"/>
          <w:lang w:val="en-US" w:eastAsia="zh-CN" w:bidi="ar-SA"/>
        </w:rPr>
        <w:t>项目建成后对周边电磁环境的影响可接受。</w:t>
      </w:r>
    </w:p>
    <w:p w14:paraId="0567B22C">
      <w:pPr>
        <w:widowControl/>
        <w:spacing w:line="360" w:lineRule="auto"/>
        <w:jc w:val="left"/>
        <w:rPr>
          <w:color w:val="auto"/>
          <w:sz w:val="24"/>
        </w:rPr>
      </w:pPr>
    </w:p>
    <w:p w14:paraId="731417DC">
      <w:pPr>
        <w:bidi w:val="0"/>
        <w:rPr>
          <w:rFonts w:hint="default"/>
          <w:color w:val="auto"/>
          <w:lang w:val="en-US" w:eastAsia="zh-CN"/>
        </w:rPr>
      </w:pPr>
    </w:p>
    <w:sectPr>
      <w:pgSz w:w="11905" w:h="16838"/>
      <w:pgMar w:top="1440" w:right="1803" w:bottom="1440" w:left="1803" w:header="851" w:footer="1077" w:gutter="0"/>
      <w:pgBorders>
        <w:top w:val="none" w:sz="0" w:space="0"/>
        <w:left w:val="none" w:sz="0" w:space="0"/>
        <w:bottom w:val="none" w:sz="0" w:space="0"/>
        <w:right w:val="none" w:sz="0" w:space="0"/>
      </w:pgBorders>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_GB2312">
    <w:panose1 w:val="02010609030101010101"/>
    <w:charset w:val="86"/>
    <w:family w:val="modern"/>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TimesNewRomanPSMT">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748E7">
    <w:pPr>
      <w:pStyle w:val="13"/>
      <w:ind w:right="360"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C0B42">
    <w:pPr>
      <w:spacing w:line="174" w:lineRule="auto"/>
      <w:jc w:val="center"/>
      <w:rPr>
        <w:rFonts w:hint="default" w:ascii="Times New Roman" w:hAnsi="Times New Roman" w:eastAsia="宋体" w:cs="Times New Roman"/>
        <w:sz w:val="15"/>
        <w:szCs w:val="15"/>
        <w:lang w:val="en-US" w:eastAsia="zh-CN"/>
      </w:rPr>
    </w:pPr>
    <w:r>
      <w:rPr>
        <w:rFonts w:hint="eastAsia" w:cs="Times New Roman"/>
        <w:spacing w:val="-5"/>
        <w:sz w:val="15"/>
        <w:szCs w:val="15"/>
        <w:lang w:val="en-US" w:eastAsia="zh-CN"/>
      </w:rPr>
      <w:t>94</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545FD">
    <w:pPr>
      <w:pStyle w:val="13"/>
      <w:ind w:right="360" w:firstLine="360"/>
      <w:jc w:val="cen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A26B3C">
    <w:pPr>
      <w:pStyle w:val="13"/>
      <w:ind w:right="360" w:firstLine="360"/>
      <w:jc w:val="cen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C4846">
    <w:pPr>
      <w:pStyle w:val="13"/>
      <w:ind w:right="360" w:firstLine="360"/>
      <w:jc w:val="center"/>
    </w:pPr>
    <w:r>
      <w:rPr>
        <w:sz w:val="21"/>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5" name="文本框 7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DF2ABE">
                          <w:pPr>
                            <w:pStyle w:val="1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T65QzAgAAYwQAAA4AAABkcnMvZTJvRG9jLnhtbK1UzY7TMBC+I/EO&#10;lu80adEu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2lvX7Or+AjrP&#10;srDRD5bHNFFIb5f7ADGTxlGgXpWzbui9VKXznMTm/nOf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JsT65QzAgAAYwQAAA4AAAAAAAAAAQAgAAAAHwEAAGRycy9lMm9Eb2MueG1sUEsF&#10;BgAAAAAGAAYAWQEAAMQFAAAAAA==&#10;">
              <v:fill on="f" focussize="0,0"/>
              <v:stroke on="f" weight="0.5pt"/>
              <v:imagedata o:title=""/>
              <o:lock v:ext="edit" aspectratio="f"/>
              <v:textbox inset="0mm,0mm,0mm,0mm" style="mso-fit-shape-to-text:t;">
                <w:txbxContent>
                  <w:p w14:paraId="66DF2ABE">
                    <w:pPr>
                      <w:pStyle w:val="1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0A95F">
    <w:pPr>
      <w:pStyle w:val="13"/>
      <w:tabs>
        <w:tab w:val="center" w:pos="4209"/>
        <w:tab w:val="left" w:pos="4879"/>
      </w:tabs>
      <w:ind w:right="360" w:firstLine="360"/>
      <w:jc w:val="left"/>
    </w:pPr>
    <w:r>
      <w:rPr>
        <w:sz w:val="21"/>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707411">
                          <w:pPr>
                            <w:pStyle w:val="1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ztIn8zAgAAY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R+uqQ9ldQOdZ&#10;FrZ6Z3lME4X0dnUMELPVOArUqdLrht5rq9TPSWzuP/dt1OO/Yfk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ztIn8zAgAAYwQAAA4AAAAAAAAAAQAgAAAAHwEAAGRycy9lMm9Eb2MueG1sUEsF&#10;BgAAAAAGAAYAWQEAAMQFAAAAAA==&#10;">
              <v:fill on="f" focussize="0,0"/>
              <v:stroke on="f" weight="0.5pt"/>
              <v:imagedata o:title=""/>
              <o:lock v:ext="edit" aspectratio="f"/>
              <v:textbox inset="0mm,0mm,0mm,0mm" style="mso-fit-shape-to-text:t;">
                <w:txbxContent>
                  <w:p w14:paraId="13707411">
                    <w:pPr>
                      <w:pStyle w:val="1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eastAsia"/>
        <w:sz w:val="21"/>
        <w:lang w:eastAsia="zh-CN"/>
      </w:rPr>
      <w:tab/>
    </w:r>
    <w:r>
      <w:rPr>
        <w:rFonts w:hint="eastAsia"/>
        <w:lang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264869">
    <w:pPr>
      <w:pStyle w:val="13"/>
      <w:framePr w:wrap="around" w:vAnchor="text" w:hAnchor="margin" w:xAlign="outside" w:y="1"/>
      <w:rPr>
        <w:rStyle w:val="23"/>
      </w:rPr>
    </w:pPr>
    <w:r>
      <w:fldChar w:fldCharType="begin"/>
    </w:r>
    <w:r>
      <w:rPr>
        <w:rStyle w:val="23"/>
      </w:rPr>
      <w:instrText xml:space="preserve">PAGE  </w:instrText>
    </w:r>
    <w:r>
      <w:fldChar w:fldCharType="end"/>
    </w:r>
  </w:p>
  <w:p w14:paraId="7451EE9A">
    <w:pPr>
      <w:pStyle w:val="1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19E22">
    <w:pPr>
      <w:pStyle w:val="1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0293D">
    <w:pPr>
      <w:pStyle w:val="1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ADF169">
    <w:pPr>
      <w:pStyle w:val="13"/>
      <w:jc w:val="center"/>
    </w:pPr>
    <w:r>
      <w:fldChar w:fldCharType="begin"/>
    </w:r>
    <w:r>
      <w:instrText xml:space="preserve"> PAGE   \* MERGEFORMAT </w:instrText>
    </w:r>
    <w:r>
      <w:fldChar w:fldCharType="separate"/>
    </w:r>
    <w:r>
      <w:rPr>
        <w:lang w:val="zh-CN"/>
      </w:rPr>
      <w:t>6</w:t>
    </w:r>
    <w:r>
      <w:fldChar w:fldCharType="end"/>
    </w:r>
  </w:p>
  <w:p w14:paraId="17260F6B">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DABA5">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09D09">
    <w:pPr>
      <w:pStyle w:val="13"/>
      <w:jc w:val="center"/>
    </w:pPr>
    <w:r>
      <w:fldChar w:fldCharType="begin"/>
    </w:r>
    <w:r>
      <w:instrText xml:space="preserve"> PAGE   \* MERGEFORMAT </w:instrText>
    </w:r>
    <w:r>
      <w:fldChar w:fldCharType="separate"/>
    </w:r>
    <w:r>
      <w:rPr>
        <w:lang w:val="zh-CN"/>
      </w:rPr>
      <w:t>74</w:t>
    </w:r>
    <w:r>
      <w:fldChar w:fldCharType="end"/>
    </w:r>
  </w:p>
  <w:p w14:paraId="7A78EACE">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6FDD5">
    <w:pPr>
      <w:jc w:val="center"/>
      <w:rPr>
        <w:rFonts w:hint="eastAsia"/>
      </w:rPr>
    </w:pPr>
    <w:r>
      <w:rPr>
        <w:sz w:val="21"/>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97C464">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797C464">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55F14E">
    <w:pPr>
      <w:jc w:val="center"/>
      <w:rPr>
        <w:rFonts w:hint="eastAsia"/>
      </w:rPr>
    </w:pPr>
    <w:r>
      <w:rPr>
        <w:sz w:val="21"/>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C7A8B4">
                          <w:pPr>
                            <w:pStyle w:val="1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k3Pus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PUV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k3PuszAgAAYwQAAA4AAAAAAAAAAQAgAAAAHwEAAGRycy9lMm9Eb2MueG1sUEsF&#10;BgAAAAAGAAYAWQEAAMQFAAAAAA==&#10;">
              <v:fill on="f" focussize="0,0"/>
              <v:stroke on="f" weight="0.5pt"/>
              <v:imagedata o:title=""/>
              <o:lock v:ext="edit" aspectratio="f"/>
              <v:textbox inset="0mm,0mm,0mm,0mm" style="mso-fit-shape-to-text:t;">
                <w:txbxContent>
                  <w:p w14:paraId="33C7A8B4">
                    <w:pPr>
                      <w:pStyle w:val="1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DF5B2">
    <w:pPr>
      <w:pStyle w:val="1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7D2C6E"/>
    <w:multiLevelType w:val="singleLevel"/>
    <w:tmpl w:val="AE7D2C6E"/>
    <w:lvl w:ilvl="0" w:tentative="0">
      <w:start w:val="1"/>
      <w:numFmt w:val="decimal"/>
      <w:suff w:val="nothing"/>
      <w:lvlText w:val="（%1）"/>
      <w:lvlJc w:val="left"/>
      <w:rPr>
        <w:rFonts w:hint="default"/>
        <w:b w:val="0"/>
        <w:bCs w:val="0"/>
      </w:rPr>
    </w:lvl>
  </w:abstractNum>
  <w:abstractNum w:abstractNumId="1">
    <w:nsid w:val="D530F6C1"/>
    <w:multiLevelType w:val="singleLevel"/>
    <w:tmpl w:val="D530F6C1"/>
    <w:lvl w:ilvl="0" w:tentative="0">
      <w:start w:val="1"/>
      <w:numFmt w:val="decimal"/>
      <w:suff w:val="nothing"/>
      <w:lvlText w:val="（%1）"/>
      <w:lvlJc w:val="left"/>
      <w:rPr>
        <w:rFonts w:hint="default"/>
        <w:sz w:val="21"/>
        <w:szCs w:val="21"/>
      </w:rPr>
    </w:lvl>
  </w:abstractNum>
  <w:abstractNum w:abstractNumId="2">
    <w:nsid w:val="E3A56C90"/>
    <w:multiLevelType w:val="singleLevel"/>
    <w:tmpl w:val="E3A56C90"/>
    <w:lvl w:ilvl="0" w:tentative="0">
      <w:start w:val="1"/>
      <w:numFmt w:val="decimal"/>
      <w:suff w:val="nothing"/>
      <w:lvlText w:val="（%1）"/>
      <w:lvlJc w:val="left"/>
      <w:rPr>
        <w:rFonts w:hint="default"/>
        <w:b w:val="0"/>
        <w:bCs w:val="0"/>
      </w:rPr>
    </w:lvl>
  </w:abstractNum>
  <w:abstractNum w:abstractNumId="3">
    <w:nsid w:val="E868F215"/>
    <w:multiLevelType w:val="singleLevel"/>
    <w:tmpl w:val="E868F215"/>
    <w:lvl w:ilvl="0" w:tentative="0">
      <w:start w:val="1"/>
      <w:numFmt w:val="decimal"/>
      <w:suff w:val="nothing"/>
      <w:lvlText w:val="（%1）"/>
      <w:lvlJc w:val="left"/>
      <w:rPr>
        <w:rFonts w:hint="default"/>
        <w:b w:val="0"/>
        <w:bCs w:val="0"/>
      </w:rPr>
    </w:lvl>
  </w:abstractNum>
  <w:abstractNum w:abstractNumId="4">
    <w:nsid w:val="F66A6061"/>
    <w:multiLevelType w:val="singleLevel"/>
    <w:tmpl w:val="F66A6061"/>
    <w:lvl w:ilvl="0" w:tentative="0">
      <w:start w:val="1"/>
      <w:numFmt w:val="decimal"/>
      <w:suff w:val="nothing"/>
      <w:lvlText w:val="（%1）"/>
      <w:lvlJc w:val="left"/>
    </w:lvl>
  </w:abstractNum>
  <w:abstractNum w:abstractNumId="5">
    <w:nsid w:val="0B7724AC"/>
    <w:multiLevelType w:val="singleLevel"/>
    <w:tmpl w:val="0B7724AC"/>
    <w:lvl w:ilvl="0" w:tentative="0">
      <w:start w:val="5"/>
      <w:numFmt w:val="decimal"/>
      <w:suff w:val="nothing"/>
      <w:lvlText w:val="（%1）"/>
      <w:lvlJc w:val="left"/>
    </w:lvl>
  </w:abstractNum>
  <w:abstractNum w:abstractNumId="6">
    <w:nsid w:val="20FE5A51"/>
    <w:multiLevelType w:val="singleLevel"/>
    <w:tmpl w:val="20FE5A51"/>
    <w:lvl w:ilvl="0" w:tentative="0">
      <w:start w:val="1"/>
      <w:numFmt w:val="decimal"/>
      <w:suff w:val="nothing"/>
      <w:lvlText w:val="（%1）"/>
      <w:lvlJc w:val="left"/>
      <w:rPr>
        <w:rFonts w:hint="default" w:ascii="Times New Roman" w:hAnsi="Times New Roman" w:cs="Times New Roman"/>
        <w:b w:val="0"/>
        <w:bCs w:val="0"/>
        <w:sz w:val="24"/>
        <w:szCs w:val="24"/>
      </w:rPr>
    </w:lvl>
  </w:abstractNum>
  <w:num w:numId="1">
    <w:abstractNumId w:val="5"/>
  </w:num>
  <w:num w:numId="2">
    <w:abstractNumId w:val="4"/>
  </w:num>
  <w:num w:numId="3">
    <w:abstractNumId w:val="1"/>
  </w:num>
  <w:num w:numId="4">
    <w:abstractNumId w:val="0"/>
  </w:num>
  <w:num w:numId="5">
    <w:abstractNumId w:val="2"/>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177F1A"/>
    <w:rsid w:val="003D6262"/>
    <w:rsid w:val="00FE3AAF"/>
    <w:rsid w:val="01DE3311"/>
    <w:rsid w:val="02640C5C"/>
    <w:rsid w:val="02B43426"/>
    <w:rsid w:val="03F45CFB"/>
    <w:rsid w:val="042E5287"/>
    <w:rsid w:val="05340DF1"/>
    <w:rsid w:val="07D576EA"/>
    <w:rsid w:val="0911615B"/>
    <w:rsid w:val="09445D91"/>
    <w:rsid w:val="09E06BFA"/>
    <w:rsid w:val="0B634F69"/>
    <w:rsid w:val="0B9216A2"/>
    <w:rsid w:val="0BF518FA"/>
    <w:rsid w:val="0C0C529B"/>
    <w:rsid w:val="0E3C619F"/>
    <w:rsid w:val="0E5D2BF2"/>
    <w:rsid w:val="0EC6151F"/>
    <w:rsid w:val="0EC63E70"/>
    <w:rsid w:val="0ED566C1"/>
    <w:rsid w:val="0F434917"/>
    <w:rsid w:val="0F6757BF"/>
    <w:rsid w:val="10B20590"/>
    <w:rsid w:val="15DC45FB"/>
    <w:rsid w:val="16304A9A"/>
    <w:rsid w:val="16F568E2"/>
    <w:rsid w:val="17BA4D23"/>
    <w:rsid w:val="17E1071A"/>
    <w:rsid w:val="18B85F52"/>
    <w:rsid w:val="18C234D3"/>
    <w:rsid w:val="18F25DD8"/>
    <w:rsid w:val="192A17B1"/>
    <w:rsid w:val="19A00B5F"/>
    <w:rsid w:val="19DD019A"/>
    <w:rsid w:val="1A4B7B90"/>
    <w:rsid w:val="1A6F6194"/>
    <w:rsid w:val="1AD638B5"/>
    <w:rsid w:val="1C5C6D59"/>
    <w:rsid w:val="1EC41813"/>
    <w:rsid w:val="228F2503"/>
    <w:rsid w:val="23283B3B"/>
    <w:rsid w:val="24FE4DB7"/>
    <w:rsid w:val="260E59EB"/>
    <w:rsid w:val="264A3FE1"/>
    <w:rsid w:val="27563283"/>
    <w:rsid w:val="27623B4E"/>
    <w:rsid w:val="28593F07"/>
    <w:rsid w:val="287070A5"/>
    <w:rsid w:val="28B537FA"/>
    <w:rsid w:val="2A0060CB"/>
    <w:rsid w:val="2BC334B3"/>
    <w:rsid w:val="2BD36023"/>
    <w:rsid w:val="2C1B1046"/>
    <w:rsid w:val="2C7E3C95"/>
    <w:rsid w:val="2CE8435A"/>
    <w:rsid w:val="2D6C1689"/>
    <w:rsid w:val="2D71055A"/>
    <w:rsid w:val="2E9F5BEA"/>
    <w:rsid w:val="2EC42B7A"/>
    <w:rsid w:val="2EEE1EE0"/>
    <w:rsid w:val="2F406F65"/>
    <w:rsid w:val="30D047F9"/>
    <w:rsid w:val="310F177F"/>
    <w:rsid w:val="31156BCA"/>
    <w:rsid w:val="32FF13C6"/>
    <w:rsid w:val="331E30BD"/>
    <w:rsid w:val="33572FB0"/>
    <w:rsid w:val="346A0AC1"/>
    <w:rsid w:val="35A7313E"/>
    <w:rsid w:val="365C2017"/>
    <w:rsid w:val="370435BB"/>
    <w:rsid w:val="38713836"/>
    <w:rsid w:val="390F5C7F"/>
    <w:rsid w:val="3AF22DCC"/>
    <w:rsid w:val="3AFC23EB"/>
    <w:rsid w:val="3B0A5363"/>
    <w:rsid w:val="3B100549"/>
    <w:rsid w:val="3B141D37"/>
    <w:rsid w:val="3B4D163C"/>
    <w:rsid w:val="3E871679"/>
    <w:rsid w:val="3F220916"/>
    <w:rsid w:val="3FB005EB"/>
    <w:rsid w:val="40793B14"/>
    <w:rsid w:val="4123724C"/>
    <w:rsid w:val="41351C95"/>
    <w:rsid w:val="41387EA8"/>
    <w:rsid w:val="420E35BE"/>
    <w:rsid w:val="424C465F"/>
    <w:rsid w:val="43177F1A"/>
    <w:rsid w:val="44080C7A"/>
    <w:rsid w:val="456E33FA"/>
    <w:rsid w:val="45746DC5"/>
    <w:rsid w:val="45C52722"/>
    <w:rsid w:val="473062CE"/>
    <w:rsid w:val="47465E0B"/>
    <w:rsid w:val="48153421"/>
    <w:rsid w:val="48547666"/>
    <w:rsid w:val="4B8229D0"/>
    <w:rsid w:val="4BB44D5E"/>
    <w:rsid w:val="4C104ED9"/>
    <w:rsid w:val="4C147908"/>
    <w:rsid w:val="4CE402D4"/>
    <w:rsid w:val="4EDD5628"/>
    <w:rsid w:val="4F5366B8"/>
    <w:rsid w:val="51CA6922"/>
    <w:rsid w:val="52F16024"/>
    <w:rsid w:val="543F290A"/>
    <w:rsid w:val="546359FE"/>
    <w:rsid w:val="564C5E20"/>
    <w:rsid w:val="57671164"/>
    <w:rsid w:val="57A30011"/>
    <w:rsid w:val="58BB1A08"/>
    <w:rsid w:val="58BB64B9"/>
    <w:rsid w:val="5B62214A"/>
    <w:rsid w:val="5C24423B"/>
    <w:rsid w:val="5CEC5B48"/>
    <w:rsid w:val="5DD91C56"/>
    <w:rsid w:val="5F265461"/>
    <w:rsid w:val="60685C8E"/>
    <w:rsid w:val="612F1F58"/>
    <w:rsid w:val="62583F25"/>
    <w:rsid w:val="6334025B"/>
    <w:rsid w:val="658C39CF"/>
    <w:rsid w:val="65DE7509"/>
    <w:rsid w:val="662A6A78"/>
    <w:rsid w:val="66A971B9"/>
    <w:rsid w:val="68952893"/>
    <w:rsid w:val="699E0BE9"/>
    <w:rsid w:val="69E0199F"/>
    <w:rsid w:val="6A6C6276"/>
    <w:rsid w:val="6B4A697B"/>
    <w:rsid w:val="6BE37734"/>
    <w:rsid w:val="6C515AE7"/>
    <w:rsid w:val="6C8A6D0C"/>
    <w:rsid w:val="6D7F5B04"/>
    <w:rsid w:val="6E4E79C3"/>
    <w:rsid w:val="6EAF3D4E"/>
    <w:rsid w:val="70ED4ABB"/>
    <w:rsid w:val="71131C0C"/>
    <w:rsid w:val="71D96082"/>
    <w:rsid w:val="725B2B5D"/>
    <w:rsid w:val="728A50C8"/>
    <w:rsid w:val="734F2088"/>
    <w:rsid w:val="73593E5E"/>
    <w:rsid w:val="741E0123"/>
    <w:rsid w:val="74D43009"/>
    <w:rsid w:val="75C15A8B"/>
    <w:rsid w:val="764F7C42"/>
    <w:rsid w:val="799D4143"/>
    <w:rsid w:val="7CD9602A"/>
    <w:rsid w:val="7D451D52"/>
    <w:rsid w:val="7E06646F"/>
    <w:rsid w:val="7E2768DB"/>
    <w:rsid w:val="7F363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autoSpaceDE w:val="0"/>
      <w:autoSpaceDN w:val="0"/>
      <w:adjustRightInd w:val="0"/>
      <w:snapToGrid w:val="0"/>
      <w:spacing w:line="360" w:lineRule="auto"/>
      <w:ind w:firstLine="720" w:firstLineChars="200"/>
      <w:jc w:val="left"/>
      <w:textAlignment w:val="baseline"/>
    </w:pPr>
    <w:rPr>
      <w:rFonts w:ascii="Times New Roman" w:hAnsi="Times New Roman" w:eastAsia="宋体" w:cs="Arial"/>
      <w:snapToGrid w:val="0"/>
      <w:color w:val="000000"/>
      <w:kern w:val="0"/>
      <w:sz w:val="24"/>
      <w:szCs w:val="21"/>
      <w:lang w:val="en-US" w:eastAsia="en-US" w:bidi="ar-SA"/>
    </w:rPr>
  </w:style>
  <w:style w:type="paragraph" w:styleId="2">
    <w:name w:val="heading 1"/>
    <w:basedOn w:val="1"/>
    <w:next w:val="1"/>
    <w:qFormat/>
    <w:uiPriority w:val="0"/>
    <w:pPr>
      <w:keepNext/>
      <w:overflowPunct w:val="0"/>
      <w:snapToGrid w:val="0"/>
      <w:spacing w:before="120" w:after="160" w:line="240" w:lineRule="auto"/>
      <w:ind w:left="0" w:firstLine="0" w:firstLineChars="0"/>
      <w:jc w:val="center"/>
      <w:outlineLvl w:val="0"/>
    </w:pPr>
    <w:rPr>
      <w:rFonts w:ascii="Times New Roman" w:hAnsi="Times New Roman"/>
      <w:bCs/>
      <w:kern w:val="44"/>
      <w:sz w:val="32"/>
      <w:szCs w:val="30"/>
    </w:rPr>
  </w:style>
  <w:style w:type="paragraph" w:styleId="3">
    <w:name w:val="heading 2"/>
    <w:basedOn w:val="1"/>
    <w:next w:val="1"/>
    <w:unhideWhenUsed/>
    <w:qFormat/>
    <w:uiPriority w:val="0"/>
    <w:pPr>
      <w:keepNext/>
      <w:keepLines/>
      <w:spacing w:before="260" w:after="260" w:line="240" w:lineRule="auto"/>
      <w:ind w:firstLine="0" w:firstLineChars="0"/>
      <w:outlineLvl w:val="1"/>
    </w:pPr>
    <w:rPr>
      <w:rFonts w:ascii="Times New Roman" w:hAnsi="Times New Roman" w:eastAsia="宋体" w:cs="Times New Roman"/>
      <w:b/>
      <w:bCs/>
      <w:sz w:val="30"/>
      <w:szCs w:val="32"/>
    </w:rPr>
  </w:style>
  <w:style w:type="paragraph" w:styleId="4">
    <w:name w:val="heading 3"/>
    <w:basedOn w:val="1"/>
    <w:next w:val="1"/>
    <w:unhideWhenUsed/>
    <w:qFormat/>
    <w:uiPriority w:val="0"/>
    <w:pPr>
      <w:keepNext/>
      <w:keepLines/>
      <w:spacing w:line="360" w:lineRule="auto"/>
      <w:ind w:firstLine="0" w:firstLineChars="0"/>
      <w:outlineLvl w:val="2"/>
    </w:pPr>
    <w:rPr>
      <w:rFonts w:ascii="Times New Roman" w:hAnsi="Times New Roman" w:eastAsia="宋体"/>
      <w:b/>
      <w:bCs/>
      <w:sz w:val="28"/>
      <w:szCs w:val="32"/>
    </w:rPr>
  </w:style>
  <w:style w:type="paragraph" w:styleId="5">
    <w:name w:val="heading 4"/>
    <w:basedOn w:val="1"/>
    <w:next w:val="1"/>
    <w:unhideWhenUsed/>
    <w:qFormat/>
    <w:uiPriority w:val="0"/>
    <w:pPr>
      <w:keepNext/>
      <w:keepLines/>
      <w:spacing w:line="360" w:lineRule="auto"/>
      <w:ind w:firstLine="0" w:firstLineChars="0"/>
      <w:outlineLvl w:val="3"/>
    </w:pPr>
    <w:rPr>
      <w:rFonts w:ascii="Times New Roman" w:hAnsi="Times New Roman" w:eastAsia="宋体" w:cs="Times New Roman"/>
      <w:b/>
      <w:bCs/>
      <w:szCs w:val="28"/>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6">
    <w:name w:val="Normal Indent"/>
    <w:basedOn w:val="1"/>
    <w:link w:val="35"/>
    <w:qFormat/>
    <w:uiPriority w:val="0"/>
    <w:pPr>
      <w:ind w:firstLine="420" w:firstLineChars="200"/>
    </w:pPr>
  </w:style>
  <w:style w:type="paragraph" w:styleId="7">
    <w:name w:val="annotation text"/>
    <w:basedOn w:val="1"/>
    <w:qFormat/>
    <w:uiPriority w:val="0"/>
    <w:pPr>
      <w:jc w:val="left"/>
    </w:pPr>
  </w:style>
  <w:style w:type="paragraph" w:styleId="8">
    <w:name w:val="Body Text"/>
    <w:basedOn w:val="1"/>
    <w:next w:val="1"/>
    <w:link w:val="36"/>
    <w:qFormat/>
    <w:uiPriority w:val="0"/>
    <w:pPr>
      <w:widowControl/>
      <w:snapToGrid w:val="0"/>
      <w:spacing w:before="60" w:after="160" w:line="259" w:lineRule="auto"/>
      <w:ind w:right="113"/>
    </w:pPr>
    <w:rPr>
      <w:kern w:val="0"/>
      <w:sz w:val="18"/>
      <w:szCs w:val="20"/>
    </w:rPr>
  </w:style>
  <w:style w:type="paragraph" w:styleId="9">
    <w:name w:val="Plain Text"/>
    <w:basedOn w:val="1"/>
    <w:next w:val="10"/>
    <w:qFormat/>
    <w:uiPriority w:val="0"/>
    <w:rPr>
      <w:rFonts w:ascii="宋体" w:hAnsi="Courier New"/>
    </w:rPr>
  </w:style>
  <w:style w:type="paragraph" w:customStyle="1" w:styleId="10">
    <w:name w:val="Default"/>
    <w:basedOn w:val="11"/>
    <w:qFormat/>
    <w:uiPriority w:val="0"/>
    <w:pPr>
      <w:widowControl w:val="0"/>
      <w:autoSpaceDE w:val="0"/>
      <w:autoSpaceDN w:val="0"/>
      <w:adjustRightInd w:val="0"/>
    </w:pPr>
    <w:rPr>
      <w:rFonts w:ascii="宋体" w:hAnsi="Times New Roman" w:eastAsia="宋体" w:cs="Times New Roman"/>
      <w:color w:val="000000"/>
      <w:sz w:val="24"/>
      <w:szCs w:val="24"/>
      <w:lang w:bidi="ar-SA"/>
    </w:rPr>
  </w:style>
  <w:style w:type="paragraph" w:customStyle="1" w:styleId="11">
    <w:name w:val="纯文本1"/>
    <w:basedOn w:val="1"/>
    <w:qFormat/>
    <w:uiPriority w:val="0"/>
    <w:pPr>
      <w:adjustRightInd w:val="0"/>
      <w:textAlignment w:val="baseline"/>
    </w:pPr>
    <w:rPr>
      <w:rFonts w:ascii="宋体" w:hAnsi="Courier New"/>
      <w:sz w:val="28"/>
      <w:szCs w:val="20"/>
    </w:rPr>
  </w:style>
  <w:style w:type="paragraph" w:styleId="12">
    <w:name w:val="Date"/>
    <w:basedOn w:val="1"/>
    <w:next w:val="1"/>
    <w:qFormat/>
    <w:uiPriority w:val="0"/>
    <w:pPr>
      <w:ind w:left="100" w:leftChars="2500"/>
    </w:pPr>
    <w:rPr>
      <w:kern w:val="0"/>
      <w:sz w:val="24"/>
      <w:szCs w:val="20"/>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Subtitle"/>
    <w:basedOn w:val="1"/>
    <w:next w:val="1"/>
    <w:qFormat/>
    <w:uiPriority w:val="0"/>
    <w:pPr>
      <w:adjustRightInd w:val="0"/>
      <w:snapToGrid w:val="0"/>
      <w:spacing w:line="360" w:lineRule="auto"/>
      <w:jc w:val="center"/>
      <w:outlineLvl w:val="4"/>
    </w:pPr>
    <w:rPr>
      <w:rFonts w:cs="Times New Roman"/>
      <w:b/>
      <w:bCs/>
      <w:color w:val="000000"/>
      <w:kern w:val="28"/>
      <w:sz w:val="24"/>
      <w:szCs w:val="32"/>
    </w:rPr>
  </w:style>
  <w:style w:type="paragraph" w:styleId="17">
    <w:name w:val="Body Text 2"/>
    <w:basedOn w:val="1"/>
    <w:qFormat/>
    <w:uiPriority w:val="0"/>
    <w:pPr>
      <w:widowControl/>
      <w:spacing w:after="120" w:line="480" w:lineRule="auto"/>
      <w:jc w:val="left"/>
    </w:pPr>
    <w:rPr>
      <w:rFonts w:ascii="Calibri" w:hAnsi="Calibri" w:eastAsia="宋体" w:cs="Times New Roman"/>
      <w:szCs w:val="20"/>
    </w:rPr>
  </w:style>
  <w:style w:type="paragraph" w:styleId="18">
    <w:name w:val="Normal (Web)"/>
    <w:basedOn w:val="1"/>
    <w:link w:val="31"/>
    <w:qFormat/>
    <w:uiPriority w:val="0"/>
    <w:pPr>
      <w:widowControl/>
      <w:spacing w:beforeAutospacing="0" w:afterAutospacing="0" w:line="240" w:lineRule="auto"/>
      <w:ind w:firstLine="0" w:firstLineChars="0"/>
      <w:jc w:val="center"/>
    </w:pPr>
    <w:rPr>
      <w:rFonts w:ascii="宋体" w:hAnsi="宋体"/>
      <w:szCs w:val="20"/>
    </w:rPr>
  </w:style>
  <w:style w:type="paragraph" w:styleId="19">
    <w:name w:val="Body Text First Indent"/>
    <w:basedOn w:val="8"/>
    <w:next w:val="1"/>
    <w:link w:val="44"/>
    <w:qFormat/>
    <w:uiPriority w:val="0"/>
    <w:pPr>
      <w:spacing w:line="360" w:lineRule="auto"/>
      <w:ind w:firstLine="720" w:firstLineChars="200"/>
    </w:pPr>
    <w:rPr>
      <w:rFonts w:ascii="Times New Roman" w:hAnsi="Times New Roman" w:eastAsia="宋体"/>
      <w:sz w:val="24"/>
      <w:szCs w:val="20"/>
    </w:rPr>
  </w:style>
  <w:style w:type="table" w:styleId="21">
    <w:name w:val="Table Grid"/>
    <w:basedOn w:val="2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Hyperlink"/>
    <w:basedOn w:val="22"/>
    <w:unhideWhenUsed/>
    <w:qFormat/>
    <w:uiPriority w:val="99"/>
    <w:rPr>
      <w:color w:val="136EC2"/>
      <w:u w:val="single"/>
    </w:rPr>
  </w:style>
  <w:style w:type="paragraph" w:customStyle="1" w:styleId="25">
    <w:name w:val="Table Text"/>
    <w:basedOn w:val="1"/>
    <w:semiHidden/>
    <w:qFormat/>
    <w:uiPriority w:val="0"/>
    <w:rPr>
      <w:rFonts w:ascii="宋体" w:hAnsi="宋体" w:eastAsia="宋体" w:cs="宋体"/>
      <w:sz w:val="22"/>
      <w:szCs w:val="22"/>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 w:type="paragraph" w:customStyle="1" w:styleId="27">
    <w:name w:val="表名"/>
    <w:basedOn w:val="1"/>
    <w:link w:val="38"/>
    <w:qFormat/>
    <w:uiPriority w:val="0"/>
    <w:pPr>
      <w:ind w:firstLine="0" w:firstLineChars="0"/>
      <w:jc w:val="center"/>
    </w:pPr>
    <w:rPr>
      <w:rFonts w:ascii="Times New Roman" w:hAnsi="Times New Roman" w:eastAsia="宋体"/>
      <w:b/>
      <w:bCs/>
      <w:spacing w:val="4"/>
    </w:rPr>
  </w:style>
  <w:style w:type="character" w:customStyle="1" w:styleId="28">
    <w:name w:val="fontstyle01"/>
    <w:basedOn w:val="22"/>
    <w:qFormat/>
    <w:uiPriority w:val="0"/>
    <w:rPr>
      <w:rFonts w:hint="eastAsia" w:ascii="宋体" w:hAnsi="宋体" w:eastAsia="宋体"/>
      <w:color w:val="000000"/>
      <w:sz w:val="24"/>
      <w:szCs w:val="24"/>
    </w:rPr>
  </w:style>
  <w:style w:type="paragraph" w:customStyle="1" w:styleId="29">
    <w:name w:val="WPSOffice手动目录 1"/>
    <w:qFormat/>
    <w:uiPriority w:val="0"/>
    <w:pPr>
      <w:ind w:leftChars="0"/>
    </w:pPr>
    <w:rPr>
      <w:rFonts w:ascii="Times New Roman" w:hAnsi="Times New Roman" w:eastAsia="宋体" w:cs="Times New Roman"/>
      <w:sz w:val="20"/>
      <w:szCs w:val="20"/>
    </w:rPr>
  </w:style>
  <w:style w:type="paragraph" w:customStyle="1" w:styleId="30">
    <w:name w:val="WPSOffice手动目录 2"/>
    <w:qFormat/>
    <w:uiPriority w:val="0"/>
    <w:pPr>
      <w:ind w:leftChars="200"/>
    </w:pPr>
    <w:rPr>
      <w:rFonts w:ascii="Times New Roman" w:hAnsi="Times New Roman" w:eastAsia="宋体" w:cs="Times New Roman"/>
      <w:sz w:val="20"/>
      <w:szCs w:val="20"/>
    </w:rPr>
  </w:style>
  <w:style w:type="character" w:customStyle="1" w:styleId="31">
    <w:name w:val="普通(网站) Char"/>
    <w:link w:val="18"/>
    <w:qFormat/>
    <w:uiPriority w:val="0"/>
    <w:rPr>
      <w:rFonts w:ascii="宋体" w:hAnsi="宋体" w:eastAsia="宋体"/>
      <w:szCs w:val="20"/>
    </w:rPr>
  </w:style>
  <w:style w:type="character" w:customStyle="1" w:styleId="32">
    <w:name w:val="font21"/>
    <w:basedOn w:val="22"/>
    <w:qFormat/>
    <w:uiPriority w:val="0"/>
    <w:rPr>
      <w:rFonts w:hint="default" w:ascii="Times New Roman" w:hAnsi="Times New Roman" w:cs="Times New Roman"/>
      <w:color w:val="000000"/>
      <w:sz w:val="21"/>
      <w:szCs w:val="21"/>
      <w:u w:val="none"/>
    </w:rPr>
  </w:style>
  <w:style w:type="character" w:customStyle="1" w:styleId="33">
    <w:name w:val="font11"/>
    <w:basedOn w:val="22"/>
    <w:qFormat/>
    <w:uiPriority w:val="0"/>
    <w:rPr>
      <w:rFonts w:hint="eastAsia" w:ascii="宋体" w:hAnsi="宋体" w:eastAsia="宋体" w:cs="宋体"/>
      <w:color w:val="000000"/>
      <w:sz w:val="21"/>
      <w:szCs w:val="21"/>
      <w:u w:val="none"/>
    </w:rPr>
  </w:style>
  <w:style w:type="paragraph" w:customStyle="1" w:styleId="34">
    <w:name w:val="表格"/>
    <w:basedOn w:val="1"/>
    <w:next w:val="1"/>
    <w:qFormat/>
    <w:uiPriority w:val="0"/>
    <w:pPr>
      <w:spacing w:line="240" w:lineRule="auto"/>
      <w:ind w:firstLine="0" w:firstLineChars="0"/>
      <w:jc w:val="center"/>
    </w:pPr>
    <w:rPr>
      <w:sz w:val="21"/>
    </w:rPr>
  </w:style>
  <w:style w:type="character" w:customStyle="1" w:styleId="35">
    <w:name w:val="正文缩进 Char"/>
    <w:link w:val="6"/>
    <w:qFormat/>
    <w:uiPriority w:val="0"/>
  </w:style>
  <w:style w:type="character" w:customStyle="1" w:styleId="36">
    <w:name w:val="正文文本 Char"/>
    <w:link w:val="8"/>
    <w:qFormat/>
    <w:uiPriority w:val="0"/>
    <w:rPr>
      <w:kern w:val="0"/>
      <w:sz w:val="18"/>
      <w:szCs w:val="20"/>
    </w:rPr>
  </w:style>
  <w:style w:type="paragraph" w:customStyle="1" w:styleId="37">
    <w:name w:val="表格文字"/>
    <w:qFormat/>
    <w:uiPriority w:val="0"/>
    <w:pPr>
      <w:widowControl w:val="0"/>
      <w:spacing w:line="320" w:lineRule="atLeast"/>
      <w:jc w:val="center"/>
    </w:pPr>
    <w:rPr>
      <w:rFonts w:ascii="Times New Roman" w:hAnsi="Times New Roman" w:eastAsia="宋体" w:cs="Times New Roman"/>
      <w:kern w:val="2"/>
      <w:sz w:val="21"/>
      <w:lang w:val="en-US" w:eastAsia="zh-CN" w:bidi="ar-SA"/>
    </w:rPr>
  </w:style>
  <w:style w:type="character" w:customStyle="1" w:styleId="38">
    <w:name w:val="表名 Char"/>
    <w:link w:val="27"/>
    <w:qFormat/>
    <w:uiPriority w:val="0"/>
    <w:rPr>
      <w:rFonts w:ascii="Times New Roman" w:hAnsi="Times New Roman" w:eastAsia="宋体"/>
      <w:b/>
      <w:bCs/>
      <w:spacing w:val="4"/>
    </w:rPr>
  </w:style>
  <w:style w:type="character" w:customStyle="1" w:styleId="39">
    <w:name w:val="font71"/>
    <w:basedOn w:val="22"/>
    <w:qFormat/>
    <w:uiPriority w:val="0"/>
    <w:rPr>
      <w:rFonts w:hint="default" w:ascii="Times New Roman" w:hAnsi="Times New Roman" w:cs="Times New Roman"/>
      <w:b/>
      <w:bCs/>
      <w:color w:val="000000"/>
      <w:sz w:val="18"/>
      <w:szCs w:val="18"/>
      <w:u w:val="none"/>
      <w:vertAlign w:val="superscript"/>
    </w:rPr>
  </w:style>
  <w:style w:type="character" w:customStyle="1" w:styleId="40">
    <w:name w:val="font31"/>
    <w:basedOn w:val="22"/>
    <w:qFormat/>
    <w:uiPriority w:val="0"/>
    <w:rPr>
      <w:rFonts w:hint="default" w:ascii="Times New Roman" w:hAnsi="Times New Roman" w:cs="Times New Roman"/>
      <w:color w:val="000000"/>
      <w:sz w:val="18"/>
      <w:szCs w:val="18"/>
      <w:u w:val="none"/>
    </w:rPr>
  </w:style>
  <w:style w:type="paragraph" w:customStyle="1" w:styleId="41">
    <w:name w:val="正文文字"/>
    <w:basedOn w:val="1"/>
    <w:link w:val="46"/>
    <w:qFormat/>
    <w:uiPriority w:val="0"/>
    <w:pPr>
      <w:kinsoku/>
      <w:spacing w:line="360" w:lineRule="auto"/>
      <w:ind w:firstLine="720" w:firstLineChars="200"/>
      <w:jc w:val="left"/>
    </w:pPr>
    <w:rPr>
      <w:rFonts w:ascii="Times New Roman" w:hAnsi="Times New Roman" w:eastAsia="宋体"/>
      <w:sz w:val="24"/>
    </w:rPr>
  </w:style>
  <w:style w:type="paragraph" w:customStyle="1" w:styleId="42">
    <w:name w:val="表格标题"/>
    <w:basedOn w:val="43"/>
    <w:qFormat/>
    <w:uiPriority w:val="0"/>
    <w:pPr>
      <w:autoSpaceDE w:val="0"/>
      <w:autoSpaceDN w:val="0"/>
      <w:spacing w:before="40" w:after="40" w:line="240" w:lineRule="auto"/>
      <w:ind w:firstLine="0" w:firstLineChars="0"/>
      <w:jc w:val="center"/>
    </w:pPr>
    <w:rPr>
      <w:rFonts w:ascii="Times New Roman" w:hAnsi="Times New Roman" w:cs="Calibri"/>
      <w:b/>
    </w:rPr>
  </w:style>
  <w:style w:type="paragraph" w:customStyle="1" w:styleId="43">
    <w:name w:val="正文缩进1"/>
    <w:basedOn w:val="1"/>
    <w:qFormat/>
    <w:uiPriority w:val="0"/>
    <w:pPr>
      <w:kinsoku/>
      <w:spacing w:line="360" w:lineRule="auto"/>
      <w:ind w:firstLine="480" w:firstLineChars="200"/>
    </w:pPr>
    <w:rPr>
      <w:rFonts w:ascii="Times New Roman" w:hAnsi="Times New Roman" w:eastAsia="宋体" w:cs="宋体"/>
      <w:sz w:val="24"/>
      <w:szCs w:val="24"/>
      <w:lang w:eastAsia="zh-CN"/>
    </w:rPr>
  </w:style>
  <w:style w:type="character" w:customStyle="1" w:styleId="44">
    <w:name w:val="正文首行缩进 Char"/>
    <w:link w:val="19"/>
    <w:qFormat/>
    <w:uiPriority w:val="0"/>
    <w:rPr>
      <w:rFonts w:ascii="Times New Roman" w:hAnsi="Times New Roman" w:eastAsia="宋体"/>
      <w:sz w:val="24"/>
      <w:szCs w:val="20"/>
    </w:rPr>
  </w:style>
  <w:style w:type="paragraph" w:customStyle="1" w:styleId="45">
    <w:name w:val="表标题"/>
    <w:basedOn w:val="1"/>
    <w:autoRedefine/>
    <w:qFormat/>
    <w:uiPriority w:val="0"/>
    <w:pPr>
      <w:adjustRightInd w:val="0"/>
      <w:snapToGrid w:val="0"/>
      <w:spacing w:line="360" w:lineRule="auto"/>
      <w:ind w:firstLine="0" w:firstLineChars="0"/>
      <w:jc w:val="center"/>
      <w:textAlignment w:val="baseline"/>
    </w:pPr>
    <w:rPr>
      <w:rFonts w:ascii="Times New Roman" w:hAnsi="Times New Roman" w:eastAsia="宋体"/>
      <w:b/>
      <w:bCs/>
      <w:kern w:val="0"/>
      <w:szCs w:val="20"/>
    </w:rPr>
  </w:style>
  <w:style w:type="character" w:customStyle="1" w:styleId="46">
    <w:name w:val="正文文字 Char"/>
    <w:link w:val="41"/>
    <w:qFormat/>
    <w:uiPriority w:val="0"/>
    <w:rPr>
      <w:rFonts w:ascii="Times New Roman" w:hAnsi="Times New Roman" w:eastAsia="宋体"/>
      <w:sz w:val="24"/>
    </w:rPr>
  </w:style>
  <w:style w:type="paragraph" w:customStyle="1" w:styleId="47">
    <w:name w:val="内容"/>
    <w:basedOn w:val="1"/>
    <w:next w:val="1"/>
    <w:qFormat/>
    <w:uiPriority w:val="0"/>
    <w:pPr>
      <w:adjustRightInd w:val="0"/>
      <w:snapToGrid w:val="0"/>
      <w:spacing w:before="156" w:beforeLines="50" w:line="360" w:lineRule="auto"/>
      <w:ind w:firstLine="200" w:firstLineChars="200"/>
      <w:textAlignment w:val="center"/>
    </w:pPr>
    <w:rPr>
      <w:rFonts w:eastAsia="仿宋"/>
      <w:color w:val="000000"/>
      <w:sz w:val="28"/>
      <w:szCs w:val="28"/>
    </w:rPr>
  </w:style>
  <w:style w:type="paragraph" w:customStyle="1" w:styleId="48">
    <w:name w:val="p0"/>
    <w:basedOn w:val="1"/>
    <w:qFormat/>
    <w:uiPriority w:val="0"/>
    <w:pPr>
      <w:widowControl/>
    </w:pPr>
    <w:rPr>
      <w:kern w:val="0"/>
      <w:szCs w:val="21"/>
    </w:rPr>
  </w:style>
  <w:style w:type="paragraph" w:customStyle="1" w:styleId="49">
    <w:name w:val="cj正文"/>
    <w:basedOn w:val="1"/>
    <w:qFormat/>
    <w:uiPriority w:val="0"/>
    <w:pPr>
      <w:spacing w:line="360" w:lineRule="auto"/>
      <w:ind w:firstLine="200" w:firstLineChars="200"/>
    </w:pPr>
    <w:rPr>
      <w:sz w:val="24"/>
    </w:rPr>
  </w:style>
  <w:style w:type="paragraph" w:customStyle="1" w:styleId="50">
    <w:name w:val="明显引用1"/>
    <w:next w:val="1"/>
    <w:qFormat/>
    <w:uiPriority w:val="0"/>
    <w:pPr>
      <w:wordWrap w:val="0"/>
      <w:spacing w:before="360" w:after="360"/>
      <w:ind w:left="950" w:right="950"/>
      <w:jc w:val="center"/>
    </w:pPr>
    <w:rPr>
      <w:rFonts w:ascii="Times New Roman" w:hAnsi="Times New Roman" w:eastAsia="宋体" w:cs="Times New Roman"/>
      <w:i/>
      <w:sz w:val="21"/>
      <w:lang w:val="en-US" w:eastAsia="zh-CN" w:bidi="ar-SA"/>
    </w:rPr>
  </w:style>
  <w:style w:type="paragraph" w:customStyle="1" w:styleId="51">
    <w:name w:val="表头"/>
    <w:basedOn w:val="1"/>
    <w:link w:val="54"/>
    <w:qFormat/>
    <w:uiPriority w:val="0"/>
    <w:pPr>
      <w:ind w:firstLine="0" w:firstLineChars="0"/>
      <w:jc w:val="center"/>
    </w:pPr>
    <w:rPr>
      <w:rFonts w:ascii="Times New Roman" w:hAnsi="Times New Roman" w:eastAsia="宋体"/>
      <w:b/>
      <w:bCs/>
      <w:sz w:val="24"/>
    </w:rPr>
  </w:style>
  <w:style w:type="paragraph" w:customStyle="1" w:styleId="52">
    <w:name w:val="图表样式"/>
    <w:basedOn w:val="1"/>
    <w:qFormat/>
    <w:uiPriority w:val="0"/>
    <w:pPr>
      <w:widowControl/>
      <w:adjustRightInd w:val="0"/>
      <w:snapToGrid w:val="0"/>
      <w:spacing w:line="240" w:lineRule="auto"/>
      <w:ind w:firstLine="0" w:firstLineChars="0"/>
      <w:jc w:val="center"/>
    </w:pPr>
    <w:rPr>
      <w:rFonts w:hAnsi="宋体"/>
      <w:kern w:val="0"/>
    </w:rPr>
  </w:style>
  <w:style w:type="paragraph" w:customStyle="1" w:styleId="53">
    <w:name w:val="gf正文"/>
    <w:basedOn w:val="1"/>
    <w:qFormat/>
    <w:uiPriority w:val="0"/>
    <w:pPr>
      <w:adjustRightInd w:val="0"/>
      <w:snapToGrid w:val="0"/>
      <w:spacing w:line="520" w:lineRule="exact"/>
      <w:ind w:firstLine="200" w:firstLineChars="200"/>
    </w:pPr>
    <w:rPr>
      <w:iCs/>
      <w:sz w:val="24"/>
    </w:rPr>
  </w:style>
  <w:style w:type="character" w:customStyle="1" w:styleId="54">
    <w:name w:val="表头 Char"/>
    <w:link w:val="51"/>
    <w:qFormat/>
    <w:uiPriority w:val="0"/>
    <w:rPr>
      <w:rFonts w:ascii="Times New Roman" w:hAnsi="Times New Roman" w:eastAsia="宋体"/>
      <w:b/>
      <w:bCs/>
      <w:sz w:val="24"/>
    </w:rPr>
  </w:style>
  <w:style w:type="paragraph" w:customStyle="1" w:styleId="55">
    <w:name w:val="表中文字"/>
    <w:basedOn w:val="1"/>
    <w:qFormat/>
    <w:uiPriority w:val="0"/>
    <w:pPr>
      <w:widowControl/>
      <w:kinsoku/>
      <w:jc w:val="center"/>
    </w:pPr>
    <w:rPr>
      <w:rFonts w:ascii="Times New Roman" w:hAnsi="Times New Roman" w:eastAsia="宋体"/>
      <w:sz w:val="21"/>
    </w:rPr>
  </w:style>
  <w:style w:type="paragraph" w:customStyle="1" w:styleId="56">
    <w:name w:val="文本正文"/>
    <w:basedOn w:val="19"/>
    <w:qFormat/>
    <w:uiPriority w:val="0"/>
    <w:pPr>
      <w:snapToGrid w:val="0"/>
      <w:spacing w:line="360" w:lineRule="auto"/>
      <w:ind w:firstLine="510"/>
      <w:jc w:val="left"/>
    </w:pPr>
    <w:rPr>
      <w:rFonts w:ascii="Times New Roman" w:hAnsi="Times New Roman" w:eastAsia="宋体"/>
      <w:spacing w:val="4"/>
      <w:kern w:val="24"/>
      <w:lang w:val="zh-CN"/>
    </w:rPr>
  </w:style>
  <w:style w:type="paragraph" w:customStyle="1" w:styleId="57">
    <w:name w:val="样式小4"/>
    <w:basedOn w:val="1"/>
    <w:qFormat/>
    <w:uiPriority w:val="0"/>
    <w:pPr>
      <w:spacing w:afterLines="0" w:line="360" w:lineRule="auto"/>
      <w:ind w:firstLine="480" w:firstLineChars="200"/>
    </w:pPr>
    <w:rPr>
      <w:rFonts w:hint="default" w:ascii="Times New Roman" w:hAnsi="Times New Roman" w:eastAsia="宋体" w:cs="Times New Roman"/>
      <w:sz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6" Type="http://schemas.openxmlformats.org/officeDocument/2006/relationships/fontTable" Target="fontTable.xml"/><Relationship Id="rId75" Type="http://schemas.openxmlformats.org/officeDocument/2006/relationships/customXml" Target="../customXml/item2.xml"/><Relationship Id="rId74" Type="http://schemas.openxmlformats.org/officeDocument/2006/relationships/numbering" Target="numbering.xml"/><Relationship Id="rId73" Type="http://schemas.openxmlformats.org/officeDocument/2006/relationships/customXml" Target="../customXml/item1.xml"/><Relationship Id="rId72" Type="http://schemas.openxmlformats.org/officeDocument/2006/relationships/chart" Target="charts/chart2.xml"/><Relationship Id="rId71" Type="http://schemas.openxmlformats.org/officeDocument/2006/relationships/chart" Target="charts/chart1.xml"/><Relationship Id="rId70" Type="http://schemas.openxmlformats.org/officeDocument/2006/relationships/image" Target="media/image49.png"/><Relationship Id="rId7" Type="http://schemas.openxmlformats.org/officeDocument/2006/relationships/footer" Target="footer3.xml"/><Relationship Id="rId69" Type="http://schemas.openxmlformats.org/officeDocument/2006/relationships/image" Target="media/image48.jpeg"/><Relationship Id="rId68" Type="http://schemas.openxmlformats.org/officeDocument/2006/relationships/image" Target="media/image47.jpeg"/><Relationship Id="rId67" Type="http://schemas.openxmlformats.org/officeDocument/2006/relationships/image" Target="media/image46.jpeg"/><Relationship Id="rId66" Type="http://schemas.openxmlformats.org/officeDocument/2006/relationships/image" Target="media/image45.jpeg"/><Relationship Id="rId65" Type="http://schemas.openxmlformats.org/officeDocument/2006/relationships/image" Target="media/image44.jpeg"/><Relationship Id="rId64" Type="http://schemas.openxmlformats.org/officeDocument/2006/relationships/image" Target="media/image43.jpeg"/><Relationship Id="rId63" Type="http://schemas.openxmlformats.org/officeDocument/2006/relationships/image" Target="media/image42.jpeg"/><Relationship Id="rId62" Type="http://schemas.openxmlformats.org/officeDocument/2006/relationships/image" Target="media/image41.jpeg"/><Relationship Id="rId61" Type="http://schemas.openxmlformats.org/officeDocument/2006/relationships/image" Target="media/image40.jpeg"/><Relationship Id="rId60" Type="http://schemas.openxmlformats.org/officeDocument/2006/relationships/image" Target="media/image39.jpeg"/><Relationship Id="rId6" Type="http://schemas.openxmlformats.org/officeDocument/2006/relationships/footer" Target="footer2.xml"/><Relationship Id="rId59" Type="http://schemas.openxmlformats.org/officeDocument/2006/relationships/image" Target="media/image38.jpeg"/><Relationship Id="rId58" Type="http://schemas.openxmlformats.org/officeDocument/2006/relationships/image" Target="media/image37.jpeg"/><Relationship Id="rId57" Type="http://schemas.openxmlformats.org/officeDocument/2006/relationships/image" Target="media/image36.png"/><Relationship Id="rId56" Type="http://schemas.openxmlformats.org/officeDocument/2006/relationships/image" Target="media/image35.jpeg"/><Relationship Id="rId55" Type="http://schemas.openxmlformats.org/officeDocument/2006/relationships/image" Target="media/image34.jpeg"/><Relationship Id="rId54" Type="http://schemas.openxmlformats.org/officeDocument/2006/relationships/image" Target="media/image33.jpeg"/><Relationship Id="rId53" Type="http://schemas.openxmlformats.org/officeDocument/2006/relationships/image" Target="media/image32.jpeg"/><Relationship Id="rId52" Type="http://schemas.openxmlformats.org/officeDocument/2006/relationships/image" Target="media/image31.jpeg"/><Relationship Id="rId51" Type="http://schemas.openxmlformats.org/officeDocument/2006/relationships/image" Target="media/image30.jpeg"/><Relationship Id="rId50" Type="http://schemas.openxmlformats.org/officeDocument/2006/relationships/image" Target="media/image29.jpeg"/><Relationship Id="rId5" Type="http://schemas.openxmlformats.org/officeDocument/2006/relationships/footer" Target="footer1.xml"/><Relationship Id="rId49" Type="http://schemas.openxmlformats.org/officeDocument/2006/relationships/image" Target="media/image28.jpeg"/><Relationship Id="rId48" Type="http://schemas.openxmlformats.org/officeDocument/2006/relationships/image" Target="media/image27.png"/><Relationship Id="rId47" Type="http://schemas.openxmlformats.org/officeDocument/2006/relationships/image" Target="media/image26.png"/><Relationship Id="rId46" Type="http://schemas.openxmlformats.org/officeDocument/2006/relationships/image" Target="media/image25.png"/><Relationship Id="rId45" Type="http://schemas.openxmlformats.org/officeDocument/2006/relationships/image" Target="media/image24.png"/><Relationship Id="rId44" Type="http://schemas.openxmlformats.org/officeDocument/2006/relationships/image" Target="media/image23.png"/><Relationship Id="rId43" Type="http://schemas.openxmlformats.org/officeDocument/2006/relationships/image" Target="media/image22.png"/><Relationship Id="rId42" Type="http://schemas.openxmlformats.org/officeDocument/2006/relationships/image" Target="media/image21.png"/><Relationship Id="rId41" Type="http://schemas.openxmlformats.org/officeDocument/2006/relationships/image" Target="media/image20.png"/><Relationship Id="rId40" Type="http://schemas.openxmlformats.org/officeDocument/2006/relationships/image" Target="media/image19.wmf"/><Relationship Id="rId4" Type="http://schemas.openxmlformats.org/officeDocument/2006/relationships/endnotes" Target="endnotes.xml"/><Relationship Id="rId39" Type="http://schemas.openxmlformats.org/officeDocument/2006/relationships/oleObject" Target="embeddings/oleObject1.bin"/><Relationship Id="rId38" Type="http://schemas.openxmlformats.org/officeDocument/2006/relationships/image" Target="media/image18.png"/><Relationship Id="rId37" Type="http://schemas.openxmlformats.org/officeDocument/2006/relationships/image" Target="media/image17.png"/><Relationship Id="rId36" Type="http://schemas.openxmlformats.org/officeDocument/2006/relationships/image" Target="media/image16.png"/><Relationship Id="rId35" Type="http://schemas.openxmlformats.org/officeDocument/2006/relationships/image" Target="media/image15.png"/><Relationship Id="rId34" Type="http://schemas.openxmlformats.org/officeDocument/2006/relationships/image" Target="media/image14.png"/><Relationship Id="rId33" Type="http://schemas.openxmlformats.org/officeDocument/2006/relationships/image" Target="media/image13.png"/><Relationship Id="rId32" Type="http://schemas.openxmlformats.org/officeDocument/2006/relationships/image" Target="media/image12.jpeg"/><Relationship Id="rId31" Type="http://schemas.openxmlformats.org/officeDocument/2006/relationships/image" Target="media/image11.png"/><Relationship Id="rId30" Type="http://schemas.openxmlformats.org/officeDocument/2006/relationships/image" Target="media/image10.jpeg"/><Relationship Id="rId3" Type="http://schemas.openxmlformats.org/officeDocument/2006/relationships/footnotes" Target="footnotes.xml"/><Relationship Id="rId29" Type="http://schemas.openxmlformats.org/officeDocument/2006/relationships/image" Target="media/image9.jpeg"/><Relationship Id="rId28" Type="http://schemas.openxmlformats.org/officeDocument/2006/relationships/image" Target="media/image8.jpeg"/><Relationship Id="rId27" Type="http://schemas.openxmlformats.org/officeDocument/2006/relationships/image" Target="media/image7.jpeg"/><Relationship Id="rId26" Type="http://schemas.openxmlformats.org/officeDocument/2006/relationships/image" Target="media/image6.jpeg"/><Relationship Id="rId25" Type="http://schemas.openxmlformats.org/officeDocument/2006/relationships/image" Target="media/image5.jpeg"/><Relationship Id="rId24" Type="http://schemas.openxmlformats.org/officeDocument/2006/relationships/image" Target="media/image4.jpeg"/><Relationship Id="rId23" Type="http://schemas.openxmlformats.org/officeDocument/2006/relationships/image" Target="media/image3.png"/><Relationship Id="rId22" Type="http://schemas.openxmlformats.org/officeDocument/2006/relationships/image" Target="media/image2.png"/><Relationship Id="rId21" Type="http://schemas.openxmlformats.org/officeDocument/2006/relationships/image" Target="media/image1.jpe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3"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3"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
        <c:varyColors val="0"/>
        <c:ser>
          <c:idx val="0"/>
          <c:order val="0"/>
          <c:spPr>
            <a:ln w="19050" cap="rnd">
              <a:solidFill>
                <a:schemeClr val="accent1"/>
              </a:solidFill>
              <a:round/>
            </a:ln>
            <a:effectLst/>
          </c:spPr>
          <c:marker>
            <c:symbol val="none"/>
          </c:marker>
          <c:dLbls>
            <c:delete val="1"/>
          </c:dLbls>
          <c:xVal>
            <c:numRef>
              <c:f>[工作簿3]Sheet1!$G$15:$G$24</c:f>
              <c:numCache>
                <c:formatCode>General</c:formatCode>
                <c:ptCount val="10"/>
                <c:pt idx="0">
                  <c:v>5</c:v>
                </c:pt>
                <c:pt idx="1">
                  <c:v>10</c:v>
                </c:pt>
                <c:pt idx="2">
                  <c:v>15</c:v>
                </c:pt>
                <c:pt idx="3">
                  <c:v>20</c:v>
                </c:pt>
                <c:pt idx="4">
                  <c:v>25</c:v>
                </c:pt>
                <c:pt idx="5">
                  <c:v>30</c:v>
                </c:pt>
                <c:pt idx="6">
                  <c:v>35</c:v>
                </c:pt>
                <c:pt idx="7">
                  <c:v>40</c:v>
                </c:pt>
                <c:pt idx="8">
                  <c:v>45</c:v>
                </c:pt>
                <c:pt idx="9">
                  <c:v>50</c:v>
                </c:pt>
              </c:numCache>
            </c:numRef>
          </c:xVal>
          <c:yVal>
            <c:numRef>
              <c:f>[工作簿3]Sheet1!$H$15:$H$24</c:f>
              <c:numCache>
                <c:formatCode>General</c:formatCode>
                <c:ptCount val="10"/>
                <c:pt idx="0">
                  <c:v>301.56</c:v>
                </c:pt>
                <c:pt idx="1">
                  <c:v>271.42</c:v>
                </c:pt>
                <c:pt idx="2">
                  <c:v>236.18</c:v>
                </c:pt>
                <c:pt idx="3">
                  <c:v>216.07</c:v>
                </c:pt>
                <c:pt idx="4">
                  <c:v>170.76</c:v>
                </c:pt>
                <c:pt idx="5">
                  <c:v>153.82</c:v>
                </c:pt>
                <c:pt idx="6">
                  <c:v>143.01</c:v>
                </c:pt>
                <c:pt idx="7">
                  <c:v>131.49</c:v>
                </c:pt>
                <c:pt idx="8">
                  <c:v>92.27</c:v>
                </c:pt>
                <c:pt idx="9">
                  <c:v>65.37</c:v>
                </c:pt>
              </c:numCache>
            </c:numRef>
          </c:yVal>
          <c:smooth val="1"/>
        </c:ser>
        <c:dLbls>
          <c:showLegendKey val="0"/>
          <c:showVal val="0"/>
          <c:showCatName val="0"/>
          <c:showSerName val="0"/>
          <c:showPercent val="0"/>
          <c:showBubbleSize val="0"/>
        </c:dLbls>
        <c:axId val="829294923"/>
        <c:axId val="868539989"/>
      </c:scatterChart>
      <c:valAx>
        <c:axId val="829294923"/>
        <c:scaling>
          <c:orientation val="minMax"/>
        </c:scaling>
        <c:delete val="0"/>
        <c:axPos val="b"/>
        <c:title>
          <c:tx>
            <c:rich>
              <a:bodyPr rot="0" spcFirstLastPara="0" vertOverflow="ellipsis" vert="horz" wrap="square" anchor="ctr" anchorCtr="1"/>
              <a:lstStyle/>
              <a:p>
                <a:pPr defTabSz="914400">
                  <a:defRPr lang="zh-CN"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sz="1200">
                    <a:latin typeface="Times New Roman" panose="02020603050405020304" charset="0"/>
                    <a:ea typeface="Times New Roman" panose="02020603050405020304" charset="0"/>
                    <a:cs typeface="Times New Roman" panose="02020603050405020304" charset="0"/>
                    <a:sym typeface="Times New Roman" panose="02020603050405020304" charset="0"/>
                  </a:rPr>
                  <a:t>距离（</a:t>
                </a:r>
                <a:r>
                  <a:rPr lang="en-US" altLang="zh-CN" sz="1200">
                    <a:latin typeface="Times New Roman" panose="02020603050405020304" charset="0"/>
                    <a:ea typeface="Times New Roman" panose="02020603050405020304" charset="0"/>
                    <a:cs typeface="Times New Roman" panose="02020603050405020304" charset="0"/>
                    <a:sym typeface="Times New Roman" panose="02020603050405020304" charset="0"/>
                  </a:rPr>
                  <a:t>m</a:t>
                </a:r>
                <a:r>
                  <a:rPr sz="1200">
                    <a:latin typeface="Times New Roman" panose="02020603050405020304" charset="0"/>
                    <a:ea typeface="Times New Roman" panose="02020603050405020304" charset="0"/>
                    <a:cs typeface="Times New Roman" panose="02020603050405020304" charset="0"/>
                    <a:sym typeface="Times New Roman" panose="02020603050405020304" charset="0"/>
                  </a:rPr>
                  <a:t>）</a:t>
                </a:r>
                <a:endParaRPr sz="1200">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manualLayout>
              <c:xMode val="edge"/>
              <c:yMode val="edge"/>
              <c:x val="0.47810534591195"/>
              <c:y val="0.872585963259538"/>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68539989"/>
        <c:crosses val="autoZero"/>
        <c:crossBetween val="midCat"/>
      </c:valAx>
      <c:valAx>
        <c:axId val="868539989"/>
        <c:scaling>
          <c:orientation val="minMax"/>
        </c:scaling>
        <c:delete val="0"/>
        <c:axPos val="l"/>
        <c:title>
          <c:tx>
            <c:rich>
              <a:bodyPr rot="-5400000" spcFirstLastPara="0" vertOverflow="ellipsis" vert="horz" wrap="square" anchor="ctr" anchorCtr="1"/>
              <a:lstStyle/>
              <a:p>
                <a:pPr defTabSz="914400">
                  <a:defRPr lang="zh-CN"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sz="1200">
                    <a:latin typeface="Times New Roman" panose="02020603050405020304" charset="0"/>
                    <a:ea typeface="Times New Roman" panose="02020603050405020304" charset="0"/>
                    <a:cs typeface="Times New Roman" panose="02020603050405020304" charset="0"/>
                    <a:sym typeface="Times New Roman" panose="02020603050405020304" charset="0"/>
                  </a:rPr>
                  <a:t>E(V/m)</a:t>
                </a:r>
                <a:endParaRPr lang="en-US" altLang="zh-CN" sz="1200">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manualLayout>
              <c:xMode val="edge"/>
              <c:yMode val="edge"/>
              <c:x val="0.0151991614255765"/>
              <c:y val="0.317522373999058"/>
            </c:manualLayout>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829294923"/>
        <c:crosses val="autoZero"/>
        <c:crossBetween val="midCat"/>
      </c:valAx>
      <c:spPr>
        <a:noFill/>
        <a:ln w="9525" cap="flat" cmpd="sng" algn="ctr">
          <a:solidFill>
            <a:schemeClr val="tx1">
              <a:lumMod val="15000"/>
              <a:lumOff val="85000"/>
            </a:schemeClr>
          </a:solidFill>
          <a:round/>
        </a:ln>
        <a:effectLst/>
      </c:spPr>
    </c:plotArea>
    <c:plotVisOnly val="1"/>
    <c:dispBlanksAs val="gap"/>
    <c:showDLblsOverMax val="0"/>
    <c:extLst>
      <c:ext uri="{0b15fc19-7d7d-44ad-8c2d-2c3a37ce22c3}">
        <chartProps xmlns="https://web.wps.cn/et/2018/main" chartId="{ad6d202e-3f65-48b1-8192-78ac9948ae5f}"/>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
        <c:varyColors val="0"/>
        <c:ser>
          <c:idx val="0"/>
          <c:order val="0"/>
          <c:spPr>
            <a:ln w="19050" cap="rnd">
              <a:solidFill>
                <a:schemeClr val="accent2"/>
              </a:solidFill>
              <a:round/>
            </a:ln>
            <a:effectLst/>
          </c:spPr>
          <c:marker>
            <c:symbol val="none"/>
          </c:marker>
          <c:dLbls>
            <c:delete val="1"/>
          </c:dLbls>
          <c:xVal>
            <c:numRef>
              <c:f>[工作簿3]Sheet1!$J$15:$J$24</c:f>
              <c:numCache>
                <c:formatCode>General</c:formatCode>
                <c:ptCount val="10"/>
                <c:pt idx="0">
                  <c:v>5</c:v>
                </c:pt>
                <c:pt idx="1">
                  <c:v>10</c:v>
                </c:pt>
                <c:pt idx="2">
                  <c:v>15</c:v>
                </c:pt>
                <c:pt idx="3">
                  <c:v>20</c:v>
                </c:pt>
                <c:pt idx="4">
                  <c:v>25</c:v>
                </c:pt>
                <c:pt idx="5">
                  <c:v>30</c:v>
                </c:pt>
                <c:pt idx="6">
                  <c:v>35</c:v>
                </c:pt>
                <c:pt idx="7">
                  <c:v>40</c:v>
                </c:pt>
                <c:pt idx="8">
                  <c:v>45</c:v>
                </c:pt>
                <c:pt idx="9">
                  <c:v>50</c:v>
                </c:pt>
              </c:numCache>
            </c:numRef>
          </c:xVal>
          <c:yVal>
            <c:numRef>
              <c:f>[工作簿3]Sheet1!$K$15:$K$24</c:f>
              <c:numCache>
                <c:formatCode>General</c:formatCode>
                <c:ptCount val="10"/>
                <c:pt idx="0">
                  <c:v>0.9024</c:v>
                </c:pt>
                <c:pt idx="1">
                  <c:v>0.9546</c:v>
                </c:pt>
                <c:pt idx="2">
                  <c:v>0.7871</c:v>
                </c:pt>
                <c:pt idx="3">
                  <c:v>0.6318</c:v>
                </c:pt>
                <c:pt idx="4">
                  <c:v>0.4345</c:v>
                </c:pt>
                <c:pt idx="5">
                  <c:v>0.522</c:v>
                </c:pt>
                <c:pt idx="6">
                  <c:v>0.4863</c:v>
                </c:pt>
                <c:pt idx="7">
                  <c:v>0.4277</c:v>
                </c:pt>
                <c:pt idx="8">
                  <c:v>0.3497</c:v>
                </c:pt>
                <c:pt idx="9">
                  <c:v>0.275</c:v>
                </c:pt>
              </c:numCache>
            </c:numRef>
          </c:yVal>
          <c:smooth val="1"/>
        </c:ser>
        <c:dLbls>
          <c:showLegendKey val="0"/>
          <c:showVal val="0"/>
          <c:showCatName val="0"/>
          <c:showSerName val="0"/>
          <c:showPercent val="0"/>
          <c:showBubbleSize val="0"/>
        </c:dLbls>
        <c:axId val="404993814"/>
        <c:axId val="720301616"/>
      </c:scatterChart>
      <c:valAx>
        <c:axId val="404993814"/>
        <c:scaling>
          <c:orientation val="minMax"/>
        </c:scaling>
        <c:delete val="0"/>
        <c:axPos val="b"/>
        <c:title>
          <c:tx>
            <c:rich>
              <a:bodyPr rot="0" spcFirstLastPara="0" vertOverflow="ellipsis" vert="horz" wrap="square" anchor="ctr" anchorCtr="1"/>
              <a:lstStyle/>
              <a:p>
                <a:pPr defTabSz="914400">
                  <a:defRPr lang="zh-CN"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sz="1200">
                    <a:latin typeface="Times New Roman" panose="02020603050405020304" charset="0"/>
                    <a:ea typeface="Times New Roman" panose="02020603050405020304" charset="0"/>
                    <a:cs typeface="Times New Roman" panose="02020603050405020304" charset="0"/>
                    <a:sym typeface="Times New Roman" panose="02020603050405020304" charset="0"/>
                  </a:rPr>
                  <a:t>距离（m）</a:t>
                </a:r>
                <a:endParaRPr sz="1200">
                  <a:latin typeface="Times New Roman" panose="02020603050405020304" charset="0"/>
                  <a:ea typeface="Times New Roman" panose="02020603050405020304" charset="0"/>
                  <a:cs typeface="Times New Roman" panose="02020603050405020304" charset="0"/>
                  <a:sym typeface="Times New Roman" panose="02020603050405020304" charset="0"/>
                </a:endParaRPr>
              </a:p>
              <a:p>
                <a:pPr defTabSz="914400">
                  <a:defRPr lang="zh-CN"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sz="1200">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720301616"/>
        <c:crosses val="autoZero"/>
        <c:crossBetween val="midCat"/>
      </c:valAx>
      <c:valAx>
        <c:axId val="720301616"/>
        <c:scaling>
          <c:orientation val="minMax"/>
        </c:scaling>
        <c:delete val="0"/>
        <c:axPos val="l"/>
        <c:title>
          <c:tx>
            <c:rich>
              <a:bodyPr rot="-5400000" spcFirstLastPara="0" vertOverflow="ellipsis" vert="horz" wrap="square" anchor="ctr" anchorCtr="1"/>
              <a:lstStyle/>
              <a:p>
                <a:pPr defTabSz="914400">
                  <a:defRPr lang="zh-CN"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n-US" altLang="zh-CN" sz="1200">
                    <a:latin typeface="Times New Roman" panose="02020603050405020304" charset="0"/>
                    <a:ea typeface="Times New Roman" panose="02020603050405020304" charset="0"/>
                    <a:cs typeface="Times New Roman" panose="02020603050405020304" charset="0"/>
                    <a:sym typeface="Times New Roman" panose="02020603050405020304" charset="0"/>
                  </a:rPr>
                  <a:t>H</a:t>
                </a:r>
                <a:r>
                  <a:rPr altLang="en-US" sz="1200">
                    <a:latin typeface="Times New Roman" panose="02020603050405020304" charset="0"/>
                    <a:ea typeface="Times New Roman" panose="02020603050405020304" charset="0"/>
                    <a:cs typeface="Times New Roman" panose="02020603050405020304" charset="0"/>
                    <a:sym typeface="Times New Roman" panose="02020603050405020304" charset="0"/>
                  </a:rPr>
                  <a:t>（</a:t>
                </a:r>
                <a:r>
                  <a:rPr lang="en-US" altLang="zh-CN" sz="1200">
                    <a:latin typeface="Times New Roman" panose="02020603050405020304" charset="0"/>
                    <a:ea typeface="Times New Roman" panose="02020603050405020304" charset="0"/>
                    <a:cs typeface="Times New Roman" panose="02020603050405020304" charset="0"/>
                    <a:sym typeface="Times New Roman" panose="02020603050405020304" charset="0"/>
                  </a:rPr>
                  <a:t>μT</a:t>
                </a:r>
                <a:r>
                  <a:rPr altLang="en-US" sz="1200">
                    <a:latin typeface="Times New Roman" panose="02020603050405020304" charset="0"/>
                    <a:ea typeface="Times New Roman" panose="02020603050405020304" charset="0"/>
                    <a:cs typeface="Times New Roman" panose="02020603050405020304" charset="0"/>
                    <a:sym typeface="Times New Roman" panose="02020603050405020304" charset="0"/>
                  </a:rPr>
                  <a:t>）</a:t>
                </a:r>
                <a:endParaRPr lang="en-US" altLang="zh-CN" sz="1200">
                  <a:latin typeface="Times New Roman" panose="02020603050405020304" charset="0"/>
                  <a:ea typeface="Times New Roman" panose="02020603050405020304" charset="0"/>
                  <a:cs typeface="Times New Roman" panose="02020603050405020304" charset="0"/>
                  <a:sym typeface="Times New Roman" panose="02020603050405020304" charset="0"/>
                </a:endParaRPr>
              </a:p>
            </c:rich>
          </c:tx>
          <c:layout/>
          <c:overlay val="0"/>
          <c:spPr>
            <a:noFill/>
            <a:ln>
              <a:noFill/>
            </a:ln>
            <a:effectLst/>
          </c:sp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0"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404993814"/>
        <c:crosses val="autoZero"/>
        <c:crossBetween val="midCat"/>
      </c:valAx>
      <c:spPr>
        <a:noFill/>
        <a:ln w="9525" cap="flat" cmpd="sng" algn="ctr">
          <a:solidFill>
            <a:schemeClr val="tx1">
              <a:lumMod val="15000"/>
              <a:lumOff val="85000"/>
            </a:schemeClr>
          </a:solidFill>
          <a:round/>
        </a:ln>
        <a:effectLst/>
      </c:spPr>
    </c:plotArea>
    <c:plotVisOnly val="1"/>
    <c:dispBlanksAs val="gap"/>
    <c:showDLblsOverMax val="0"/>
    <c:extLst>
      <c:ext uri="{0b15fc19-7d7d-44ad-8c2d-2c3a37ce22c3}">
        <chartProps xmlns="https://web.wps.cn/et/2018/main" chartId="{9f8cc169-38eb-4d93-9e12-9bff982e8eae}"/>
      </c:ext>
    </c:extLst>
  </c:chart>
  <c:spPr>
    <a:solidFill>
      <a:schemeClr val="bg1"/>
    </a:solidFill>
    <a:ln w="9525" cap="flat" cmpd="sng" algn="ctr">
      <a:solidFill>
        <a:schemeClr val="tx1">
          <a:lumMod val="15000"/>
          <a:lumOff val="85000"/>
        </a:schemeClr>
      </a:solidFill>
      <a:round/>
    </a:ln>
    <a:effectLst/>
  </c:spPr>
  <c:txPr>
    <a:bodyPr/>
    <a:lstStyle/>
    <a:p>
      <a:pPr>
        <a:defRPr lang="zh-CN" sz="1200">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19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w="19050" cap="rnd">
        <a:solidFill>
          <a:schemeClr val="phClr"/>
        </a:solidFill>
        <a:round/>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spPr>
      <a:ln w="9525" cap="flat" cmpd="sng" algn="ctr">
        <a:solidFill>
          <a:schemeClr val="tx1">
            <a:lumMod val="15000"/>
            <a:lumOff val="85000"/>
          </a:schemeClr>
        </a:solidFill>
        <a:round/>
      </a:ln>
    </cs:spPr>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19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w="19050" cap="rnd">
        <a:solidFill>
          <a:schemeClr val="phClr"/>
        </a:solidFill>
        <a:round/>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spPr>
      <a:ln w="9525" cap="flat" cmpd="sng" algn="ctr">
        <a:solidFill>
          <a:schemeClr val="tx1">
            <a:lumMod val="15000"/>
            <a:lumOff val="85000"/>
          </a:schemeClr>
        </a:solidFill>
        <a:round/>
      </a:ln>
    </cs:spPr>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48e5e1a8-8c00-4a02-bcc0-16fbf8e536ef</errorID>
      <errorWord>站站</errorWord>
      <group>L1_Word</group>
      <groupName>字词问题</groupName>
      <ability>L2_Typo</ability>
      <abilityName>字词错误</abilityName>
      <candidateList>
        <item>站</item>
      </candidateList>
      <explain/>
      <paraID>652204DE</paraID>
      <start>6</start>
      <end>8</end>
      <status>ignored</status>
      <modifiedWord/>
      <trackRevisions>false</trackRevisions>
    </reviewItem>
    <reviewItem>
      <errorID>9134ea38-2f0e-4689-87a2-dc72e6ffbfa7</errorID>
      <errorWord>（</errorWord>
      <group>L1_Format</group>
      <groupName>格式问题</groupName>
      <ability>L2_HalfPunc_CN</ability>
      <abilityName>全半角问题</abilityName>
      <candidateList>
        <item>(</item>
      </candidateList>
      <explain>文本全半角错误。</explain>
      <paraID> 4586C11</paraID>
      <start>0</start>
      <end>1</end>
      <status>ignored</status>
      <modifiedWord/>
      <trackRevisions>false</trackRevisions>
    </reviewItem>
    <reviewItem>
      <errorID>e3b1b748-cb60-4002-8042-10c53c19576e</errorID>
      <errorWord>）</errorWord>
      <group>L1_Format</group>
      <groupName>格式问题</groupName>
      <ability>L2_HalfPunc_CN</ability>
      <abilityName>全半角问题</abilityName>
      <candidateList>
        <item>)</item>
      </candidateList>
      <explain>文本全半角错误。</explain>
      <paraID> 4586C11</paraID>
      <start>4</start>
      <end>5</end>
      <status>ignored</status>
      <modifiedWord/>
      <trackRevisions>false</trackRevisions>
    </reviewItem>
    <reviewItem>
      <errorID>b42d7c84-be56-4062-8662-165d7db029a9</errorID>
      <errorWord>生态红线</errorWord>
      <group>L1_Political</group>
      <groupName>政治性问题</groupName>
      <ability>L2_Unpolitical</ability>
      <abilityName>政治敏感错误</abilityName>
      <candidateList>
        <item>生态保护红线</item>
      </candidateList>
      <explain/>
      <paraID>4BC8F75E</paraID>
      <start>50</start>
      <end>56</end>
      <status>modified</status>
      <modifiedWord>生态保护红线</modifiedWord>
      <trackRevisions>false</trackRevisions>
    </reviewItem>
    <reviewItem>
      <errorID>9b447836-30e5-4b3e-b016-a6cf3227bcc1</errorID>
      <errorWord>(</errorWord>
      <group>L1_Format</group>
      <groupName>格式问题</groupName>
      <ability>L2_HalfPunc_CN</ability>
      <abilityName>全半角问题</abilityName>
      <candidateList>
        <item>（</item>
      </candidateList>
      <explain>文本全半角错误。</explain>
      <paraID> DC23E9C</paraID>
      <start>18</start>
      <end>19</end>
      <status>ignored</status>
      <modifiedWord/>
      <trackRevisions>false</trackRevisions>
    </reviewItem>
    <reviewItem>
      <errorID>29609a2b-c35a-499c-b83c-a168b0b36666</errorID>
      <errorWord>)</errorWord>
      <group>L1_Format</group>
      <groupName>格式问题</groupName>
      <ability>L2_HalfPunc_CN</ability>
      <abilityName>全半角问题</abilityName>
      <candidateList>
        <item>）</item>
      </candidateList>
      <explain>文本全半角错误。</explain>
      <paraID> DC23E9C</paraID>
      <start>21</start>
      <end>22</end>
      <status>ignored</status>
      <modifiedWord/>
      <trackRevisions>false</trackRevisions>
    </reviewItem>
    <reviewItem>
      <errorID>d5b37f4e-bac2-462d-b9ad-fa2be68e2d3a</errorID>
      <errorWord>(</errorWord>
      <group>L1_Format</group>
      <groupName>格式问题</groupName>
      <ability>L2_HalfPunc_CN</ability>
      <abilityName>全半角问题</abilityName>
      <candidateList>
        <item>（</item>
      </candidateList>
      <explain>文本全半角错误。</explain>
      <paraID>653E747E</paraID>
      <start>18</start>
      <end>19</end>
      <status>ignored</status>
      <modifiedWord/>
      <trackRevisions>false</trackRevisions>
    </reviewItem>
    <reviewItem>
      <errorID>c12c7417-eb93-4bed-aad3-ddcdfe0d6889</errorID>
      <errorWord>)</errorWord>
      <group>L1_Format</group>
      <groupName>格式问题</groupName>
      <ability>L2_HalfPunc_CN</ability>
      <abilityName>全半角问题</abilityName>
      <candidateList>
        <item>）</item>
      </candidateList>
      <explain>文本全半角错误。</explain>
      <paraID>653E747E</paraID>
      <start>21</start>
      <end>22</end>
      <status>ignored</status>
      <modifiedWord/>
      <trackRevisions>false</trackRevisions>
    </reviewItem>
    <reviewItem>
      <errorID>8cad82da-e7ec-4758-ac8b-1168388382d7</errorID>
      <errorWord>生态红线</errorWord>
      <group>L1_Political</group>
      <groupName>政治性问题</groupName>
      <ability>L2_Unpolitical</ability>
      <abilityName>政治敏感错误</abilityName>
      <candidateList>
        <item>生态保护红线</item>
      </candidateList>
      <explain/>
      <paraID>653E747E</paraID>
      <start>70</start>
      <end>76</end>
      <status>modified</status>
      <modifiedWord>生态保护红线</modifiedWord>
      <trackRevisions>false</trackRevisions>
    </reviewItem>
    <reviewItem>
      <errorID>23b7b970-3ed6-4781-ab89-c8019a045bda</errorID>
      <errorWord>(</errorWord>
      <group>L1_Format</group>
      <groupName>格式问题</groupName>
      <ability>L2_HalfPunc_CN</ability>
      <abilityName>全半角问题</abilityName>
      <candidateList>
        <item>（</item>
      </candidateList>
      <explain>文本全半角错误。</explain>
      <paraID>44145536</paraID>
      <start>46</start>
      <end>47</end>
      <status>ignored</status>
      <modifiedWord/>
      <trackRevisions>false</trackRevisions>
    </reviewItem>
    <reviewItem>
      <errorID>1bc59455-579e-42ac-bfec-a97dbfe43bfe</errorID>
      <errorWord>(</errorWord>
      <group>L1_Format</group>
      <groupName>格式问题</groupName>
      <ability>L2_HalfPunc_CN</ability>
      <abilityName>全半角问题</abilityName>
      <candidateList>
        <item>（</item>
      </candidateList>
      <explain>文本全半角错误。</explain>
      <paraID>44145536</paraID>
      <start>135</start>
      <end>136</end>
      <status>ignored</status>
      <modifiedWord/>
      <trackRevisions>false</trackRevisions>
    </reviewItem>
    <reviewItem>
      <errorID>b2e58a9b-4be9-45a8-bb4c-2c2321aa31a4</errorID>
      <errorWord>(</errorWord>
      <group>L1_Format</group>
      <groupName>格式问题</groupName>
      <ability>L2_HalfPunc_CN</ability>
      <abilityName>全半角问题</abilityName>
      <candidateList>
        <item>（</item>
      </candidateList>
      <explain>文本全半角错误。</explain>
      <paraID> A47B14A</paraID>
      <start>114</start>
      <end>115</end>
      <status>ignored</status>
      <modifiedWord/>
      <trackRevisions>false</trackRevisions>
    </reviewItem>
    <reviewItem>
      <errorID>662bc4cc-73af-4769-b387-edad95d9ce0e</errorID>
      <errorWord>)</errorWord>
      <group>L1_Format</group>
      <groupName>格式问题</groupName>
      <ability>L2_HalfPunc_CN</ability>
      <abilityName>全半角问题</abilityName>
      <candidateList>
        <item>）</item>
      </candidateList>
      <explain>文本全半角错误。</explain>
      <paraID> A47B14A</paraID>
      <start>126</start>
      <end>127</end>
      <status>ignored</status>
      <modifiedWord/>
      <trackRevisions>false</trackRevisions>
    </reviewItem>
    <reviewItem>
      <errorID>a943d778-4e0b-44d4-9298-edb343f1d63d</errorID>
      <errorWord>，在</errorWord>
      <group>L1_Grammar</group>
      <groupName>语法问题</groupName>
      <ability>L2_Order</ability>
      <abilityName>语序不当</abilityName>
      <candidateList>
        <item>，</item>
      </candidateList>
      <explain>句子可能没有遵循时空、逻辑顺序，或者介词、关联词等位置不当。</explain>
      <paraID> 20DAAE3</paraID>
      <start>80</start>
      <end>82</end>
      <status>ignored</status>
      <modifiedWord/>
      <trackRevisions>false</trackRevisions>
    </reviewItem>
    <reviewItem>
      <errorID>ff903087-3f94-4bc1-9628-d2c4b2f75bd2</errorID>
      <errorWord>(</errorWord>
      <group>L1_Format</group>
      <groupName>格式问题</groupName>
      <ability>L2_HalfPunc_CN</ability>
      <abilityName>全半角问题</abilityName>
      <candidateList>
        <item>（</item>
      </candidateList>
      <explain>文本全半角错误。</explain>
      <paraID>7ACC9EB5</paraID>
      <start>29</start>
      <end>30</end>
      <status>ignored</status>
      <modifiedWord/>
      <trackRevisions>false</trackRevisions>
    </reviewItem>
    <reviewItem>
      <errorID>dac63752-33df-4c85-ab46-d74ec24d2751</errorID>
      <errorWord>)</errorWord>
      <group>L1_Format</group>
      <groupName>格式问题</groupName>
      <ability>L2_HalfPunc_CN</ability>
      <abilityName>全半角问题</abilityName>
      <candidateList>
        <item>）</item>
      </candidateList>
      <explain>文本全半角错误。</explain>
      <paraID>7ACC9EB5</paraID>
      <start>32</start>
      <end>33</end>
      <status>ignored</status>
      <modifiedWord/>
      <trackRevisions>false</trackRevisions>
    </reviewItem>
    <reviewItem>
      <errorID>da4c3e87-6a51-430f-9998-201631f18524</errorID>
      <errorWord>日正式实施</errorWord>
      <group>L1_Word</group>
      <groupName>字词问题</groupName>
      <ability>L2_Typo</ability>
      <abilityName>字词错误</abilityName>
      <candidateList>
        <item>日起正式实施</item>
      </candidateList>
      <explain/>
      <paraID>4DC5958A</paraID>
      <start>83</start>
      <end>89</end>
      <status>modified</status>
      <modifiedWord>日起正式实施</modifiedWord>
      <trackRevisions>false</trackRevisions>
    </reviewItem>
    <reviewItem>
      <errorID>54d962f4-55c6-42df-a767-09747ef00e10</errorID>
      <errorWord>(</errorWord>
      <group>L1_Format</group>
      <groupName>格式问题</groupName>
      <ability>L2_HalfPunc_CN</ability>
      <abilityName>全半角问题</abilityName>
      <candidateList>
        <item>（</item>
      </candidateList>
      <explain>文本全半角错误。</explain>
      <paraID>198A3176</paraID>
      <start>165</start>
      <end>166</end>
      <status>ignored</status>
      <modifiedWord/>
      <trackRevisions>false</trackRevisions>
    </reviewItem>
    <reviewItem>
      <errorID>d598fe0c-900b-4c93-899c-3efa4aed49f5</errorID>
      <errorWord>)</errorWord>
      <group>L1_Format</group>
      <groupName>格式问题</groupName>
      <ability>L2_HalfPunc_CN</ability>
      <abilityName>全半角问题</abilityName>
      <candidateList>
        <item>）</item>
      </candidateList>
      <explain>文本全半角错误。</explain>
      <paraID>198A3176</paraID>
      <start>171</start>
      <end>172</end>
      <status>ignored</status>
      <modifiedWord/>
      <trackRevisions>false</trackRevisions>
    </reviewItem>
    <reviewItem>
      <errorID>c906adff-9971-44cd-acfa-f28835d5f5a5</errorID>
      <errorWord>，</errorWord>
      <group>L1_Grammar</group>
      <groupName>语法问题</groupName>
      <ability>L2_Missing</ability>
      <abilityName>成分残缺</abilityName>
      <candidateList>
        <item>力度，</item>
      </candidateList>
      <explain>句子中可能存在主谓宾、修饰语或者必要的词语残缺。</explain>
      <paraID>461A6389</paraID>
      <start>11</start>
      <end>14</end>
      <status>modified</status>
      <modifiedWord>力度，</modifiedWord>
      <trackRevisions>false</trackRevisions>
    </reviewItem>
    <reviewItem>
      <errorID>131b5604-23b8-48be-9b72-c74b5969670c</errorID>
      <errorWord>(</errorWord>
      <group>L1_Format</group>
      <groupName>格式问题</groupName>
      <ability>L2_HalfPunc_CN</ability>
      <abilityName>全半角问题</abilityName>
      <candidateList>
        <item>（</item>
      </candidateList>
      <explain>文本全半角错误。</explain>
      <paraID>6F068A40</paraID>
      <start>151</start>
      <end>152</end>
      <status>ignored</status>
      <modifiedWord/>
      <trackRevisions>false</trackRevisions>
    </reviewItem>
    <reviewItem>
      <errorID>3287c5cd-e6a8-4440-aa87-2eeaee238fb0</errorID>
      <errorWord>)</errorWord>
      <group>L1_Format</group>
      <groupName>格式问题</groupName>
      <ability>L2_HalfPunc_CN</ability>
      <abilityName>全半角问题</abilityName>
      <candidateList>
        <item>）</item>
      </candidateList>
      <explain>文本全半角错误。</explain>
      <paraID>6F068A40</paraID>
      <start>178</start>
      <end>179</end>
      <status>ignored</status>
      <modifiedWord/>
      <trackRevisions>false</trackRevisions>
    </reviewItem>
    <reviewItem>
      <errorID>f3b234cd-9372-4562-b370-270511003f01</errorID>
      <errorWord>(</errorWord>
      <group>L1_Format</group>
      <groupName>格式问题</groupName>
      <ability>L2_HalfPunc_CN</ability>
      <abilityName>全半角问题</abilityName>
      <candidateList>
        <item>（</item>
      </candidateList>
      <explain>文本全半角错误。</explain>
      <paraID>6F068A40</paraID>
      <start>221</start>
      <end>222</end>
      <status>ignored</status>
      <modifiedWord/>
      <trackRevisions>false</trackRevisions>
    </reviewItem>
    <reviewItem>
      <errorID>2d84ce84-a49f-44eb-a2f9-12736b5307cf</errorID>
      <errorWord>)</errorWord>
      <group>L1_Format</group>
      <groupName>格式问题</groupName>
      <ability>L2_HalfPunc_CN</ability>
      <abilityName>全半角问题</abilityName>
      <candidateList>
        <item>）</item>
      </candidateList>
      <explain>文本全半角错误。</explain>
      <paraID>6F068A40</paraID>
      <start>247</start>
      <end>248</end>
      <status>ignored</status>
      <modifiedWord/>
      <trackRevisions>false</trackRevisions>
    </reviewItem>
    <reviewItem>
      <errorID>eda9b0d0-ce3d-4910-ae65-fe7a04ab285b</errorID>
      <errorWord>(</errorWord>
      <group>L1_Format</group>
      <groupName>格式问题</groupName>
      <ability>L2_HalfPunc_CN</ability>
      <abilityName>全半角问题</abilityName>
      <candidateList>
        <item>（</item>
      </candidateList>
      <explain>文本全半角错误。</explain>
      <paraID>6F068A40</paraID>
      <start>252</start>
      <end>253</end>
      <status>ignored</status>
      <modifiedWord/>
      <trackRevisions>false</trackRevisions>
    </reviewItem>
    <reviewItem>
      <errorID>6acbb439-5ee8-4d04-8eab-8356590ed59d</errorID>
      <errorWord>)</errorWord>
      <group>L1_Format</group>
      <groupName>格式问题</groupName>
      <ability>L2_HalfPunc_CN</ability>
      <abilityName>全半角问题</abilityName>
      <candidateList>
        <item>）</item>
      </candidateList>
      <explain>文本全半角错误。</explain>
      <paraID>6F068A40</paraID>
      <start>256</start>
      <end>257</end>
      <status>ignored</status>
      <modifiedWord/>
      <trackRevisions>false</trackRevisions>
    </reviewItem>
    <reviewItem>
      <errorID>925b8953-1600-4c22-9347-32c535eb9ade</errorID>
      <errorWord>(</errorWord>
      <group>L1_Format</group>
      <groupName>格式问题</groupName>
      <ability>L2_HalfPunc_CN</ability>
      <abilityName>全半角问题</abilityName>
      <candidateList>
        <item>（</item>
      </candidateList>
      <explain>文本全半角错误。</explain>
      <paraID>4D01AEA7</paraID>
      <start>96</start>
      <end>97</end>
      <status>ignored</status>
      <modifiedWord/>
      <trackRevisions>false</trackRevisions>
    </reviewItem>
    <reviewItem>
      <errorID>9d817a22-3fee-4f94-b4c1-96f76ca2124d</errorID>
      <errorWord>)</errorWord>
      <group>L1_Format</group>
      <groupName>格式问题</groupName>
      <ability>L2_HalfPunc_CN</ability>
      <abilityName>全半角问题</abilityName>
      <candidateList>
        <item>）</item>
      </candidateList>
      <explain>文本全半角错误。</explain>
      <paraID>4D01AEA7</paraID>
      <start>100</start>
      <end>101</end>
      <status>ignored</status>
      <modifiedWord/>
      <trackRevisions>false</trackRevisions>
    </reviewItem>
    <reviewItem>
      <errorID>d860c80f-30a3-4a89-aa0d-94a48798ae6d</errorID>
      <errorWord>(</errorWord>
      <group>L1_Format</group>
      <groupName>格式问题</groupName>
      <ability>L2_HalfPunc_CN</ability>
      <abilityName>全半角问题</abilityName>
      <candidateList>
        <item>（</item>
      </candidateList>
      <explain>文本全半角错误。</explain>
      <paraID>78FBDE3A</paraID>
      <start>61</start>
      <end>62</end>
      <status>ignored</status>
      <modifiedWord/>
      <trackRevisions>false</trackRevisions>
    </reviewItem>
    <reviewItem>
      <errorID>1ec11999-1983-4d92-a024-1de89ac15db3</errorID>
      <errorWord>)</errorWord>
      <group>L1_Format</group>
      <groupName>格式问题</groupName>
      <ability>L2_HalfPunc_CN</ability>
      <abilityName>全半角问题</abilityName>
      <candidateList>
        <item>）</item>
      </candidateList>
      <explain>文本全半角错误。</explain>
      <paraID>78FBDE3A</paraID>
      <start>64</start>
      <end>65</end>
      <status>ignored</status>
      <modifiedWord/>
      <trackRevisions>false</trackRevisions>
    </reviewItem>
    <reviewItem>
      <errorID>6ed5615f-5755-4667-bc37-c523783882bb</errorID>
      <errorWord>，使</errorWord>
      <group>L1_Grammar</group>
      <groupName>语法问题</groupName>
      <ability>L2_Missing</ability>
      <abilityName>成分残缺</abilityName>
      <candidateList>
        <item>，</item>
      </candidateList>
      <explain>句子中可能存在主谓宾、修饰语或者必要的词语残缺。</explain>
      <paraID>54CABB01</paraID>
      <start>77</start>
      <end>78</end>
      <status>modified</status>
      <modifiedWord>，</modifiedWord>
      <trackRevisions>false</trackRevisions>
    </reviewItem>
    <reviewItem>
      <errorID>ae8843b7-4aaf-4390-a655-bd6f51a69ac5</errorID>
      <errorWord>保障、</errorWord>
      <group>L1_Grammar</group>
      <groupName>语法问题</groupName>
      <ability>L2_Order</ability>
      <abilityName>语序不当</abilityName>
      <candidateList>
        <item>保障</item>
      </candidateList>
      <explain>句子可能没有遵循时空、逻辑顺序，或者介词、关联词等位置不当。</explain>
      <paraID>1D9D66A9</paraID>
      <start>56</start>
      <end>58</end>
      <status>modified</status>
      <modifiedWord>保障</modifiedWord>
      <trackRevisions>false</trackRevisions>
    </reviewItem>
    <reviewItem>
      <errorID>1e77f930-b222-46a6-9f94-7a8aa3256147</errorID>
      <errorWord>(</errorWord>
      <group>L1_Format</group>
      <groupName>格式问题</groupName>
      <ability>L2_HalfPunc_CN</ability>
      <abilityName>全半角问题</abilityName>
      <candidateList>
        <item>（</item>
      </candidateList>
      <explain>文本全半角错误。</explain>
      <paraID>601D09F3</paraID>
      <start>39</start>
      <end>40</end>
      <status>ignored</status>
      <modifiedWord/>
      <trackRevisions>false</trackRevisions>
    </reviewItem>
    <reviewItem>
      <errorID>3953557e-563f-4961-8f2f-98e6e1d413fd</errorID>
      <errorWord>)</errorWord>
      <group>L1_Format</group>
      <groupName>格式问题</groupName>
      <ability>L2_HalfPunc_CN</ability>
      <abilityName>全半角问题</abilityName>
      <candidateList>
        <item>）</item>
      </candidateList>
      <explain>文本全半角错误。</explain>
      <paraID>601D09F3</paraID>
      <start>42</start>
      <end>43</end>
      <status>ignored</status>
      <modifiedWord/>
      <trackRevisions>false</trackRevisions>
    </reviewItem>
    <reviewItem>
      <errorID>11559b43-1230-4f50-9a4e-ea7c179e48dc</errorID>
      <errorWord>。</errorWord>
      <group>L1_Grammar</group>
      <groupName>语法问题</groupName>
      <ability>L2_Missing</ability>
      <abilityName>成分残缺</abilityName>
      <candidateList>
        <item>常规能源。</item>
      </candidateList>
      <explain>句子中可能存在主谓宾、修饰语或者必要的词语残缺。</explain>
      <paraID> 3A37ECC</paraID>
      <start>15</start>
      <end>16</end>
      <status>ignored</status>
      <modifiedWord/>
      <trackRevisions>false</trackRevisions>
    </reviewItem>
    <reviewItem>
      <errorID>ad4f8a14-9cd3-434d-933f-6460a7d922c6</errorID>
      <errorWord>国家林业局</errorWord>
      <group>L1_Knowledge</group>
      <groupName>知识性问题</groupName>
      <ability>L2_Organization</ability>
      <abilityName>机构检查</abilityName>
      <candidateList>
        <item>国家林业和草原局</item>
      </candidateList>
      <explain>2018年3月，中共中央印发了《深化党和国家机构改革方案》，将国家林业局的职责，整合到新组建的国家林业和草原局。</explain>
      <paraID>46D68106</paraID>
      <start>160</start>
      <end>165</end>
      <status>ignored</status>
      <modifiedWord/>
      <trackRevisions>false</trackRevisions>
    </reviewItem>
    <reviewItem>
      <errorID>5adc43e0-8041-4501-9512-4977543b7a66</errorID>
      <errorWord>国家林业局</errorWord>
      <group>L1_Knowledge</group>
      <groupName>知识性问题</groupName>
      <ability>L2_Organization</ability>
      <abilityName>机构检查</abilityName>
      <candidateList>
        <item>国家林业和草原局</item>
      </candidateList>
      <explain>2018年3月，中共中央印发了《深化党和国家机构改革方案》，将国家林业局的职责，整合到新组建的国家林业和草原局。</explain>
      <paraID>60FD9E97</paraID>
      <start>160</start>
      <end>165</end>
      <status>ignored</status>
      <modifiedWord/>
      <trackRevisions>false</trackRevisions>
    </reviewItem>
    <reviewItem>
      <errorID>14f9cbe5-1d04-4f13-a74e-f5708aec8b6a</errorID>
      <errorWord>(</errorWord>
      <group>L1_Format</group>
      <groupName>格式问题</groupName>
      <ability>L2_HalfPunc_CN</ability>
      <abilityName>全半角问题</abilityName>
      <candidateList>
        <item>（</item>
      </candidateList>
      <explain>文本全半角错误。</explain>
      <paraID>1D116CE5</paraID>
      <start>20</start>
      <end>21</end>
      <status>ignored</status>
      <modifiedWord/>
      <trackRevisions>false</trackRevisions>
    </reviewItem>
    <reviewItem>
      <errorID>7097efe6-2977-4305-9f55-3fa90357dcf4</errorID>
      <errorWord>)</errorWord>
      <group>L1_Format</group>
      <groupName>格式问题</groupName>
      <ability>L2_HalfPunc_CN</ability>
      <abilityName>全半角问题</abilityName>
      <candidateList>
        <item>）</item>
      </candidateList>
      <explain>文本全半角错误。</explain>
      <paraID>1D116CE5</paraID>
      <start>23</start>
      <end>24</end>
      <status>ignored</status>
      <modifiedWord/>
      <trackRevisions>false</trackRevisions>
    </reviewItem>
    <reviewItem>
      <errorID>641dbefa-5bf0-42f5-a6c4-ff788f4f1c28</errorID>
      <errorWord>(</errorWord>
      <group>L1_Format</group>
      <groupName>格式问题</groupName>
      <ability>L2_HalfPunc_CN</ability>
      <abilityName>全半角问题</abilityName>
      <candidateList>
        <item>（</item>
      </candidateList>
      <explain>文本全半角错误。</explain>
      <paraID>1D116CE5</paraID>
      <start>109</start>
      <end>110</end>
      <status>ignored</status>
      <modifiedWord/>
      <trackRevisions>false</trackRevisions>
    </reviewItem>
    <reviewItem>
      <errorID>51dad22c-37b6-4ff4-8be8-030f233184b4</errorID>
      <errorWord>)</errorWord>
      <group>L1_Format</group>
      <groupName>格式问题</groupName>
      <ability>L2_HalfPunc_CN</ability>
      <abilityName>全半角问题</abilityName>
      <candidateList>
        <item>）</item>
      </candidateList>
      <explain>文本全半角错误。</explain>
      <paraID>1D116CE5</paraID>
      <start>112</start>
      <end>113</end>
      <status>ignored</status>
      <modifiedWord/>
      <trackRevisions>false</trackRevisions>
    </reviewItem>
    <reviewItem>
      <errorID>75271c52-a63c-4a25-95fd-166a3d2eafbb</errorID>
      <errorWord>(</errorWord>
      <group>L1_Format</group>
      <groupName>格式问题</groupName>
      <ability>L2_HalfPunc_CN</ability>
      <abilityName>全半角问题</abilityName>
      <candidateList>
        <item>（</item>
      </candidateList>
      <explain>文本全半角错误。</explain>
      <paraID>1D116CE5</paraID>
      <start>268</start>
      <end>269</end>
      <status>ignored</status>
      <modifiedWord/>
      <trackRevisions>false</trackRevisions>
    </reviewItem>
    <reviewItem>
      <errorID>fda46edd-f2b0-486c-b270-515547ffd829</errorID>
      <errorWord>)</errorWord>
      <group>L1_Format</group>
      <groupName>格式问题</groupName>
      <ability>L2_HalfPunc_CN</ability>
      <abilityName>全半角问题</abilityName>
      <candidateList>
        <item>）</item>
      </candidateList>
      <explain>文本全半角错误。</explain>
      <paraID>1D116CE5</paraID>
      <start>271</start>
      <end>272</end>
      <status>ignored</status>
      <modifiedWord/>
      <trackRevisions>false</trackRevisions>
    </reviewItem>
    <reviewItem>
      <errorID>b189170b-d008-42f9-9a65-2be7a3427520</errorID>
      <errorWord>。</errorWord>
      <group>L1_Grammar</group>
      <groupName>语法问题</groupName>
      <ability>L2_Missing</ability>
      <abilityName>成分残缺</abilityName>
      <candidateList>
        <item>的系统。</item>
      </candidateList>
      <explain>句子中可能存在主谓宾、修饰语或者必要的词语残缺。</explain>
      <paraID>3DCBE7DB</paraID>
      <start>35</start>
      <end>36</end>
      <status>ignored</status>
      <modifiedWord/>
      <trackRevisions>false</trackRevisions>
    </reviewItem>
    <reviewItem>
      <errorID>84688500-26ae-4f26-b006-e9207d72ca67</errorID>
      <errorWord>降低</errorWord>
      <group>L1_Grammar</group>
      <groupName>语法问题</groupName>
      <ability>L2_Collocation</ability>
      <abilityName>搭配不当</abilityName>
      <candidateList>
        <item>减少</item>
      </candidateList>
      <explain>句子中可能存在主谓、动宾、定语中心语、状语中心语、补语中心语、关联词搭配不当等问题。</explain>
      <paraID>315791E6</paraID>
      <start>17</start>
      <end>19</end>
      <status>modified</status>
      <modifiedWord>减少</modifiedWord>
      <trackRevisions>false</trackRevisions>
    </reviewItem>
    <reviewItem>
      <errorID>c3aca108-becb-4f4b-a8b1-1632efe6b813</errorID>
      <errorWord>污</errorWord>
      <group>L1_Grammar</group>
      <groupName>语法问题</groupName>
      <ability>L2_Collocation</ability>
      <abilityName>搭配不当</abilityName>
      <candidateList>
        <item>配备了污</item>
      </candidateList>
      <explain>句子中可能存在主谓、动宾、定语中心语、状语中心语、补语中心语、关联词搭配不当等问题。</explain>
      <paraID>37F8C11F</paraID>
      <start>22</start>
      <end>23</end>
      <status>ignored</status>
      <modifiedWord/>
      <trackRevisions>false</trackRevisions>
    </reviewItem>
    <reviewItem>
      <errorID>4389e21c-891d-44ae-90f8-f6013b9babdd</errorID>
      <errorWord>。</errorWord>
      <group>L1_Grammar</group>
      <groupName>语法问题</groupName>
      <ability>L2_Missing</ability>
      <abilityName>成分残缺</abilityName>
      <candidateList>
        <item>的措施。</item>
      </candidateList>
      <explain>句子中可能存在主谓宾、修饰语或者必要的词语残缺。</explain>
      <paraID>49B1A298</paraID>
      <start>53</start>
      <end>54</end>
      <status>ignored</status>
      <modifiedWord/>
      <trackRevisions>false</trackRevisions>
    </reviewItem>
    <reviewItem>
      <errorID>3b77ab24-ab91-4304-b849-2001b5504088</errorID>
      <errorWord>国家投资主管部门</errorWord>
      <group>L1_Political</group>
      <groupName>政治性问题</groupName>
      <ability>L2_Keyword</ability>
      <abilityName>固定表述</abilityName>
      <candidateList>
        <item>国务院投资主管部门</item>
      </candidateList>
      <explain>词汇“国务院投资主管部门”在特定场景下为固定表述形式，请确认此处的“国家投资主管部门”是否存在不当。</explain>
      <paraID>771B9035</paraID>
      <start>28</start>
      <end>36</end>
      <status>ignored</status>
      <modifiedWord/>
      <trackRevisions>false</trackRevisions>
    </reviewItem>
    <reviewItem>
      <errorID>ee897728-673a-442d-a92e-906ef7ee516b</errorID>
      <errorWord>与其符合性</errorWord>
      <group>L1_Grammar</group>
      <groupName>语法问题</groupName>
      <ability>L2_Order</ability>
      <abilityName>语序不当</abilityName>
      <candidateList>
        <item>符合性与其</item>
      </candidateList>
      <explain>句子可能没有遵循时空、逻辑顺序，或者介词、关联词等位置不当。</explain>
      <paraID> 7A5BF36</paraID>
      <start>85</start>
      <end>90</end>
      <status>ignored</status>
      <modifiedWord/>
      <trackRevisions>false</trackRevisions>
    </reviewItem>
    <reviewItem>
      <errorID>cf6d91c1-461c-4328-b378-f33ca3ca1b74</errorID>
      <errorWord>(</errorWord>
      <group>L1_Format</group>
      <groupName>格式问题</groupName>
      <ability>L2_HalfPunc_CN</ability>
      <abilityName>全半角问题</abilityName>
      <candidateList>
        <item>（</item>
      </candidateList>
      <explain>文本全半角错误。</explain>
      <paraID>37F2E0BD</paraID>
      <start>146</start>
      <end>147</end>
      <status>ignored</status>
      <modifiedWord/>
      <trackRevisions>false</trackRevisions>
    </reviewItem>
    <reviewItem>
      <errorID>738542bc-0f19-4653-8c9f-cfddc9b7687f</errorID>
      <errorWord>)</errorWord>
      <group>L1_Format</group>
      <groupName>格式问题</groupName>
      <ability>L2_HalfPunc_CN</ability>
      <abilityName>全半角问题</abilityName>
      <candidateList>
        <item>）</item>
      </candidateList>
      <explain>文本全半角错误。</explain>
      <paraID>37F2E0BD</paraID>
      <start>152</start>
      <end>153</end>
      <status>ignored</status>
      <modifiedWord/>
      <trackRevisions>false</trackRevisions>
    </reviewItem>
    <reviewItem>
      <errorID>53fb8ff8-6ce5-42a0-b18e-d8cd15429540</errorID>
      <errorWord>(</errorWord>
      <group>L1_Format</group>
      <groupName>格式问题</groupName>
      <ability>L2_HalfPunc_CN</ability>
      <abilityName>全半角问题</abilityName>
      <candidateList>
        <item>（</item>
      </candidateList>
      <explain>文本全半角错误。</explain>
      <paraID>37F2E0BD</paraID>
      <start>179</start>
      <end>180</end>
      <status>ignored</status>
      <modifiedWord/>
      <trackRevisions>false</trackRevisions>
    </reviewItem>
    <reviewItem>
      <errorID>30fa10ae-bbf2-48c2-ab0b-b82ec3e5c0b8</errorID>
      <errorWord>)</errorWord>
      <group>L1_Format</group>
      <groupName>格式问题</groupName>
      <ability>L2_HalfPunc_CN</ability>
      <abilityName>全半角问题</abilityName>
      <candidateList>
        <item>）</item>
      </candidateList>
      <explain>文本全半角错误。</explain>
      <paraID>37F2E0BD</paraID>
      <start>191</start>
      <end>192</end>
      <status>ignored</status>
      <modifiedWord/>
      <trackRevisions>false</trackRevisions>
    </reviewItem>
    <reviewItem>
      <errorID>daf12cb8-18f9-4902-abbc-31b081717137</errorID>
      <errorWord>(</errorWord>
      <group>L1_Format</group>
      <groupName>格式问题</groupName>
      <ability>L2_HalfPunc_CN</ability>
      <abilityName>全半角问题</abilityName>
      <candidateList>
        <item>（</item>
      </candidateList>
      <explain>文本全半角错误。</explain>
      <paraID>37F2E0BD</paraID>
      <start>226</start>
      <end>227</end>
      <status>ignored</status>
      <modifiedWord/>
      <trackRevisions>false</trackRevisions>
    </reviewItem>
    <reviewItem>
      <errorID>1d9c4bc0-8b41-4a4a-8449-add965a5c081</errorID>
      <errorWord>)</errorWord>
      <group>L1_Format</group>
      <groupName>格式问题</groupName>
      <ability>L2_HalfPunc_CN</ability>
      <abilityName>全半角问题</abilityName>
      <candidateList>
        <item>）</item>
      </candidateList>
      <explain>文本全半角错误。</explain>
      <paraID>37F2E0BD</paraID>
      <start>231</start>
      <end>232</end>
      <status>ignored</status>
      <modifiedWord/>
      <trackRevisions>false</trackRevisions>
    </reviewItem>
    <reviewItem>
      <errorID>241f5276-ae2e-436a-84f6-50b97e9edaa4</errorID>
      <errorWord>野牛动物</errorWord>
      <group>L1_Word</group>
      <groupName>字词问题</groupName>
      <ability>L2_Typo</ability>
      <abilityName>字词错误</abilityName>
      <candidateList>
        <item>野生动物</item>
      </candidateList>
      <explain/>
      <paraID>37F2E0BD</paraID>
      <start>246</start>
      <end>250</end>
      <status>modified</status>
      <modifiedWord>野生动物</modifiedWord>
      <trackRevisions>false</trackRevisions>
    </reviewItem>
    <reviewItem>
      <errorID>3926ced2-f9bf-45db-9268-75086c4361ad</errorID>
      <errorWord>(</errorWord>
      <group>L1_Format</group>
      <groupName>格式问题</groupName>
      <ability>L2_HalfPunc_CN</ability>
      <abilityName>全半角问题</abilityName>
      <candidateList>
        <item>（</item>
      </candidateList>
      <explain>文本全半角错误。</explain>
      <paraID>37F2E0BD</paraID>
      <start>255</start>
      <end>256</end>
      <status>ignored</status>
      <modifiedWord/>
      <trackRevisions>false</trackRevisions>
    </reviewItem>
    <reviewItem>
      <errorID>ae5e6ac4-d40a-4a79-b49a-427a50da536a</errorID>
      <errorWord>)</errorWord>
      <group>L1_Format</group>
      <groupName>格式问题</groupName>
      <ability>L2_HalfPunc_CN</ability>
      <abilityName>全半角问题</abilityName>
      <candidateList>
        <item>）</item>
      </candidateList>
      <explain>文本全半角错误。</explain>
      <paraID>37F2E0BD</paraID>
      <start>260</start>
      <end>261</end>
      <status>ignored</status>
      <modifiedWord/>
      <trackRevisions>false</trackRevisions>
    </reviewItem>
    <reviewItem>
      <errorID>33c8e594-1707-44ff-a9ec-1944b1be8115</errorID>
      <errorWord>(</errorWord>
      <group>L1_Format</group>
      <groupName>格式问题</groupName>
      <ability>L2_HalfPunc_CN</ability>
      <abilityName>全半角问题</abilityName>
      <candidateList>
        <item>（</item>
      </candidateList>
      <explain>文本全半角错误。</explain>
      <paraID>6C15A84B</paraID>
      <start>102</start>
      <end>103</end>
      <status>ignored</status>
      <modifiedWord/>
      <trackRevisions>false</trackRevisions>
    </reviewItem>
    <reviewItem>
      <errorID>6a6fed69-bf80-44b5-9ab1-9babe29429ba</errorID>
      <errorWord>)</errorWord>
      <group>L1_Format</group>
      <groupName>格式问题</groupName>
      <ability>L2_HalfPunc_CN</ability>
      <abilityName>全半角问题</abilityName>
      <candidateList>
        <item>）</item>
      </candidateList>
      <explain>文本全半角错误。</explain>
      <paraID>6C15A84B</paraID>
      <start>107</start>
      <end>108</end>
      <status>ignored</status>
      <modifiedWord/>
      <trackRevisions>false</trackRevisions>
    </reviewItem>
    <reviewItem>
      <errorID>2c93cac9-5ec3-4ec9-8216-b0db87534555</errorID>
      <errorWord>湿地保护法</errorWord>
      <group>L1_Knowledge</group>
      <groupName>知识性问题</groupName>
      <ability>L2_Knowledge</ability>
      <abilityName>其他知识</abilityName>
      <candidateList>
        <item>中华人民共和国湿地保护法</item>
      </candidateList>
      <explain>当前法律法规名称使用简称，请注意是否应当使用全称。</explain>
      <paraID>75453D0B</paraID>
      <start>136</start>
      <end>141</end>
      <status>ignored</status>
      <modifiedWord/>
      <trackRevisions>false</trackRevisions>
    </reviewItem>
    <reviewItem>
      <errorID>0fc71a4f-547c-4de2-8b4f-81b9ece81770</errorID>
      <errorWord>野生动物保护法</errorWord>
      <group>L1_Knowledge</group>
      <groupName>知识性问题</groupName>
      <ability>L2_Knowledge</ability>
      <abilityName>其他知识</abilityName>
      <candidateList>
        <item>中华人民共和国野生动物保护法</item>
      </candidateList>
      <explain>当前法律法规名称使用简称，请注意是否应当使用全称。</explain>
      <paraID>75453D0B</paraID>
      <start>143</start>
      <end>150</end>
      <status>ignored</status>
      <modifiedWord/>
      <trackRevisions>false</trackRevisions>
    </reviewItem>
    <reviewItem>
      <errorID>9e1c11f6-7758-466e-ae0f-b25d9cede981</errorID>
      <errorWord>野生植物保护条例</errorWord>
      <group>L1_Knowledge</group>
      <groupName>知识性问题</groupName>
      <ability>L2_Knowledge</ability>
      <abilityName>其他知识</abilityName>
      <candidateList>
        <item>中华人民共和国野生植物保护条例</item>
      </candidateList>
      <explain>当前法律法规名称使用简称，请注意是否应当使用全称。</explain>
      <paraID>75453D0B</paraID>
      <start>152</start>
      <end>160</end>
      <status>ignored</status>
      <modifiedWord/>
      <trackRevisions>false</trackRevisions>
    </reviewItem>
    <reviewItem>
      <errorID>34d9df0f-954c-4cf2-92a8-369d14ccacd8</errorID>
      <errorWord>应与</errorWord>
      <group>L1_Word</group>
      <groupName>字词问题</groupName>
      <ability>L2_Typo</ability>
      <abilityName>字词错误</abilityName>
      <candidateList>
        <item>应予</item>
      </candidateList>
      <explain>存在发音相同字词的误用。</explain>
      <paraID>75453D0B</paraID>
      <start>275</start>
      <end>277</end>
      <status>modified</status>
      <modifiedWord>应予</modifiedWord>
      <trackRevisions>false</trackRevisions>
    </reviewItem>
    <reviewItem>
      <errorID>8639dcfc-f231-4b88-b429-54c5e5cbb1f2</errorID>
      <errorWord>-</errorWord>
      <group>L1_Format</group>
      <groupName>格式问题</groupName>
      <ability>L2_HalfPunc_CN</ability>
      <abilityName>全半角问题</abilityName>
      <candidateList>
        <item>－</item>
      </candidateList>
      <explain>文本全半角错误。</explain>
      <paraID>75453D0B</paraID>
      <start>281</start>
      <end>282</end>
      <status>modified</status>
      <modifiedWord>－</modifiedWord>
      <trackRevisions>false</trackRevisions>
    </reviewItem>
    <reviewItem>
      <errorID>295bb6c8-2d68-4984-a2a2-967327d78698</errorID>
      <errorWord>;</errorWord>
      <group>L1_Format</group>
      <groupName>格式问题</groupName>
      <ability>L2_HalfPunc_CN</ability>
      <abilityName>全半角问题</abilityName>
      <candidateList>
        <item>；</item>
      </candidateList>
      <explain>文本全半角错误。</explain>
      <paraID>5B22B5C4</paraID>
      <start>156</start>
      <end>157</end>
      <status>modified</status>
      <modifiedWord>；</modifiedWord>
      <trackRevisions>false</trackRevisions>
    </reviewItem>
    <reviewItem>
      <errorID>180ae2e0-2689-480c-91d9-57434e5d64f3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75261646</paraID>
      <start>105</start>
      <end>106</end>
      <status>ignored</status>
      <modifiedWord/>
      <trackRevisions>false</trackRevisions>
    </reviewItem>
    <reviewItem>
      <errorID>817d7b51-9dc1-419b-bbbb-ff22e9a03f5c</errorID>
      <errorWord>~</errorWord>
      <group>L1_Format</group>
      <groupName>格式问题</groupName>
      <ability>L2_HalfPunc_CN</ability>
      <abilityName>全半角问题</abilityName>
      <candidateList>
        <item>～</item>
      </candidateList>
      <explain>文本全半角错误。</explain>
      <paraID> E5726BD</paraID>
      <start>181</start>
      <end>182</end>
      <status>ignored</status>
      <modifiedWord/>
      <trackRevisions>false</trackRevisions>
    </reviewItem>
    <reviewItem>
      <errorID>be7b28e0-13eb-4be9-b1b1-5486fefd164b</errorID>
      <errorWord>~</errorWord>
      <group>L1_Format</group>
      <groupName>格式问题</groupName>
      <ability>L2_HalfPunc_CN</ability>
      <abilityName>全半角问题</abilityName>
      <candidateList>
        <item>～</item>
      </candidateList>
      <explain>文本全半角错误。</explain>
      <paraID> E5726BD</paraID>
      <start>194</start>
      <end>195</end>
      <status>ignored</status>
      <modifiedWord/>
      <trackRevisions>false</trackRevisions>
    </reviewItem>
    <reviewItem>
      <errorID>e8078409-048c-4bed-9988-499e7b714924</errorID>
      <errorWord>开挖为主</errorWord>
      <group>L1_Grammar</group>
      <groupName>语法问题</groupName>
      <ability>L2_Confusion</ability>
      <abilityName>结构混乱</abilityName>
      <candidateList>
        <item>开挖</item>
      </candidateList>
      <explain>句子中可能存在两种以上的句法结构，导致结构混乱。</explain>
      <paraID>580CD5ED</paraID>
      <start>7</start>
      <end>11</end>
      <status>ignored</status>
      <modifiedWord/>
      <trackRevisions>false</trackRevisions>
    </reviewItem>
    <reviewItem>
      <errorID>fba90b68-f2c7-4289-8449-caf27909d981</errorID>
      <errorWord>空中</errorWord>
      <group>L1_Word</group>
      <groupName>字词问题</groupName>
      <ability>L2_Typo</ability>
      <abilityName>字词错误</abilityName>
      <candidateList>
        <item>空</item>
      </candidateList>
      <explain/>
      <paraID>5CB4084A</paraID>
      <start>30</start>
      <end>31</end>
      <status>modified</status>
      <modifiedWord>空</modifiedWord>
      <trackRevisions>false</trackRevisions>
    </reviewItem>
    <reviewItem>
      <errorID>208ce023-54d8-458a-b6ac-1b50550c371e</errorID>
      <errorWord>属</errorWord>
      <group>L1_Word</group>
      <groupName>字词问题</groupName>
      <ability>L2_Typo</ability>
      <abilityName>字词错误</abilityName>
      <candidateList>
        <item>属于</item>
      </candidateList>
      <explain/>
      <paraID>264B5C21</paraID>
      <start>51</start>
      <end>53</end>
      <status>modified</status>
      <modifiedWord>属于</modifiedWord>
      <trackRevisions>false</trackRevisions>
    </reviewItem>
    <reviewItem>
      <errorID>b503c476-9bda-4020-ac5c-e1ae7393e4a8</errorID>
      <errorWord>-</errorWord>
      <group>L1_Format</group>
      <groupName>格式问题</groupName>
      <ability>L2_HalfPunc_CN</ability>
      <abilityName>全半角问题</abilityName>
      <candidateList>
        <item>－</item>
      </candidateList>
      <explain>文本全半角错误。</explain>
      <paraID>264B5C21</paraID>
      <start>56</start>
      <end>57</end>
      <status>modified</status>
      <modifiedWord>－</modifiedWord>
      <trackRevisions>false</trackRevisions>
    </reviewItem>
    <reviewItem>
      <errorID>aefba91c-361f-42e3-b681-f6585f90e062</errorID>
      <errorWord>因素</errorWord>
      <group>L1_Grammar</group>
      <groupName>语法问题</groupName>
      <ability>L2_Collocation</ability>
      <abilityName>搭配不当</abilityName>
      <candidateList>
        <item>区域</item>
      </candidateList>
      <explain>句子中可能存在主谓、动宾、定语中心语、状语中心语、补语中心语、关联词搭配不当等问题。</explain>
      <paraID>377832FE</paraID>
      <start>99</start>
      <end>101</end>
      <status>ignored</status>
      <modifiedWord/>
      <trackRevisions>false</trackRevisions>
    </reviewItem>
    <reviewItem>
      <errorID>bf758342-4ee1-40eb-92c0-e3132811960d</errorID>
      <errorWord>-</errorWord>
      <group>L1_Format</group>
      <groupName>格式问题</groupName>
      <ability>L2_HalfPunc_CN</ability>
      <abilityName>全半角问题</abilityName>
      <candidateList>
        <item>－</item>
      </candidateList>
      <explain>文本全半角错误。</explain>
      <paraID>5FA91C09</paraID>
      <start>104</start>
      <end>105</end>
      <status>ignored</status>
      <modifiedWord/>
      <trackRevisions>false</trackRevisions>
    </reviewItem>
    <reviewItem>
      <errorID>cce34e7e-bb24-41fc-be7a-ca6be8d08792</errorID>
      <errorWord>(</errorWord>
      <group>L1_Format</group>
      <groupName>格式问题</groupName>
      <ability>L2_HalfPunc_CN</ability>
      <abilityName>全半角问题</abilityName>
      <candidateList>
        <item>（</item>
      </candidateList>
      <explain>文本全半角错误。</explain>
      <paraID> E608AF0</paraID>
      <start>4</start>
      <end>5</end>
      <status>ignored</status>
      <modifiedWord/>
      <trackRevisions>false</trackRevisions>
    </reviewItem>
    <reviewItem>
      <errorID>988d83eb-814e-430d-b94e-acf0e2cd528f</errorID>
      <errorWord>)</errorWord>
      <group>L1_Format</group>
      <groupName>格式问题</groupName>
      <ability>L2_HalfPunc_CN</ability>
      <abilityName>全半角问题</abilityName>
      <candidateList>
        <item>）</item>
      </candidateList>
      <explain>文本全半角错误。</explain>
      <paraID> E608AF0</paraID>
      <start>8</start>
      <end>9</end>
      <status>ignored</status>
      <modifiedWord/>
      <trackRevisions>false</trackRevisions>
    </reviewItem>
    <reviewItem>
      <errorID>fb4a4b6c-16aa-4e34-b05e-156c6d110ae7</errorID>
      <errorWord>(</errorWord>
      <group>L1_Format</group>
      <groupName>格式问题</groupName>
      <ability>L2_HalfPunc_CN</ability>
      <abilityName>全半角问题</abilityName>
      <candidateList>
        <item>（</item>
      </candidateList>
      <explain>文本全半角错误。</explain>
      <paraID>4DAC3461</paraID>
      <start>4</start>
      <end>5</end>
      <status>ignored</status>
      <modifiedWord/>
      <trackRevisions>false</trackRevisions>
    </reviewItem>
    <reviewItem>
      <errorID>6f4bdb36-7ea7-4c6d-a240-a5e56e6e14a1</errorID>
      <errorWord>)</errorWord>
      <group>L1_Format</group>
      <groupName>格式问题</groupName>
      <ability>L2_HalfPunc_CN</ability>
      <abilityName>全半角问题</abilityName>
      <candidateList>
        <item>）</item>
      </candidateList>
      <explain>文本全半角错误。</explain>
      <paraID>4DAC3461</paraID>
      <start>8</start>
      <end>9</end>
      <status>ignored</status>
      <modifiedWord/>
      <trackRevisions>false</trackRevisions>
    </reviewItem>
    <reviewItem>
      <errorID>b4f7c99b-35ba-4924-af40-db99c1e4fddf</errorID>
      <errorWord>(</errorWord>
      <group>L1_Format</group>
      <groupName>格式问题</groupName>
      <ability>L2_HalfPunc_CN</ability>
      <abilityName>全半角问题</abilityName>
      <candidateList>
        <item>（</item>
      </candidateList>
      <explain>文本全半角错误。</explain>
      <paraID>5BB0AB6B</paraID>
      <start>4</start>
      <end>5</end>
      <status>ignored</status>
      <modifiedWord/>
      <trackRevisions>false</trackRevisions>
    </reviewItem>
    <reviewItem>
      <errorID>037ac436-6a33-4406-a6f0-ebb91b3d6dec</errorID>
      <errorWord>)</errorWord>
      <group>L1_Format</group>
      <groupName>格式问题</groupName>
      <ability>L2_HalfPunc_CN</ability>
      <abilityName>全半角问题</abilityName>
      <candidateList>
        <item>）</item>
      </candidateList>
      <explain>文本全半角错误。</explain>
      <paraID>5BB0AB6B</paraID>
      <start>7</start>
      <end>8</end>
      <status>ignored</status>
      <modifiedWord/>
      <trackRevisions>false</trackRevisions>
    </reviewItem>
    <reviewItem>
      <errorID>5f8a0530-d17c-4cc1-8b6c-35e6947d5621</errorID>
      <errorWord>(</errorWord>
      <group>L1_Format</group>
      <groupName>格式问题</groupName>
      <ability>L2_HalfPunc_CN</ability>
      <abilityName>全半角问题</abilityName>
      <candidateList>
        <item>（</item>
      </candidateList>
      <explain>文本全半角错误。</explain>
      <paraID>26971E31</paraID>
      <start>2</start>
      <end>3</end>
      <status>ignored</status>
      <modifiedWord/>
      <trackRevisions>false</trackRevisions>
    </reviewItem>
    <reviewItem>
      <errorID>348faf61-5aa0-47a1-8201-42948cf28cc1</errorID>
      <errorWord>)</errorWord>
      <group>L1_Format</group>
      <groupName>格式问题</groupName>
      <ability>L2_HalfPunc_CN</ability>
      <abilityName>全半角问题</abilityName>
      <candidateList>
        <item>）</item>
      </candidateList>
      <explain>文本全半角错误。</explain>
      <paraID>26971E31</paraID>
      <start>5</start>
      <end>6</end>
      <status>ignored</status>
      <modifiedWord/>
      <trackRevisions>false</trackRevisions>
    </reviewItem>
    <reviewItem>
      <errorID>775c7e2f-57a6-4232-95d1-b8be827a6a1e</errorID>
      <errorWord>(</errorWord>
      <group>L1_Format</group>
      <groupName>格式问题</groupName>
      <ability>L2_HalfPunc_CN</ability>
      <abilityName>全半角问题</abilityName>
      <candidateList>
        <item>（</item>
      </candidateList>
      <explain>文本全半角错误。</explain>
      <paraID>73395BEA</paraID>
      <start>3</start>
      <end>4</end>
      <status>ignored</status>
      <modifiedWord/>
      <trackRevisions>false</trackRevisions>
    </reviewItem>
    <reviewItem>
      <errorID>913a4ae7-2fd3-4229-9ea6-74a95e4799cc</errorID>
      <errorWord>)</errorWord>
      <group>L1_Format</group>
      <groupName>格式问题</groupName>
      <ability>L2_HalfPunc_CN</ability>
      <abilityName>全半角问题</abilityName>
      <candidateList>
        <item>）</item>
      </candidateList>
      <explain>文本全半角错误。</explain>
      <paraID>73395BEA</paraID>
      <start>19</start>
      <end>20</end>
      <status>ignored</status>
      <modifiedWord/>
      <trackRevisions>false</trackRevisions>
    </reviewItem>
    <reviewItem>
      <errorID>4e060647-ef41-4150-86ba-a8acf6fe1b6e</errorID>
      <errorWord>(</errorWord>
      <group>L1_Format</group>
      <groupName>格式问题</groupName>
      <ability>L2_HalfPunc_CN</ability>
      <abilityName>全半角问题</abilityName>
      <candidateList>
        <item>（</item>
      </candidateList>
      <explain>文本全半角错误。</explain>
      <paraID>331F79AF</paraID>
      <start>3</start>
      <end>4</end>
      <status>ignored</status>
      <modifiedWord/>
      <trackRevisions>false</trackRevisions>
    </reviewItem>
    <reviewItem>
      <errorID>1b2a44db-276d-4e64-b480-1322f9414587</errorID>
      <errorWord>)</errorWord>
      <group>L1_Format</group>
      <groupName>格式问题</groupName>
      <ability>L2_HalfPunc_CN</ability>
      <abilityName>全半角问题</abilityName>
      <candidateList>
        <item>）</item>
      </candidateList>
      <explain>文本全半角错误。</explain>
      <paraID>331F79AF</paraID>
      <start>21</start>
      <end>22</end>
      <status>ignored</status>
      <modifiedWord/>
      <trackRevisions>false</trackRevisions>
    </reviewItem>
    <reviewItem>
      <errorID>79ad9812-42aa-47f1-9ef5-7fdbf0fdd7c1</errorID>
      <errorWord>（</errorWord>
      <group>L1_Format</group>
      <groupName>格式问题</groupName>
      <ability>L2_HalfPunc_CN</ability>
      <abilityName>全半角问题</abilityName>
      <candidateList>
        <item>(</item>
      </candidateList>
      <explain>文本全半角错误。</explain>
      <paraID>62CB521E</paraID>
      <start>2</start>
      <end>3</end>
      <status>ignored</status>
      <modifiedWord/>
      <trackRevisions>false</trackRevisions>
    </reviewItem>
    <reviewItem>
      <errorID>19bd8d35-2355-4e8d-b361-3666d038b752</errorID>
      <errorWord>）</errorWord>
      <group>L1_Format</group>
      <groupName>格式问题</groupName>
      <ability>L2_HalfPunc_CN</ability>
      <abilityName>全半角问题</abilityName>
      <candidateList>
        <item>)</item>
      </candidateList>
      <explain>文本全半角错误。</explain>
      <paraID>62CB521E</paraID>
      <start>4</start>
      <end>5</end>
      <status>ignored</status>
      <modifiedWord/>
      <trackRevisions>false</trackRevisions>
    </reviewItem>
    <reviewItem>
      <errorID>866f1702-fd4b-42d9-bafe-34d9cdb8d12c</errorID>
      <errorWord>小</errorWord>
      <group>L1_Grammar</group>
      <groupName>语法问题</groupName>
      <ability>L2_Order</ability>
      <abilityName>语序不当</abilityName>
      <candidateList>
        <item>要小</item>
      </candidateList>
      <explain>句子可能没有遵循时空、逻辑顺序，或者介词、关联词等位置不当。</explain>
      <paraID>2F2FCA0D</paraID>
      <start>159</start>
      <end>161</end>
      <status>modified</status>
      <modifiedWord>要小</modifiedWord>
      <trackRevisions>false</trackRevisions>
    </reviewItem>
    <reviewItem>
      <errorID>f0d62b48-c247-4ef4-ad99-7d07d3954476</errorID>
      <errorWord>时禁止</errorWord>
      <group>L1_Grammar</group>
      <groupName>语法问题</groupName>
      <ability>L2_Illogical</ability>
      <abilityName>不合逻辑</abilityName>
      <candidateList>
        <item>时</item>
      </candidateList>
      <explain>句子中可能存在因果关系错误、自相矛盾、概念误用、主客倒置、否定不当、前后缺乏呼应等问题。</explain>
      <paraID>32A7DA15</paraID>
      <start>203</start>
      <end>206</end>
      <status>ignored</status>
      <modifiedWord/>
      <trackRevisions>false</trackRevisions>
    </reviewItem>
    <reviewItem>
      <errorID>a5548419-760a-48ee-823d-45e50e657fea</errorID>
      <errorWord>干扰能</errorWord>
      <group>L1_Knowledge</group>
      <groupName>知识性问题</groupName>
      <ability>L2_Term</ability>
      <abilityName>专业术语</abilityName>
      <candidateList>
        <item>干扰素</item>
      </candidateList>
      <explain>医学名词[干扰能]为不规范表述或旧称，其规范书面表述为[干扰素]。</explain>
      <paraID>32A7DA15</paraID>
      <start>282</start>
      <end>285</end>
      <status>ignored</status>
      <modifiedWord/>
      <trackRevisions>false</trackRevisions>
    </reviewItem>
    <reviewItem>
      <errorID>f6d02d35-4266-43a8-8c4f-7904331a62c2</errorID>
      <errorWord>施工营</errorWord>
      <group>L1_Word</group>
      <groupName>字词问题</groupName>
      <ability>L2_Typo</ability>
      <abilityName>字词错误</abilityName>
      <candidateList>
        <item>施工</item>
      </candidateList>
      <explain/>
      <paraID>1665FD79</paraID>
      <start>6</start>
      <end>9</end>
      <status>ignored</status>
      <modifiedWord/>
      <trackRevisions>false</trackRevisions>
    </reviewItem>
    <reviewItem>
      <errorID>3dc2cc4c-6086-4208-b87e-0ae325b238e3</errorID>
      <errorWord>恢复</errorWord>
      <group>L1_Grammar</group>
      <groupName>语法问题</groupName>
      <ability>L2_Collocation</ability>
      <abilityName>搭配不当</abilityName>
      <candidateList>
        <item>减小</item>
      </candidateList>
      <explain>句子中可能存在主谓、动宾、定语中心语、状语中心语、补语中心语、关联词搭配不当等问题。</explain>
      <paraID>2EB7F5B5</paraID>
      <start>267</start>
      <end>269</end>
      <status>ignored</status>
      <modifiedWord/>
      <trackRevisions>false</trackRevisions>
    </reviewItem>
    <reviewItem>
      <errorID>d7525632-f608-4101-81f2-b1dda2be929c</errorID>
      <errorWord>并</errorWord>
      <group>L1_Grammar</group>
      <groupName>语法问题</groupName>
      <ability>L2_Confusion</ability>
      <abilityName>结构混乱</abilityName>
      <candidateList>
        <item>电磁振动</item>
      </candidateList>
      <explain>句子中可能存在两种以上的句法结构，导致结构混乱。</explain>
      <paraID>47C3CDEE</paraID>
      <start>110</start>
      <end>111</end>
      <status>ignored</status>
      <modifiedWord/>
      <trackRevisions>false</trackRevisions>
    </reviewItem>
    <reviewItem>
      <errorID>7ae1b404-0933-4324-a967-87e9d7937902</errorID>
      <errorWord>.</errorWord>
      <group>L1_Format</group>
      <groupName>格式问题</groupName>
      <ability>L2_HalfPunc_CN</ability>
      <abilityName>全半角问题</abilityName>
      <candidateList>
        <item>。</item>
      </candidateList>
      <explain>文本全半角错误。</explain>
      <paraID>47C3CDEE</paraID>
      <start>248</start>
      <end>249</end>
      <status>ignored</status>
      <modifiedWord/>
      <trackRevisions>false</trackRevisions>
    </reviewItem>
    <reviewItem>
      <errorID>beb3b692-8cc9-463c-8f4e-d03c734fb169</errorID>
      <errorWord>1</errorWord>
      <group>L1_Grammar</group>
      <groupName>语法问题</groupName>
      <ability>L2_Order</ability>
      <abilityName>语序不当</abilityName>
      <candidateList>
        <item>设置1</item>
      </candidateList>
      <explain>句子可能没有遵循时空、逻辑顺序，或者介词、关联词等位置不当。</explain>
      <paraID>1AB63188</paraID>
      <start>84</start>
      <end>87</end>
      <status>modified</status>
      <modifiedWord>设置1</modifiedWord>
      <trackRevisions>false</trackRevisions>
    </reviewItem>
    <reviewItem>
      <errorID>3fbf6e75-9402-4dbd-a222-244bef349bcf</errorID>
      <errorWord>45dB以下</errorWord>
      <group>L1_Grammar</group>
      <groupName>语法问题</groupName>
      <ability>L2_Illogical</ability>
      <abilityName>不合逻辑</abilityName>
      <candidateList>
        <item>45dB</item>
      </candidateList>
      <explain>句子中可能存在因果关系错误、自相矛盾、概念误用、主客倒置、否定不当、前后缺乏呼应等问题。</explain>
      <paraID>412B97FA</paraID>
      <start>48</start>
      <end>54</end>
      <status>ignored</status>
      <modifiedWord/>
      <trackRevisions>false</trackRevisions>
    </reviewItem>
    <reviewItem>
      <errorID>14a45d7a-1a75-4904-be72-6032ba53e48b</errorID>
      <errorWord>（</errorWord>
      <group>L1_Format</group>
      <groupName>格式问题</groupName>
      <ability>L2_HalfPunc_CN</ability>
      <abilityName>全半角问题</abilityName>
      <candidateList>
        <item>(</item>
      </candidateList>
      <explain>文本全半角错误。</explain>
      <paraID>5506352D</paraID>
      <start>5</start>
      <end>6</end>
      <status>ignored</status>
      <modifiedWord/>
      <trackRevisions>false</trackRevisions>
    </reviewItem>
    <reviewItem>
      <errorID>54249627-c2a8-48d6-aa51-952006de1a90</errorID>
      <errorWord>）</errorWord>
      <group>L1_Format</group>
      <groupName>格式问题</groupName>
      <ability>L2_HalfPunc_CN</ability>
      <abilityName>全半角问题</abilityName>
      <candidateList>
        <item>)</item>
      </candidateList>
      <explain>文本全半角错误。</explain>
      <paraID>5506352D</paraID>
      <start>7</start>
      <end>8</end>
      <status>ignored</status>
      <modifiedWord/>
      <trackRevisions>false</trackRevisions>
    </reviewItem>
    <reviewItem>
      <errorID>7fd36665-2cd3-4f30-a23b-35e08be0e9c7</errorID>
      <errorWord>（</errorWord>
      <group>L1_Format</group>
      <groupName>格式问题</groupName>
      <ability>L2_HalfPunc_CN</ability>
      <abilityName>全半角问题</abilityName>
      <candidateList>
        <item>(</item>
      </candidateList>
      <explain>文本全半角错误。</explain>
      <paraID>7C8F3A31</paraID>
      <start>5</start>
      <end>6</end>
      <status>ignored</status>
      <modifiedWord/>
      <trackRevisions>false</trackRevisions>
    </reviewItem>
    <reviewItem>
      <errorID>380e4bd6-8b68-4f75-a54f-b02166e71540</errorID>
      <errorWord>）</errorWord>
      <group>L1_Format</group>
      <groupName>格式问题</groupName>
      <ability>L2_HalfPunc_CN</ability>
      <abilityName>全半角问题</abilityName>
      <candidateList>
        <item>)</item>
      </candidateList>
      <explain>文本全半角错误。</explain>
      <paraID>7C8F3A31</paraID>
      <start>7</start>
      <end>8</end>
      <status>ignored</status>
      <modifiedWord/>
      <trackRevisions>false</trackRevisions>
    </reviewItem>
    <reviewItem>
      <errorID>bfe36637-a4ef-41f5-866e-fa12a4c88510</errorID>
      <errorWord>屑增加摩擦系数</errorWord>
      <group>L1_Grammar</group>
      <groupName>语法问题</groupName>
      <ability>L2_Collocation</ability>
      <abilityName>搭配不当</abilityName>
      <candidateList>
        <item>屑</item>
      </candidateList>
      <explain>句子中可能存在主谓、动宾、定语中心语、状语中心语、补语中心语、关联词搭配不当等问题。</explain>
      <paraID>7CCCF332</paraID>
      <start>80</start>
      <end>87</end>
      <status>ignored</status>
      <modifiedWord/>
      <trackRevisions>false</trackRevisions>
    </reviewItem>
    <reviewItem>
      <errorID>d1df2067-8d4e-4baa-affa-933eb68b5963</errorID>
      <errorWord>消音</errorWord>
      <group>L1_Word</group>
      <groupName>字词问题</groupName>
      <ability>L2_Typo</ability>
      <abilityName>字词错误</abilityName>
      <candidateList>
        <item>消声</item>
      </candidateList>
      <explain/>
      <paraID>2F8B5200</paraID>
      <start>12</start>
      <end>14</end>
      <status>ignored</status>
      <modifiedWord/>
      <trackRevisions>false</trackRevisions>
    </reviewItem>
    <reviewItem>
      <errorID>ddf4d72f-c5b2-4375-9298-e37375ee1e93</errorID>
      <errorWord>消音</errorWord>
      <group>L1_Word</group>
      <groupName>字词问题</groupName>
      <ability>L2_Typo</ability>
      <abilityName>字词错误</abilityName>
      <candidateList>
        <item>消声</item>
      </candidateList>
      <explain/>
      <paraID>7D347C11</paraID>
      <start>24</start>
      <end>26</end>
      <status>ignored</status>
      <modifiedWord/>
      <trackRevisions>false</trackRevisions>
    </reviewItem>
    <reviewItem>
      <errorID>277e8abd-0b98-4e16-a3c2-fbc384775708</errorID>
      <errorWord>彻</errorWord>
      <group>L1_Grammar</group>
      <groupName>语法问题</groupName>
      <ability>L2_Confusion</ability>
      <abilityName>结构混乱</abilityName>
      <candidateList>
        <item>让居民彻</item>
      </candidateList>
      <explain>句子中可能存在两种以上的句法结构，导致结构混乱。</explain>
      <paraID>47E84AAC</paraID>
      <start>35</start>
      <end>36</end>
      <status>ignored</status>
      <modifiedWord/>
      <trackRevisions>false</trackRevisions>
    </reviewItem>
    <reviewItem>
      <errorID>0d592202-fa5a-47a1-bf45-047171ee5695</errorID>
      <errorWord>（</errorWord>
      <group>L1_Format</group>
      <groupName>格式问题</groupName>
      <ability>L2_HalfPunc_CN</ability>
      <abilityName>全半角问题</abilityName>
      <candidateList>
        <item>(</item>
      </candidateList>
      <explain>文本全半角错误。</explain>
      <paraID>551C2421</paraID>
      <start>2</start>
      <end>3</end>
      <status>ignored</status>
      <modifiedWord/>
      <trackRevisions>false</trackRevisions>
    </reviewItem>
    <reviewItem>
      <errorID>8282abd6-2a65-458e-96cb-3500aaf306d4</errorID>
      <errorWord>）</errorWord>
      <group>L1_Format</group>
      <groupName>格式问题</groupName>
      <ability>L2_HalfPunc_CN</ability>
      <abilityName>全半角问题</abilityName>
      <candidateList>
        <item>)</item>
      </candidateList>
      <explain>文本全半角错误。</explain>
      <paraID>551C2421</paraID>
      <start>4</start>
      <end>5</end>
      <status>ignored</status>
      <modifiedWord/>
      <trackRevisions>false</trackRevisions>
    </reviewItem>
    <reviewItem>
      <errorID>303264ef-33f9-4b69-b866-b6f7c2accc15</errorID>
      <errorWord>)</errorWord>
      <group>L1_Format</group>
      <groupName>格式问题</groupName>
      <ability>L2_HalfPunc_CN</ability>
      <abilityName>全半角问题</abilityName>
      <candidateList>
        <item>）</item>
      </candidateList>
      <explain>文本全半角错误。</explain>
      <paraID>743C520A</paraID>
      <start>184</start>
      <end>185</end>
      <status>ignored</status>
      <modifiedWord/>
      <trackRevisions>false</trackRevisions>
    </reviewItem>
    <reviewItem>
      <errorID>d2a878bf-6c65-4135-8309-beb43ebe3f4e</errorID>
      <errorWord>)</errorWord>
      <group>L1_Format</group>
      <groupName>格式问题</groupName>
      <ability>L2_HalfPunc_CN</ability>
      <abilityName>全半角问题</abilityName>
      <candidateList>
        <item>）</item>
      </candidateList>
      <explain>文本全半角错误。</explain>
      <paraID>7DB2E4B1</paraID>
      <start>97</start>
      <end>98</end>
      <status>ignored</status>
      <modifiedWord/>
      <trackRevisions>false</trackRevisions>
    </reviewItem>
    <reviewItem>
      <errorID>4bbe9d18-2064-48a7-b30c-da3caec60193</errorID>
      <errorWord>)</errorWord>
      <group>L1_Format</group>
      <groupName>格式问题</groupName>
      <ability>L2_HalfPunc_CN</ability>
      <abilityName>全半角问题</abilityName>
      <candidateList>
        <item>）</item>
      </candidateList>
      <explain>文本全半角错误。</explain>
      <paraID>7DB2E4B1</paraID>
      <start>111</start>
      <end>112</end>
      <status>ignored</status>
      <modifiedWord/>
      <trackRevisions>false</trackRevisions>
    </reviewItem>
    <reviewItem>
      <errorID>d079485d-a8cf-4a68-b0bf-9a455aac5831</errorID>
      <errorWord>（</errorWord>
      <group>L1_Punc</group>
      <groupName>标点问题</groupName>
      <ability>L2_Punc_CN</ability>
      <abilityName>标点符号问题</abilityName>
      <candidateList/>
      <explain>同一形式括号套用。</explain>
      <paraID> A52A76A</paraID>
      <start>93</start>
      <end>94</end>
      <status>ignored</status>
      <modifiedWord/>
      <trackRevisions>false</trackRevisions>
    </reviewItem>
    <reviewItem>
      <errorID>b86901d0-e3ae-406c-a5ff-46821d7a7708</errorID>
      <errorWord>）</errorWord>
      <group>L1_Punc</group>
      <groupName>标点问题</groupName>
      <ability>L2_Punc_CN</ability>
      <abilityName>标点符号问题</abilityName>
      <candidateList/>
      <explain>同一形式括号套用。</explain>
      <paraID> A52A76A</paraID>
      <start>95</start>
      <end>96</end>
      <status>ignored</status>
      <modifiedWord/>
      <trackRevisions>false</trackRevisions>
    </reviewItem>
    <reviewItem>
      <errorID>bd1e07b1-ac29-4de9-8903-eda0cad0b4b0</errorID>
      <errorWord>（</errorWord>
      <group>L1_Punc</group>
      <groupName>标点问题</groupName>
      <ability>L2_Punc_CN</ability>
      <abilityName>标点符号问题</abilityName>
      <candidateList/>
      <explain>同一形式括号套用。</explain>
      <paraID> A52A76A</paraID>
      <start>104</start>
      <end>105</end>
      <status>ignored</status>
      <modifiedWord/>
      <trackRevisions>false</trackRevisions>
    </reviewItem>
    <reviewItem>
      <errorID>1c491579-1e45-486d-bde2-6194e0df7b72</errorID>
      <errorWord>）</errorWord>
      <group>L1_Punc</group>
      <groupName>标点问题</groupName>
      <ability>L2_Punc_CN</ability>
      <abilityName>标点符号问题</abilityName>
      <candidateList/>
      <explain>同一形式括号套用。</explain>
      <paraID> A52A76A</paraID>
      <start>106</start>
      <end>107</end>
      <status>ignored</status>
      <modifiedWord/>
      <trackRevisions>false</trackRevisions>
    </reviewItem>
    <reviewItem>
      <errorID>78b939f7-6f63-467e-b6de-3b43c7ccb2a5</errorID>
      <errorWord>(</errorWord>
      <group>L1_Format</group>
      <groupName>格式问题</groupName>
      <ability>L2_HalfPunc_CN</ability>
      <abilityName>全半角问题</abilityName>
      <candidateList>
        <item>（</item>
      </candidateList>
      <explain>文本全半角错误。</explain>
      <paraID>6B1768AA</paraID>
      <start>16</start>
      <end>17</end>
      <status>ignored</status>
      <modifiedWord/>
      <trackRevisions>false</trackRevisions>
    </reviewItem>
    <reviewItem>
      <errorID>8e9328d4-53b5-4ba4-b763-0b544b0e670c</errorID>
      <errorWord>)</errorWord>
      <group>L1_Format</group>
      <groupName>格式问题</groupName>
      <ability>L2_HalfPunc_CN</ability>
      <abilityName>全半角问题</abilityName>
      <candidateList>
        <item>）</item>
      </candidateList>
      <explain>文本全半角错误。</explain>
      <paraID>6B1768AA</paraID>
      <start>31</start>
      <end>32</end>
      <status>ignored</status>
      <modifiedWord/>
      <trackRevisions>false</trackRevisions>
    </reviewItem>
    <reviewItem>
      <errorID>355bd7c4-bebe-47fb-9d8c-0d011a2d7fcb</errorID>
      <errorWord>，…，</errorWord>
      <group>L1_Punc</group>
      <groupName>标点问题</groupName>
      <ability>L2_Punc_CN</ability>
      <abilityName>标点符号问题</abilityName>
      <candidateList>
        <item>，</item>
      </candidateList>
      <explain/>
      <paraID>2D8BF374</paraID>
      <start>8</start>
      <end>11</end>
      <status>ignored</status>
      <modifiedWord/>
      <trackRevisions>false</trackRevisions>
    </reviewItem>
    <reviewItem>
      <errorID>e148e9cf-1a9e-4e24-8604-18811dd9fa20</errorID>
      <errorWord>，…，</errorWord>
      <group>L1_Punc</group>
      <groupName>标点问题</groupName>
      <ability>L2_Punc_CN</ability>
      <abilityName>标点符号问题</abilityName>
      <candidateList>
        <item>，</item>
      </candidateList>
      <explain/>
      <paraID>2372E11C</paraID>
      <start>5</start>
      <end>8</end>
      <status>ignored</status>
      <modifiedWord/>
      <trackRevisions>false</trackRevisions>
    </reviewItem>
    <reviewItem>
      <errorID>4cc5985d-957f-4887-aeec-c6de706674d0</errorID>
      <errorWord>和</errorWord>
      <group>L1_Grammar</group>
      <groupName>语法问题</groupName>
      <ability>L2_Order</ability>
      <abilityName>语序不当</abilityName>
      <candidateList>
        <item>、</item>
      </candidateList>
      <explain>句子可能没有遵循时空、逻辑顺序，或者介词、关联词等位置不当。</explain>
      <paraID>2E5629F1</paraID>
      <start>104</start>
      <end>105</end>
      <status>ignored</status>
      <modifiedWord/>
      <trackRevisions>false</trackRevisions>
    </reviewItem>
    <reviewItem>
      <errorID>0b7d9be1-1de8-4ccb-a4e4-8cda6bec5407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49E4FEB</paraID>
      <start>207</start>
      <end>208</end>
      <status>ignored</status>
      <modifiedWord/>
      <trackRevisions>false</trackRevisions>
    </reviewItem>
    <reviewItem>
      <errorID>f2dfad76-08c0-4d18-8a02-9fe17de5e1f5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1B562C2F</paraID>
      <start>83</start>
      <end>84</end>
      <status>ignored</status>
      <modifiedWord/>
      <trackRevisions>false</trackRevisions>
    </reviewItem>
    <reviewItem>
      <errorID>c99a8e1f-aa04-4a79-99fc-a4d95ae7e805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1B562C2F</paraID>
      <start>129</start>
      <end>130</end>
      <status>ignored</status>
      <modifiedWord/>
      <trackRevisions>false</trackRevisions>
    </reviewItem>
    <reviewItem>
      <errorID>506b306c-4fa7-46c7-9ab0-df22292e4d64</errorID>
      <errorWord>依托可行性分析</errorWord>
      <group>L1_Grammar</group>
      <groupName>语法问题</groupName>
      <ability>L2_Order</ability>
      <abilityName>语序不当</abilityName>
      <candidateList>
        <item>可行性分析依托</item>
      </candidateList>
      <explain>句子可能没有遵循时空、逻辑顺序，或者介词、关联词等位置不当。</explain>
      <paraID>1F795C1D</paraID>
      <start>6</start>
      <end>13</end>
      <status>ignored</status>
      <modifiedWord/>
      <trackRevisions>false</trackRevisions>
    </reviewItem>
    <reviewItem>
      <errorID>de60ca83-edcf-4e49-b9df-cef3ed2b5d3f</errorID>
      <errorWord>因素</errorWord>
      <group>L1_Grammar</group>
      <groupName>语法问题</groupName>
      <ability>L2_Collocation</ability>
      <abilityName>搭配不当</abilityName>
      <candidateList>
        <item>区域</item>
      </candidateList>
      <explain>句子中可能存在主谓、动宾、定语中心语、状语中心语、补语中心语、关联词搭配不当等问题。</explain>
      <paraID>2C9B710C</paraID>
      <start>192</start>
      <end>194</end>
      <status>ignored</status>
      <modifiedWord/>
      <trackRevisions>false</trackRevisions>
    </reviewItem>
    <reviewItem>
      <errorID>4b7f2081-0768-4aea-b1f0-563a8d0eb7e8</errorID>
      <errorWord>凌晨6:00</errorWord>
      <group>L1_Knowledge</group>
      <groupName>知识性问题</groupName>
      <ability>L2_Time</ability>
      <abilityName>日期时间</abilityName>
      <candidateList/>
      <explain>时间与前缀不匹配，可能的时间前缀有“早晨、早上、上午、下午、傍晚、晚上”。</explain>
      <paraID>583492A1</paraID>
      <start>85</start>
      <end>91</end>
      <status>ignored</status>
      <modifiedWord/>
      <trackRevisions>false</trackRevisions>
    </reviewItem>
    <reviewItem>
      <errorID>dd483889-7595-4101-a4b1-266bd0e34f4f</errorID>
      <errorWord>凌晨6:00</errorWord>
      <group>L1_Knowledge</group>
      <groupName>知识性问题</groupName>
      <ability>L2_Time</ability>
      <abilityName>日期时间</abilityName>
      <candidateList/>
      <explain>时间与前缀不匹配，可能的时间前缀有“早晨、早上、上午、下午、傍晚、晚上”。</explain>
      <paraID>582DB65F</paraID>
      <start>31</start>
      <end>37</end>
      <status>ignored</status>
      <modifiedWord/>
      <trackRevisions>false</trackRevisions>
    </reviewItem>
    <reviewItem>
      <errorID>9791855b-3bde-48c7-aa4d-fcfa665c837f</errorID>
      <errorWord>回覆</errorWord>
      <group>L1_Word</group>
      <groupName>字词问题</groupName>
      <ability>L2_Fanti</ability>
      <abilityName>繁转简</abilityName>
      <candidateList>
        <item>回复</item>
      </candidateList>
      <explain/>
      <paraID> 13D6811</paraID>
      <start>11</start>
      <end>13</end>
      <status>ignored</status>
      <modifiedWord/>
      <trackRevisions>false</trackRevisions>
    </reviewItem>
    <reviewItem>
      <errorID>266aa5cf-2350-4e15-802a-a67376312670</errorID>
      <errorWord>减小</errorWord>
      <group>L1_Word</group>
      <groupName>字词问题</groupName>
      <ability>L2_Typo</ability>
      <abilityName>字词错误</abilityName>
      <candidateList>
        <item>减少</item>
      </candidateList>
      <explain/>
      <paraID>6240377A</paraID>
      <start>21</start>
      <end>23</end>
      <status>ignored</status>
      <modifiedWord/>
      <trackRevisions>false</trackRevisions>
    </reviewItem>
    <reviewItem>
      <errorID>2fca2b21-c345-4b03-9008-ff3ef0fd6e32</errorID>
      <errorWord>期</errorWord>
      <group>L1_Word</group>
      <groupName>字词问题</groupName>
      <ability>L2_Typo</ability>
      <abilityName>字词错误</abilityName>
      <candidateList>
        <item>期间</item>
      </candidateList>
      <explain/>
      <paraID>1123268E</paraID>
      <start>27</start>
      <end>28</end>
      <status>ignored</status>
      <modifiedWord/>
      <trackRevisions>false</trackRevisions>
    </reviewItem>
    <reviewItem>
      <errorID>35a8ffa6-803a-41e0-98fc-11edd5434138</errorID>
      <errorWord>合理居民</errorWord>
      <group>L1_Grammar</group>
      <groupName>语法问题</groupName>
      <ability>L2_Order</ability>
      <abilityName>语序不当</abilityName>
      <candidateList>
        <item>居民合理</item>
      </candidateList>
      <explain>句子可能没有遵循时空、逻辑顺序，或者介词、关联词等位置不当。</explain>
      <paraID>385483EC</paraID>
      <start>20</start>
      <end>24</end>
      <status>modified</status>
      <modifiedWord>居民合理</modifiedWord>
      <trackRevisions>false</trackRevisions>
    </reviewItem>
    <reviewItem>
      <errorID>84dcb778-768f-4969-8663-ea53556b9e00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23365705</paraID>
      <start>95</start>
      <end>96</end>
      <status>ignored</status>
      <modifiedWord/>
      <trackRevisions>false</trackRevisions>
    </reviewItem>
    <reviewItem>
      <errorID>b87ab95a-5cd7-4acb-b132-019c44ec2458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23365705</paraID>
      <start>141</start>
      <end>142</end>
      <status>ignored</status>
      <modifiedWord/>
      <trackRevisions>false</trackRevisions>
    </reviewItem>
    <reviewItem>
      <errorID>99274787-8f19-433e-9a01-7ed59779e461</errorID>
      <errorWord>。</errorWord>
      <group>L1_Grammar</group>
      <groupName>语法问题</groupName>
      <ability>L2_Missing</ability>
      <abilityName>成分残缺</abilityName>
      <candidateList>
        <item>的建设。</item>
      </candidateList>
      <explain>句子中可能存在主谓宾、修饰语或者必要的词语残缺。</explain>
      <paraID>6BD7191F</paraID>
      <start>44</start>
      <end>45</end>
      <status>ignored</status>
      <modifiedWord/>
      <trackRevisions>false</trackRevisions>
    </reviewItem>
    <reviewItem>
      <errorID>ced61307-a707-4635-97cb-163d5bd93be7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45C59AD1</paraID>
      <start>60</start>
      <end>61</end>
      <status>ignored</status>
      <modifiedWord/>
      <trackRevisions>false</trackRevisions>
    </reviewItem>
    <reviewItem>
      <errorID>d3afbb61-0afa-44be-be0e-e391cb4cc9ed</errorID>
      <errorWord>。</errorWord>
      <group>L1_Grammar</group>
      <groupName>语法问题</groupName>
      <ability>L2_Missing</ability>
      <abilityName>成分残缺</abilityName>
      <candidateList>
        <item>的影响。</item>
      </candidateList>
      <explain>句子中可能存在主谓宾、修饰语或者必要的词语残缺。</explain>
      <paraID>1389019B</paraID>
      <start>302</start>
      <end>306</end>
      <status>modified</status>
      <modifiedWord>的影响。</modifiedWord>
      <trackRevisions>false</trackRevisions>
    </reviewItem>
    <reviewItem>
      <errorID>f881a7e9-301c-42d4-8025-44401830400c</errorID>
      <errorWord>场区</errorWord>
      <group>L1_Word</group>
      <groupName>字词问题</groupName>
      <ability>L2_Typo</ability>
      <abilityName>字词错误</abilityName>
      <candidateList>
        <item>厂区</item>
      </candidateList>
      <explain>存在发音相同字词的误用。</explain>
      <paraID>4CD45027</paraID>
      <start>2</start>
      <end>4</end>
      <status>ignored</status>
      <modifiedWord/>
      <trackRevisions>false</trackRevisions>
    </reviewItem>
    <reviewItem>
      <errorID>6a9545a0-220d-497b-939b-14ac5f239b1d</errorID>
      <errorWord>凌晨6:00</errorWord>
      <group>L1_Knowledge</group>
      <groupName>知识性问题</groupName>
      <ability>L2_Time</ability>
      <abilityName>日期时间</abilityName>
      <candidateList/>
      <explain>时间与前缀不匹配，可能的时间前缀有“早晨、早上、上午、下午、傍晚、晚上”。</explain>
      <paraID>4F3D0E0C</paraID>
      <start>84</start>
      <end>90</end>
      <status>ignored</status>
      <modifiedWord/>
      <trackRevisions>false</trackRevisions>
    </reviewItem>
    <reviewItem>
      <errorID>68f21d85-9250-4183-a86c-bc11ddcad3f3</errorID>
      <errorWord>合理居民</errorWord>
      <group>L1_Grammar</group>
      <groupName>语法问题</groupName>
      <ability>L2_Order</ability>
      <abilityName>语序不当</abilityName>
      <candidateList>
        <item>居民合理</item>
      </candidateList>
      <explain>句子可能没有遵循时空、逻辑顺序，或者介词、关联词等位置不当。</explain>
      <paraID>57B05AC0</paraID>
      <start>20</start>
      <end>24</end>
      <status>modified</status>
      <modifiedWord>居民合理</modifiedWord>
      <trackRevisions>false</trackRevisions>
    </reviewItem>
    <reviewItem>
      <errorID>2adc3776-dc69-4def-8219-f993bbbe58d7</errorID>
      <errorWord>(</errorWord>
      <group>L1_Format</group>
      <groupName>格式问题</groupName>
      <ability>L2_HalfPunc_CN</ability>
      <abilityName>全半角问题</abilityName>
      <candidateList>
        <item>（</item>
      </candidateList>
      <explain>文本全半角错误。</explain>
      <paraID>3BB9474A</paraID>
      <start>10</start>
      <end>11</end>
      <status>ignored</status>
      <modifiedWord/>
      <trackRevisions>false</trackRevisions>
    </reviewItem>
    <reviewItem>
      <errorID>56f0413e-139f-4498-bea9-e90e49a036d0</errorID>
      <errorWord>)</errorWord>
      <group>L1_Format</group>
      <groupName>格式问题</groupName>
      <ability>L2_HalfPunc_CN</ability>
      <abilityName>全半角问题</abilityName>
      <candidateList>
        <item>）</item>
      </candidateList>
      <explain>文本全半角错误。</explain>
      <paraID>3BB9474A</paraID>
      <start>22</start>
      <end>23</end>
      <status>ignored</status>
      <modifiedWord/>
      <trackRevisions>false</trackRevisions>
    </reviewItem>
    <reviewItem>
      <errorID>9b789ed5-695d-4a7c-8482-29240780ef00</errorID>
      <errorWord>(</errorWord>
      <group>L1_Format</group>
      <groupName>格式问题</groupName>
      <ability>L2_HalfPunc_CN</ability>
      <abilityName>全半角问题</abilityName>
      <candidateList>
        <item>（</item>
      </candidateList>
      <explain>文本全半角错误。</explain>
      <paraID> FB508C5</paraID>
      <start>84</start>
      <end>85</end>
      <status>ignored</status>
      <modifiedWord/>
      <trackRevisions>false</trackRevisions>
    </reviewItem>
    <reviewItem>
      <errorID>dae857eb-e73c-4ad4-b8c0-fedf5ac2a0b4</errorID>
      <errorWord>)</errorWord>
      <group>L1_Format</group>
      <groupName>格式问题</groupName>
      <ability>L2_HalfPunc_CN</ability>
      <abilityName>全半角问题</abilityName>
      <candidateList>
        <item>）</item>
      </candidateList>
      <explain>文本全半角错误。</explain>
      <paraID> FB508C5</paraID>
      <start>96</start>
      <end>97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d4e5b7-030a-43cf-b31b-903d53d1ca8d}">
  <ds:schemaRefs/>
</ds:datastoreItem>
</file>

<file path=docProps/app.xml><?xml version="1.0" encoding="utf-8"?>
<Properties xmlns="http://schemas.openxmlformats.org/officeDocument/2006/extended-properties" xmlns:vt="http://schemas.openxmlformats.org/officeDocument/2006/docPropsVTypes">
  <Template>Normal.dotm</Template>
  <Pages>194</Pages>
  <Words>7190</Words>
  <Characters>7708</Characters>
  <Lines>0</Lines>
  <Paragraphs>0</Paragraphs>
  <TotalTime>16</TotalTime>
  <ScaleCrop>false</ScaleCrop>
  <LinksUpToDate>false</LinksUpToDate>
  <CharactersWithSpaces>7824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2024-12-05T02:58:00Z</dcterms:created>
  <dc:creator>WPS_1559546142</dc:creator>
  <cp:lastModifiedBy>Administrator</cp:lastModifiedBy>
  <dcterms:modified xsi:type="dcterms:W3CDTF">2026-08-03T01:20:17Z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D3884174D72F4AC4A12384CDEFFB276B_13</vt:lpwstr>
  </property>
  <property fmtid="{D5CDD505-2E9C-101B-9397-08002B2CF9AE}" pid="4" name="KSOTemplateDocerSaveRecord">
    <vt:lpwstr>eyJoZGlkIjoiMDE5MzViMjNjYzFhYmVhNTY2NmJiZTgwNWExYjA2NGEiLCJ1c2VySWQiOiIzNzMyMDUyODEifQ==</vt:lpwstr>
  </property>
</Properties>
</file>