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833D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富源县瑞浩煤业有限公司煤矸石综合利用项目</w:t>
      </w: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8-14号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kern w:val="21"/>
          <w:sz w:val="32"/>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富源县瑞浩煤业有限公司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kern w:val="21"/>
          <w:sz w:val="32"/>
          <w:lang w:val="en-US" w:eastAsia="zh-CN"/>
        </w:rPr>
        <w:t>富源县瑞浩煤业有限公司煤矸石综合利用项目环境影响报告表（报批稿）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该项目位于富源县老厂镇拖竹村委会富源县宏发恒际水泥有限公司厂区内，地理坐标：东经104度33分47.504秒，北纬25度14分5.834秒。建设内容及规模为：项目占地面积约4000m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（约6亩），采用“跳汰+浮选”生产工艺，年洗选煤矸石30万吨，年生产环保型煤矸石免烧砖9000万块。项目总投资900万元，其中环保投资145.1万元。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采用洒水抑尘、物料遮盖、施工场地四周设置围挡、车辆密闭运输、运输车辆冲洗后出场等防尘措施，减少扬尘对周围环境的污染。施工期设置3m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临时沉淀池，施工废水经临时沉淀池沉淀处理后，回用于项目区洒水降尘，不外排；施工期施工人员不在项目区内食宿及如厕，生活污水为简单清洗废水，经临时沉淀池收集沉淀处理后，用于施工场地洒水抑尘，不外排</w:t>
      </w:r>
      <w:r>
        <w:rPr>
          <w:rFonts w:hint="eastAsia" w:cs="Times New Roman"/>
          <w:color w:val="auto"/>
          <w:kern w:val="21"/>
          <w:sz w:val="32"/>
          <w:lang w:val="en-US" w:eastAsia="zh-CN"/>
        </w:rPr>
        <w:t>；施工期优先建设完成厂界截排水沟，阻止外围雨水进入施工场地；施工场地优先规划建设初期雨水收集池，施工场地初期雨水经收集沉淀后用于施工洒水降尘，不外排</w:t>
      </w:r>
      <w:r>
        <w:rPr>
          <w:rFonts w:hint="default" w:ascii="Times New Roman" w:hAnsi="Times New Roman" w:eastAsia="方正仿宋_GBK" w:cs="Times New Roman"/>
          <w:color w:val="auto"/>
          <w:kern w:val="21"/>
          <w:sz w:val="32"/>
          <w:lang w:val="en-US" w:eastAsia="zh-CN"/>
        </w:rPr>
        <w:t>。加强施工管理、规范操作、合理布置施工现场及施工时间，加强车辆运输管理，确保施工场界噪声排放达到《建筑施工噪声排放标准》（GB12523-2025）。项目施工过程开挖土石方用于场地平整及厂区围墙建设，可实现土石方平衡；建筑垃圾由建设单位统一收集后，可回收部分回收利用，不可回收部分及时清运至当地政府部门指定建筑垃圾堆放点；生活垃圾经垃圾收集桶收集后定期清运至当地垃圾集中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实行雨污分流排水体制，厂界设置截排水沟，阻止项目区外雨水进入项目区内，项目区大棚上设置集水槽、落水管，大棚雨水收集后通过导流管汇入初期雨水收集池；设置容积不小于91m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初期雨水收集池，配套雨水收集沟、弃流装置及雨水排放口，初期雨水经收集沉淀处理后回用于制砖过程，后期洁净雨水通过雨水排放口外排。设置处理工艺为“絮凝浓缩+压滤”的洗选废水处理设施，设置2个高效浓缩池（有效容积分别为453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和508m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），和1个容积为495m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的循环水池，配套建设污水收集管道、回用管道及水泵等，煤矸石洗选废水经浓缩池处理后通过循环水池回用于煤矸石洗选，不外排。设置1个容积为770m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的事故池，用于事故状态下煤矸石洗选废水的收集和暂存，防止洗选废水事故排放。设置10m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的搅拌机清洗废水收集沉淀池，搅拌机清洗废水经沉淀处理后用于制砖搅拌环节，不外排。设置渗出水收集沟、回用水泵及管道，渗出水经收集沟收集引入37m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的渗出水收集池处理后回用于煤矸石洗选，不外排。设置1座容积为38m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的化粪池，生活污水经化粪池处理后委托周边村民定期清掏作为农肥使用，不外排。厂区出入口设置车辆自动冲洗装置，设置容积10m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洗车废水收集池、回用水泵、管道及容积2.5m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的清水池向车辆冲洗装置供水，洗车废水经洗车废水收集池收集引入洗选废水处理设施处理后回用于煤矸石洗选过程，不外排。</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危险废物暂存间、柴油储存仓库为重点防渗区，防渗层按等效黏土防渗层厚度≥6m，渗透系数≤1.0×10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cm/s，或参照《危险废物贮存污染控制标准》（GB18597-2023）</w:t>
      </w:r>
      <w:r>
        <w:rPr>
          <w:rFonts w:hint="eastAsia" w:cs="Times New Roman"/>
          <w:color w:val="auto"/>
          <w:kern w:val="21"/>
          <w:sz w:val="32"/>
          <w:lang w:val="en-US" w:eastAsia="zh-CN"/>
        </w:rPr>
        <w:t>要求</w:t>
      </w:r>
      <w:r>
        <w:rPr>
          <w:rFonts w:hint="default" w:ascii="Times New Roman" w:hAnsi="Times New Roman" w:eastAsia="方正仿宋_GBK" w:cs="Times New Roman"/>
          <w:color w:val="auto"/>
          <w:kern w:val="21"/>
          <w:sz w:val="32"/>
          <w:lang w:val="en-US" w:eastAsia="zh-CN"/>
        </w:rPr>
        <w:t>执行；高效浓缩池、循环水池、渗出水收集池、搅拌机清洗废水收集池、事故池、洗车废水收集池、初期雨水收集池、化粪池等为一般防渗区，防渗层按等效黏土防渗层厚度≥1.5m，渗透系数≤1×10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或参照《生活垃圾填埋场污染控制标准》（GB16889-2024）要求执行；其他区域为简单防渗区，进行一般地面硬化防渗。</w:t>
      </w:r>
    </w:p>
    <w:p w14:paraId="4D28A0B6">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1.煤矸石洗选生产线废气：煤矸石洗选车间为封闭式彩钢瓦大棚（仅留出入口），内设有煤矸石堆场、洗后煤矸石堆场、煤泥堆场、中煤堆场及洗选车间；煤矸石堆场大棚内顶部设置喷雾降尘系统；物料输送过程均在封闭彩钢瓦大棚内进行，往复式给料机上下料口位置上方对应顶棚区域设置喷雾降尘系统。2.制砖生产线废气：制砖车间为封闭式彩钢瓦大棚（仅留出入口），原料堆存在封闭彩钢瓦大棚内，并在砂石料堆场大棚内顶部设置喷雾降尘系统进行降尘；水泥卸料配料过程为封闭式作业，水泥筒仓自带仓顶除尘器；配料环节以及搅拌过程设置在封闭彩钢瓦大棚内；皮带输送过程设置在封闭彩钢瓦大棚内</w:t>
      </w:r>
      <w:r>
        <w:rPr>
          <w:rFonts w:hint="eastAsia" w:cs="Times New Roman"/>
          <w:color w:val="auto"/>
          <w:kern w:val="21"/>
          <w:sz w:val="32"/>
          <w:szCs w:val="32"/>
          <w:highlight w:val="none"/>
          <w:lang w:val="en-US" w:eastAsia="zh-CN"/>
        </w:rPr>
        <w:t>并</w:t>
      </w:r>
      <w:r>
        <w:rPr>
          <w:rFonts w:hint="eastAsia" w:eastAsia="方正仿宋_GBK" w:cs="Times New Roman"/>
          <w:color w:val="auto"/>
          <w:kern w:val="21"/>
          <w:sz w:val="32"/>
          <w:szCs w:val="32"/>
          <w:highlight w:val="none"/>
          <w:lang w:val="en-US" w:eastAsia="zh-CN"/>
        </w:rPr>
        <w:t>采取密闭皮带输送，搅拌过程采取湿式搅拌；在破碎机出料口、筛分机及搅拌机上方分别设置集气罩，制砖工序洗后煤矸石破碎、筛分及配料搅拌过程粉尘分别经集气罩收集后统一通过1套高效布袋除尘器</w:t>
      </w:r>
      <w:r>
        <w:rPr>
          <w:rFonts w:hint="eastAsia" w:cs="Times New Roman"/>
          <w:color w:val="auto"/>
          <w:kern w:val="21"/>
          <w:sz w:val="32"/>
          <w:szCs w:val="32"/>
          <w:highlight w:val="none"/>
          <w:lang w:val="en-US" w:eastAsia="zh-CN"/>
        </w:rPr>
        <w:t>处理后经</w:t>
      </w:r>
      <w:r>
        <w:rPr>
          <w:rFonts w:hint="eastAsia" w:eastAsia="方正仿宋_GBK" w:cs="Times New Roman"/>
          <w:color w:val="auto"/>
          <w:kern w:val="21"/>
          <w:sz w:val="32"/>
          <w:szCs w:val="32"/>
          <w:highlight w:val="none"/>
          <w:lang w:val="en-US" w:eastAsia="zh-CN"/>
        </w:rPr>
        <w:t>1根15m高排气筒（DA001）</w:t>
      </w:r>
      <w:r>
        <w:rPr>
          <w:rFonts w:hint="eastAsia" w:cs="Times New Roman"/>
          <w:color w:val="auto"/>
          <w:kern w:val="21"/>
          <w:sz w:val="32"/>
          <w:szCs w:val="32"/>
          <w:highlight w:val="none"/>
          <w:lang w:val="en-US" w:eastAsia="zh-CN"/>
        </w:rPr>
        <w:t>达标</w:t>
      </w:r>
      <w:r>
        <w:rPr>
          <w:rFonts w:hint="eastAsia" w:eastAsia="方正仿宋_GBK" w:cs="Times New Roman"/>
          <w:color w:val="auto"/>
          <w:kern w:val="21"/>
          <w:sz w:val="32"/>
          <w:szCs w:val="32"/>
          <w:highlight w:val="none"/>
          <w:lang w:val="en-US" w:eastAsia="zh-CN"/>
        </w:rPr>
        <w:t>排放。3.项目所有原料运输车辆密闭运输（车辆顶部遮盖篷布），出入口处设置车辆冲洗平台。通过以上措施，确保制砖工序颗粒物有组织排放浓度满足《砖瓦工业大气污染物排放标准》（GB29620-2013）表2及其2021年修改单要求；厂界无组织粉尘排放浓度满足《煤炭工业污染物排放标准》（GB20426-2006）《砖瓦工业大气污染物排放标准》（GB29620-2013）及其2021年修改单要求。</w:t>
      </w:r>
    </w:p>
    <w:p w14:paraId="18889829">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项目煤矸石洗选生产线产生的矸石须全部作为本项目制砖生产线制砖的原料综合利用，若制砖生产线无法消纳洗选产生的矸石，则煤矸石洗选生产线须立即停止生产，确保洗选产生的矸石全部作为原料综合利用，并规范建立煤矸石管理台账。制砖生产线矸石破碎、筛分、搅拌工序布袋除尘器除尘灰经统一收集后及时返回生产线作为制砖原料；不合格免烧砖收集返回生产线作为制砖原料；水泥筒仓布袋除尘器收集的粉尘直接落入筒仓内作为原料使用；洗车废水收集池污泥、渗出水收集池污泥、搅拌机清洗废水收集沉淀池污泥及初期雨水收集池污泥定期清掏后和煤泥一起压滤后外售；化粪池污泥委托周边村民定期清掏做农肥；生活垃圾经垃圾收集桶收集后定期清运至当地垃圾集中收集点，由环卫部门统一清运处置。规范设置10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的危废暂存间，设置标识标牌，废矿物油经专用容器收集后暂存于危险废物暂存间内，委托有资质的单位定期清运处置，收集、暂存及转运过程中的管理应严格按照《危险废物贮存污染控制标准》（GB18597-2023）和《危险废物转移管理办法》等规定执行，并做好台账记录。</w:t>
      </w:r>
    </w:p>
    <w:p w14:paraId="0494511B">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措施。选用低噪声设备，</w:t>
      </w:r>
      <w:r>
        <w:rPr>
          <w:rFonts w:hint="eastAsia" w:cs="Times New Roman"/>
          <w:color w:val="auto"/>
          <w:kern w:val="21"/>
          <w:sz w:val="32"/>
          <w:lang w:val="en-US" w:eastAsia="zh-CN"/>
        </w:rPr>
        <w:t>合理布局，</w:t>
      </w:r>
      <w:r>
        <w:rPr>
          <w:rFonts w:hint="eastAsia" w:ascii="Times New Roman" w:hAnsi="Times New Roman" w:eastAsia="方正仿宋_GBK" w:cs="Times New Roman"/>
          <w:color w:val="auto"/>
          <w:kern w:val="21"/>
          <w:sz w:val="32"/>
          <w:lang w:val="en-US" w:eastAsia="zh-CN"/>
        </w:rPr>
        <w:t>将各产噪设备设置在生产车间及设备房内</w:t>
      </w:r>
      <w:r>
        <w:rPr>
          <w:rFonts w:hint="eastAsia" w:cs="Times New Roman"/>
          <w:color w:val="auto"/>
          <w:kern w:val="21"/>
          <w:sz w:val="32"/>
          <w:lang w:val="en-US" w:eastAsia="zh-CN"/>
        </w:rPr>
        <w:t>；设</w:t>
      </w:r>
      <w:r>
        <w:rPr>
          <w:rFonts w:hint="eastAsia" w:ascii="Times New Roman" w:hAnsi="Times New Roman" w:eastAsia="方正仿宋_GBK" w:cs="Times New Roman"/>
          <w:color w:val="auto"/>
          <w:kern w:val="21"/>
          <w:sz w:val="32"/>
          <w:lang w:val="en-US" w:eastAsia="zh-CN"/>
        </w:rPr>
        <w:t>基础减振、定期检修、紧固设备</w:t>
      </w:r>
      <w:r>
        <w:rPr>
          <w:rFonts w:hint="eastAsia" w:cs="Times New Roman"/>
          <w:color w:val="auto"/>
          <w:kern w:val="21"/>
          <w:sz w:val="32"/>
          <w:lang w:val="en-US" w:eastAsia="zh-CN"/>
        </w:rPr>
        <w:t>；</w:t>
      </w:r>
      <w:r>
        <w:rPr>
          <w:rFonts w:hint="eastAsia" w:ascii="Times New Roman" w:hAnsi="Times New Roman" w:eastAsia="方正仿宋_GBK" w:cs="Times New Roman"/>
          <w:color w:val="auto"/>
          <w:kern w:val="21"/>
          <w:sz w:val="32"/>
          <w:lang w:val="en-US" w:eastAsia="zh-CN"/>
        </w:rPr>
        <w:t>厂界</w:t>
      </w:r>
      <w:r>
        <w:rPr>
          <w:rFonts w:hint="eastAsia" w:cs="Times New Roman"/>
          <w:color w:val="auto"/>
          <w:kern w:val="21"/>
          <w:sz w:val="32"/>
          <w:lang w:val="en-US" w:eastAsia="zh-CN"/>
        </w:rPr>
        <w:t>南</w:t>
      </w:r>
      <w:r>
        <w:rPr>
          <w:rFonts w:hint="eastAsia" w:ascii="Times New Roman" w:hAnsi="Times New Roman" w:eastAsia="方正仿宋_GBK" w:cs="Times New Roman"/>
          <w:color w:val="auto"/>
          <w:kern w:val="21"/>
          <w:sz w:val="32"/>
          <w:lang w:val="en-US" w:eastAsia="zh-CN"/>
        </w:rPr>
        <w:t>侧</w:t>
      </w:r>
      <w:r>
        <w:rPr>
          <w:rFonts w:hint="eastAsia" w:cs="Times New Roman"/>
          <w:color w:val="auto"/>
          <w:kern w:val="21"/>
          <w:sz w:val="32"/>
          <w:lang w:val="en-US" w:eastAsia="zh-CN"/>
        </w:rPr>
        <w:t>和西南侧分别</w:t>
      </w:r>
      <w:r>
        <w:rPr>
          <w:rFonts w:hint="eastAsia" w:ascii="Times New Roman" w:hAnsi="Times New Roman" w:eastAsia="方正仿宋_GBK" w:cs="Times New Roman"/>
          <w:color w:val="auto"/>
          <w:kern w:val="21"/>
          <w:sz w:val="32"/>
          <w:lang w:val="en-US" w:eastAsia="zh-CN"/>
        </w:rPr>
        <w:t>设置高</w:t>
      </w:r>
      <w:r>
        <w:rPr>
          <w:rFonts w:hint="eastAsia" w:cs="Times New Roman"/>
          <w:color w:val="auto"/>
          <w:kern w:val="21"/>
          <w:sz w:val="32"/>
          <w:lang w:val="en-US" w:eastAsia="zh-CN"/>
        </w:rPr>
        <w:t>2.5</w:t>
      </w:r>
      <w:r>
        <w:rPr>
          <w:rFonts w:hint="eastAsia" w:ascii="Times New Roman" w:hAnsi="Times New Roman" w:eastAsia="方正仿宋_GBK" w:cs="Times New Roman"/>
          <w:color w:val="auto"/>
          <w:kern w:val="21"/>
          <w:sz w:val="32"/>
          <w:lang w:val="en-US" w:eastAsia="zh-CN"/>
        </w:rPr>
        <w:t>米，长</w:t>
      </w:r>
      <w:r>
        <w:rPr>
          <w:rFonts w:hint="eastAsia" w:cs="Times New Roman"/>
          <w:color w:val="auto"/>
          <w:kern w:val="21"/>
          <w:sz w:val="32"/>
          <w:lang w:val="en-US" w:eastAsia="zh-CN"/>
        </w:rPr>
        <w:t>30</w:t>
      </w:r>
      <w:r>
        <w:rPr>
          <w:rFonts w:hint="eastAsia" w:ascii="Times New Roman" w:hAnsi="Times New Roman" w:eastAsia="方正仿宋_GBK" w:cs="Times New Roman"/>
          <w:color w:val="auto"/>
          <w:kern w:val="21"/>
          <w:sz w:val="32"/>
          <w:lang w:val="en-US" w:eastAsia="zh-CN"/>
        </w:rPr>
        <w:t>米的隔声屏障。</w:t>
      </w:r>
      <w:r>
        <w:rPr>
          <w:rFonts w:hint="eastAsia" w:cs="Times New Roman"/>
          <w:color w:val="auto"/>
          <w:kern w:val="21"/>
          <w:sz w:val="32"/>
          <w:lang w:val="en-US" w:eastAsia="zh-CN"/>
        </w:rPr>
        <w:t>通过以上措施</w:t>
      </w:r>
      <w:r>
        <w:rPr>
          <w:rFonts w:hint="eastAsia" w:ascii="Times New Roman" w:hAnsi="Times New Roman" w:eastAsia="方正仿宋_GBK" w:cs="Times New Roman"/>
          <w:color w:val="auto"/>
          <w:kern w:val="21"/>
          <w:sz w:val="32"/>
          <w:lang w:val="en-US" w:eastAsia="zh-CN"/>
        </w:rPr>
        <w:t>，确保厂界噪声达到《工业企业厂界环境噪声排放标准》（GB12348-2008）2类标准，确保区域声环境质量达到《声环境质量标准》（GB3096-2008）2类区标准要求。</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三</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r>
        <w:rPr>
          <w:rFonts w:hint="eastAsia"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并按《排污许可管理条例》《排污许可管理办法要求》，在项目建成投产前办理排污许可相关手续。</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六</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108FBB1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01EE2256">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7</w:t>
      </w:r>
      <w:r>
        <w:rPr>
          <w:rFonts w:hint="default"/>
          <w:kern w:val="21"/>
          <w:sz w:val="32"/>
        </w:rPr>
        <w:t>月</w:t>
      </w:r>
      <w:r>
        <w:rPr>
          <w:rFonts w:hint="eastAsia"/>
          <w:kern w:val="21"/>
          <w:sz w:val="32"/>
          <w:lang w:val="en-US" w:eastAsia="zh-CN"/>
        </w:rPr>
        <w:t>30</w:t>
      </w:r>
      <w:r>
        <w:rPr>
          <w:rFonts w:hint="default"/>
          <w:kern w:val="21"/>
          <w:sz w:val="32"/>
        </w:rPr>
        <w:t>日</w:t>
      </w:r>
    </w:p>
    <w:p w14:paraId="5A4A7A5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bookmarkStart w:id="0" w:name="_GoBack"/>
      <w:bookmarkEnd w:id="0"/>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35041E88-557C-4CEA-AADB-94C24E782AAA}"/>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8110DAAC-00EC-4E06-82BD-4C3F3A39E172}"/>
  </w:font>
  <w:font w:name="仿宋">
    <w:panose1 w:val="02010609060101010101"/>
    <w:charset w:val="86"/>
    <w:family w:val="modern"/>
    <w:pitch w:val="default"/>
    <w:sig w:usb0="800002BF" w:usb1="38CF7CFA" w:usb2="00000016" w:usb3="00000000" w:csb0="00040001" w:csb1="00000000"/>
    <w:embedRegular r:id="rId3" w:fontKey="{B3C376A3-7D24-447F-B349-DBCE10D8C0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DE46EF"/>
    <w:rsid w:val="075F22BC"/>
    <w:rsid w:val="078B358F"/>
    <w:rsid w:val="0A3B1F59"/>
    <w:rsid w:val="0ABB1D60"/>
    <w:rsid w:val="0C102777"/>
    <w:rsid w:val="0E5B0345"/>
    <w:rsid w:val="117E09BE"/>
    <w:rsid w:val="130664C1"/>
    <w:rsid w:val="14AE78FC"/>
    <w:rsid w:val="15FD6214"/>
    <w:rsid w:val="16AC25F2"/>
    <w:rsid w:val="170532D4"/>
    <w:rsid w:val="18EF4E45"/>
    <w:rsid w:val="1AB81E7E"/>
    <w:rsid w:val="1B355290"/>
    <w:rsid w:val="1BBB0703"/>
    <w:rsid w:val="1CA52A4B"/>
    <w:rsid w:val="1DE22839"/>
    <w:rsid w:val="1EB11053"/>
    <w:rsid w:val="1F647C98"/>
    <w:rsid w:val="1F9D178F"/>
    <w:rsid w:val="20953DFA"/>
    <w:rsid w:val="20B269A7"/>
    <w:rsid w:val="21842486"/>
    <w:rsid w:val="22177DFE"/>
    <w:rsid w:val="22C3481D"/>
    <w:rsid w:val="23057D3D"/>
    <w:rsid w:val="23CC4733"/>
    <w:rsid w:val="23ED3D54"/>
    <w:rsid w:val="23F22B88"/>
    <w:rsid w:val="25E129AC"/>
    <w:rsid w:val="271550B9"/>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B62687"/>
    <w:rsid w:val="40505535"/>
    <w:rsid w:val="41E712F4"/>
    <w:rsid w:val="44951F8B"/>
    <w:rsid w:val="44E4341C"/>
    <w:rsid w:val="4557299B"/>
    <w:rsid w:val="45A57C5C"/>
    <w:rsid w:val="47386E65"/>
    <w:rsid w:val="47F85F3C"/>
    <w:rsid w:val="48773A0D"/>
    <w:rsid w:val="48AC74A2"/>
    <w:rsid w:val="4AC5234C"/>
    <w:rsid w:val="4AE66C9B"/>
    <w:rsid w:val="4B6A5CD6"/>
    <w:rsid w:val="4BB52B12"/>
    <w:rsid w:val="4DF427F7"/>
    <w:rsid w:val="4FBF5D0D"/>
    <w:rsid w:val="52163191"/>
    <w:rsid w:val="534D70DC"/>
    <w:rsid w:val="544D717E"/>
    <w:rsid w:val="55105C52"/>
    <w:rsid w:val="592119C7"/>
    <w:rsid w:val="59B54B90"/>
    <w:rsid w:val="5B9242D5"/>
    <w:rsid w:val="5DB86A42"/>
    <w:rsid w:val="617B4B44"/>
    <w:rsid w:val="618E661B"/>
    <w:rsid w:val="632C0B1A"/>
    <w:rsid w:val="63AF5B58"/>
    <w:rsid w:val="649436F4"/>
    <w:rsid w:val="6551675D"/>
    <w:rsid w:val="671C704A"/>
    <w:rsid w:val="6C597C70"/>
    <w:rsid w:val="6E437CF4"/>
    <w:rsid w:val="6F4F4560"/>
    <w:rsid w:val="6F54601A"/>
    <w:rsid w:val="71D96859"/>
    <w:rsid w:val="72977142"/>
    <w:rsid w:val="735A4016"/>
    <w:rsid w:val="75AD486B"/>
    <w:rsid w:val="76F971C0"/>
    <w:rsid w:val="785C1F6E"/>
    <w:rsid w:val="78BD1D12"/>
    <w:rsid w:val="7A820227"/>
    <w:rsid w:val="7AC06B13"/>
    <w:rsid w:val="7B1320FB"/>
    <w:rsid w:val="7B5E799F"/>
    <w:rsid w:val="7BCE0222"/>
    <w:rsid w:val="7D713939"/>
    <w:rsid w:val="7D8349B7"/>
    <w:rsid w:val="7E481FBB"/>
    <w:rsid w:val="7F7676A4"/>
    <w:rsid w:val="7F95756D"/>
    <w:rsid w:val="7FAA5FDF"/>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3452</Words>
  <Characters>3682</Characters>
  <Lines>20</Lines>
  <Paragraphs>5</Paragraphs>
  <TotalTime>0</TotalTime>
  <ScaleCrop>false</ScaleCrop>
  <LinksUpToDate>false</LinksUpToDate>
  <CharactersWithSpaces>3701</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安双财</cp:lastModifiedBy>
  <cp:lastPrinted>2026-07-30T01:04:00Z</cp:lastPrinted>
  <dcterms:modified xsi:type="dcterms:W3CDTF">2026-07-30T03:21:27Z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KSOTemplateDocerSaveRecord">
    <vt:lpwstr>eyJoZGlkIjoiZmViMTY2ZWNmOTM1OWMyMjg0YzVmZGUwOGUxZjJjYWMiLCJ1c2VySWQiOiIxNjIyMjcyMzkwIn0=</vt:lpwstr>
  </property>
  <property fmtid="{D5CDD505-2E9C-101B-9397-08002B2CF9AE}" pid="4" name="ICV">
    <vt:lpwstr>9CA0B6BE57C043B2BC1F2209C79E9160_13</vt:lpwstr>
  </property>
</Properties>
</file>